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A2" w:rsidRDefault="00151D1B">
      <w:pPr>
        <w:jc w:val="center"/>
        <w:rPr>
          <w:b/>
          <w:sz w:val="32"/>
          <w:szCs w:val="32"/>
        </w:rPr>
      </w:pPr>
      <w:bookmarkStart w:id="0" w:name="_GoBack"/>
      <w:bookmarkEnd w:id="0"/>
      <w:r>
        <w:rPr>
          <w:rFonts w:hint="eastAsia"/>
          <w:b/>
          <w:sz w:val="32"/>
          <w:szCs w:val="32"/>
        </w:rPr>
        <w:t>南华</w:t>
      </w:r>
      <w:r>
        <w:rPr>
          <w:b/>
          <w:sz w:val="32"/>
          <w:szCs w:val="32"/>
        </w:rPr>
        <w:t>基金管理有限公司关于旗下部分基金</w:t>
      </w:r>
      <w:r>
        <w:rPr>
          <w:rFonts w:hint="eastAsia"/>
          <w:b/>
          <w:sz w:val="32"/>
          <w:szCs w:val="32"/>
        </w:rPr>
        <w:t>参与招商证券</w:t>
      </w:r>
      <w:r>
        <w:rPr>
          <w:b/>
          <w:sz w:val="32"/>
          <w:szCs w:val="32"/>
        </w:rPr>
        <w:t>股份有限公司费率优惠活动的公告</w:t>
      </w:r>
    </w:p>
    <w:p w:rsidR="006474A2" w:rsidRDefault="00151D1B">
      <w:pPr>
        <w:spacing w:line="360" w:lineRule="auto"/>
        <w:ind w:firstLineChars="200" w:firstLine="420"/>
        <w:jc w:val="left"/>
        <w:rPr>
          <w:szCs w:val="21"/>
        </w:rPr>
      </w:pPr>
      <w:r>
        <w:rPr>
          <w:rFonts w:hint="eastAsia"/>
          <w:szCs w:val="21"/>
        </w:rPr>
        <w:t>为答谢</w:t>
      </w:r>
      <w:r>
        <w:rPr>
          <w:szCs w:val="21"/>
        </w:rPr>
        <w:t>广大客户长期以来给予的信任与支持，更好的服务于</w:t>
      </w:r>
      <w:r>
        <w:rPr>
          <w:rFonts w:hint="eastAsia"/>
          <w:szCs w:val="21"/>
        </w:rPr>
        <w:t>基金</w:t>
      </w:r>
      <w:r>
        <w:rPr>
          <w:szCs w:val="21"/>
        </w:rPr>
        <w:t>投资</w:t>
      </w:r>
      <w:r>
        <w:rPr>
          <w:rFonts w:hint="eastAsia"/>
          <w:szCs w:val="21"/>
        </w:rPr>
        <w:t>客户</w:t>
      </w:r>
      <w:r>
        <w:rPr>
          <w:szCs w:val="21"/>
        </w:rPr>
        <w:t>，南华基金管理</w:t>
      </w:r>
      <w:r>
        <w:rPr>
          <w:rFonts w:hint="eastAsia"/>
          <w:szCs w:val="21"/>
        </w:rPr>
        <w:t>有限</w:t>
      </w:r>
      <w:r>
        <w:rPr>
          <w:szCs w:val="21"/>
        </w:rPr>
        <w:t>公司（</w:t>
      </w:r>
      <w:r>
        <w:rPr>
          <w:rFonts w:hint="eastAsia"/>
          <w:szCs w:val="21"/>
        </w:rPr>
        <w:t>以下</w:t>
      </w:r>
      <w:r>
        <w:rPr>
          <w:szCs w:val="21"/>
        </w:rPr>
        <w:t>简称</w:t>
      </w:r>
      <w:r>
        <w:rPr>
          <w:rFonts w:hint="eastAsia"/>
          <w:szCs w:val="21"/>
        </w:rPr>
        <w:t>“南华基金”或“本公司”</w:t>
      </w:r>
      <w:r>
        <w:rPr>
          <w:szCs w:val="21"/>
        </w:rPr>
        <w:t>）</w:t>
      </w:r>
      <w:r>
        <w:rPr>
          <w:rFonts w:hint="eastAsia"/>
          <w:szCs w:val="21"/>
        </w:rPr>
        <w:t>与招商证券</w:t>
      </w:r>
      <w:r>
        <w:rPr>
          <w:szCs w:val="21"/>
        </w:rPr>
        <w:t>股份有限公司</w:t>
      </w:r>
      <w:r>
        <w:rPr>
          <w:rFonts w:hint="eastAsia"/>
          <w:szCs w:val="21"/>
        </w:rPr>
        <w:t>（以下</w:t>
      </w:r>
      <w:r>
        <w:rPr>
          <w:szCs w:val="21"/>
        </w:rPr>
        <w:t>简称</w:t>
      </w:r>
      <w:r>
        <w:rPr>
          <w:rFonts w:hint="eastAsia"/>
          <w:szCs w:val="21"/>
        </w:rPr>
        <w:t>“招商</w:t>
      </w:r>
      <w:r>
        <w:rPr>
          <w:szCs w:val="21"/>
        </w:rPr>
        <w:t>证券</w:t>
      </w:r>
      <w:r>
        <w:rPr>
          <w:rFonts w:hint="eastAsia"/>
          <w:szCs w:val="21"/>
        </w:rPr>
        <w:t>”）协商</w:t>
      </w:r>
      <w:r>
        <w:rPr>
          <w:szCs w:val="21"/>
        </w:rPr>
        <w:t>一致，决定</w:t>
      </w:r>
      <w:r>
        <w:rPr>
          <w:rFonts w:hint="eastAsia"/>
          <w:szCs w:val="21"/>
        </w:rPr>
        <w:t>于</w:t>
      </w:r>
      <w:r>
        <w:rPr>
          <w:rFonts w:hint="eastAsia"/>
          <w:szCs w:val="21"/>
        </w:rPr>
        <w:t>2024</w:t>
      </w:r>
      <w:r>
        <w:rPr>
          <w:rFonts w:hint="eastAsia"/>
          <w:szCs w:val="21"/>
        </w:rPr>
        <w:t>年</w:t>
      </w:r>
      <w:r>
        <w:rPr>
          <w:rFonts w:hint="eastAsia"/>
          <w:szCs w:val="21"/>
        </w:rPr>
        <w:t>10</w:t>
      </w:r>
      <w:r>
        <w:rPr>
          <w:rFonts w:hint="eastAsia"/>
          <w:szCs w:val="21"/>
        </w:rPr>
        <w:t>月</w:t>
      </w:r>
      <w:r>
        <w:rPr>
          <w:rFonts w:hint="eastAsia"/>
          <w:szCs w:val="21"/>
        </w:rPr>
        <w:t>28</w:t>
      </w:r>
      <w:r>
        <w:rPr>
          <w:rFonts w:hint="eastAsia"/>
          <w:szCs w:val="21"/>
        </w:rPr>
        <w:t>日起，南华</w:t>
      </w:r>
      <w:r>
        <w:rPr>
          <w:szCs w:val="21"/>
        </w:rPr>
        <w:t>基金旗下部分基金参与</w:t>
      </w:r>
      <w:r>
        <w:rPr>
          <w:rFonts w:hint="eastAsia"/>
          <w:szCs w:val="21"/>
        </w:rPr>
        <w:t>招商证券</w:t>
      </w:r>
      <w:r>
        <w:rPr>
          <w:szCs w:val="21"/>
        </w:rPr>
        <w:t>费率优惠活动，具体</w:t>
      </w:r>
      <w:r>
        <w:rPr>
          <w:rFonts w:hint="eastAsia"/>
          <w:szCs w:val="21"/>
        </w:rPr>
        <w:t>情况</w:t>
      </w:r>
      <w:r>
        <w:rPr>
          <w:szCs w:val="21"/>
        </w:rPr>
        <w:t>公告如下：</w:t>
      </w:r>
    </w:p>
    <w:p w:rsidR="006474A2" w:rsidRDefault="00151D1B">
      <w:pPr>
        <w:pStyle w:val="ab"/>
        <w:numPr>
          <w:ilvl w:val="0"/>
          <w:numId w:val="1"/>
        </w:numPr>
        <w:spacing w:line="360" w:lineRule="auto"/>
        <w:ind w:firstLineChars="0"/>
        <w:jc w:val="left"/>
        <w:rPr>
          <w:b/>
          <w:szCs w:val="21"/>
        </w:rPr>
      </w:pPr>
      <w:r>
        <w:rPr>
          <w:rFonts w:hint="eastAsia"/>
          <w:b/>
          <w:szCs w:val="21"/>
        </w:rPr>
        <w:t>适用</w:t>
      </w:r>
      <w:r>
        <w:rPr>
          <w:b/>
          <w:szCs w:val="21"/>
        </w:rPr>
        <w:t>基金范围</w:t>
      </w:r>
    </w:p>
    <w:tbl>
      <w:tblPr>
        <w:tblStyle w:val="a8"/>
        <w:tblW w:w="7796" w:type="dxa"/>
        <w:tblInd w:w="421" w:type="dxa"/>
        <w:tblLayout w:type="fixed"/>
        <w:tblLook w:val="04A0"/>
      </w:tblPr>
      <w:tblGrid>
        <w:gridCol w:w="992"/>
        <w:gridCol w:w="3827"/>
        <w:gridCol w:w="2977"/>
      </w:tblGrid>
      <w:tr w:rsidR="006474A2">
        <w:tc>
          <w:tcPr>
            <w:tcW w:w="992"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序号</w:t>
            </w:r>
          </w:p>
        </w:tc>
        <w:tc>
          <w:tcPr>
            <w:tcW w:w="382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基金名称</w:t>
            </w:r>
          </w:p>
        </w:tc>
        <w:tc>
          <w:tcPr>
            <w:tcW w:w="297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基金</w:t>
            </w:r>
            <w:r>
              <w:rPr>
                <w:rFonts w:ascii="Times New Roman" w:eastAsia="宋体" w:hAnsi="Times New Roman" w:cs="Times New Roman"/>
                <w:kern w:val="0"/>
                <w:sz w:val="20"/>
                <w:szCs w:val="21"/>
              </w:rPr>
              <w:t>代码</w:t>
            </w:r>
          </w:p>
        </w:tc>
      </w:tr>
      <w:tr w:rsidR="006474A2">
        <w:tc>
          <w:tcPr>
            <w:tcW w:w="992"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w:t>
            </w:r>
          </w:p>
        </w:tc>
        <w:tc>
          <w:tcPr>
            <w:tcW w:w="382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南华丰汇混合型证券投资基金</w:t>
            </w:r>
          </w:p>
        </w:tc>
        <w:tc>
          <w:tcPr>
            <w:tcW w:w="297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w:t>
            </w:r>
            <w:r>
              <w:rPr>
                <w:rFonts w:ascii="Times New Roman" w:eastAsia="宋体" w:hAnsi="Times New Roman" w:cs="Times New Roman" w:hint="eastAsia"/>
                <w:kern w:val="0"/>
                <w:sz w:val="20"/>
                <w:szCs w:val="21"/>
              </w:rPr>
              <w:t>类</w:t>
            </w:r>
            <w:r>
              <w:rPr>
                <w:rFonts w:ascii="Times New Roman" w:eastAsia="宋体" w:hAnsi="Times New Roman" w:cs="Times New Roman"/>
                <w:kern w:val="0"/>
                <w:sz w:val="20"/>
                <w:szCs w:val="21"/>
              </w:rPr>
              <w:t>：</w:t>
            </w:r>
            <w:r>
              <w:rPr>
                <w:rFonts w:ascii="Times New Roman" w:eastAsia="宋体" w:hAnsi="Times New Roman" w:cs="Times New Roman" w:hint="eastAsia"/>
                <w:kern w:val="0"/>
                <w:sz w:val="20"/>
                <w:szCs w:val="21"/>
              </w:rPr>
              <w:t>015245</w:t>
            </w:r>
          </w:p>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C</w:t>
            </w:r>
            <w:r>
              <w:rPr>
                <w:rFonts w:ascii="Times New Roman" w:eastAsia="宋体" w:hAnsi="Times New Roman" w:cs="Times New Roman" w:hint="eastAsia"/>
                <w:kern w:val="0"/>
                <w:sz w:val="20"/>
                <w:szCs w:val="21"/>
              </w:rPr>
              <w:t>类：</w:t>
            </w:r>
            <w:r>
              <w:rPr>
                <w:rFonts w:ascii="Times New Roman" w:eastAsia="宋体" w:hAnsi="Times New Roman" w:cs="Times New Roman" w:hint="eastAsia"/>
                <w:kern w:val="0"/>
                <w:sz w:val="20"/>
                <w:szCs w:val="21"/>
              </w:rPr>
              <w:t>021526</w:t>
            </w:r>
          </w:p>
        </w:tc>
      </w:tr>
      <w:tr w:rsidR="006474A2">
        <w:tc>
          <w:tcPr>
            <w:tcW w:w="992"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2</w:t>
            </w:r>
          </w:p>
        </w:tc>
        <w:tc>
          <w:tcPr>
            <w:tcW w:w="382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南华瑞享纯债债券型</w:t>
            </w:r>
            <w:r>
              <w:rPr>
                <w:rFonts w:ascii="Times New Roman" w:eastAsia="宋体" w:hAnsi="Times New Roman" w:cs="Times New Roman"/>
                <w:kern w:val="0"/>
                <w:sz w:val="20"/>
                <w:szCs w:val="21"/>
              </w:rPr>
              <w:t>证券投资基金</w:t>
            </w:r>
          </w:p>
        </w:tc>
        <w:tc>
          <w:tcPr>
            <w:tcW w:w="2977" w:type="dxa"/>
          </w:tcPr>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A</w:t>
            </w:r>
            <w:r>
              <w:rPr>
                <w:rFonts w:ascii="Times New Roman" w:eastAsia="宋体" w:hAnsi="Times New Roman" w:cs="Times New Roman" w:hint="eastAsia"/>
                <w:kern w:val="0"/>
                <w:sz w:val="20"/>
                <w:szCs w:val="21"/>
              </w:rPr>
              <w:t>类</w:t>
            </w:r>
            <w:r>
              <w:rPr>
                <w:rFonts w:ascii="Times New Roman" w:eastAsia="宋体" w:hAnsi="Times New Roman" w:cs="Times New Roman"/>
                <w:kern w:val="0"/>
                <w:sz w:val="20"/>
                <w:szCs w:val="21"/>
              </w:rPr>
              <w:t>：</w:t>
            </w:r>
            <w:r>
              <w:rPr>
                <w:rFonts w:ascii="Times New Roman" w:eastAsia="宋体" w:hAnsi="Times New Roman" w:cs="Times New Roman" w:hint="eastAsia"/>
                <w:kern w:val="0"/>
                <w:sz w:val="20"/>
                <w:szCs w:val="21"/>
              </w:rPr>
              <w:t>020701</w:t>
            </w:r>
          </w:p>
          <w:p w:rsidR="006474A2" w:rsidRDefault="00151D1B">
            <w:pPr>
              <w:spacing w:line="360" w:lineRule="auto"/>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C</w:t>
            </w:r>
            <w:r>
              <w:rPr>
                <w:rFonts w:ascii="Times New Roman" w:eastAsia="宋体" w:hAnsi="Times New Roman" w:cs="Times New Roman" w:hint="eastAsia"/>
                <w:kern w:val="0"/>
                <w:sz w:val="20"/>
                <w:szCs w:val="21"/>
              </w:rPr>
              <w:t>类：</w:t>
            </w:r>
            <w:r>
              <w:rPr>
                <w:rFonts w:ascii="Times New Roman" w:eastAsia="宋体" w:hAnsi="Times New Roman" w:cs="Times New Roman" w:hint="eastAsia"/>
                <w:kern w:val="0"/>
                <w:sz w:val="20"/>
                <w:szCs w:val="21"/>
              </w:rPr>
              <w:t>020702</w:t>
            </w:r>
          </w:p>
        </w:tc>
      </w:tr>
    </w:tbl>
    <w:p w:rsidR="006474A2" w:rsidRDefault="006474A2">
      <w:pPr>
        <w:spacing w:line="360" w:lineRule="auto"/>
        <w:jc w:val="left"/>
        <w:rPr>
          <w:b/>
          <w:szCs w:val="21"/>
        </w:rPr>
      </w:pPr>
    </w:p>
    <w:p w:rsidR="006474A2" w:rsidRDefault="00151D1B">
      <w:pPr>
        <w:pStyle w:val="ab"/>
        <w:numPr>
          <w:ilvl w:val="0"/>
          <w:numId w:val="1"/>
        </w:numPr>
        <w:spacing w:line="360" w:lineRule="auto"/>
        <w:ind w:firstLineChars="0"/>
        <w:jc w:val="left"/>
        <w:rPr>
          <w:b/>
          <w:szCs w:val="21"/>
        </w:rPr>
      </w:pPr>
      <w:r>
        <w:rPr>
          <w:rFonts w:hint="eastAsia"/>
          <w:b/>
          <w:szCs w:val="21"/>
        </w:rPr>
        <w:t>费率</w:t>
      </w:r>
      <w:r>
        <w:rPr>
          <w:b/>
          <w:szCs w:val="21"/>
        </w:rPr>
        <w:t>优惠</w:t>
      </w:r>
      <w:r>
        <w:rPr>
          <w:rFonts w:hint="eastAsia"/>
          <w:b/>
          <w:szCs w:val="21"/>
        </w:rPr>
        <w:t>活动</w:t>
      </w:r>
    </w:p>
    <w:p w:rsidR="006474A2" w:rsidRDefault="00151D1B">
      <w:pPr>
        <w:spacing w:line="360" w:lineRule="auto"/>
        <w:ind w:left="450"/>
        <w:jc w:val="left"/>
        <w:rPr>
          <w:szCs w:val="21"/>
        </w:rPr>
      </w:pPr>
      <w:r>
        <w:rPr>
          <w:rFonts w:hint="eastAsia"/>
          <w:szCs w:val="21"/>
        </w:rPr>
        <w:t>1</w:t>
      </w:r>
      <w:r>
        <w:rPr>
          <w:rFonts w:hint="eastAsia"/>
          <w:szCs w:val="21"/>
        </w:rPr>
        <w:t>、</w:t>
      </w:r>
      <w:r>
        <w:rPr>
          <w:szCs w:val="21"/>
        </w:rPr>
        <w:t>费率优惠内容</w:t>
      </w:r>
    </w:p>
    <w:p w:rsidR="006474A2" w:rsidRDefault="00151D1B">
      <w:pPr>
        <w:snapToGrid w:val="0"/>
        <w:spacing w:line="360" w:lineRule="auto"/>
        <w:ind w:right="26" w:firstLineChars="200" w:firstLine="420"/>
        <w:rPr>
          <w:szCs w:val="21"/>
        </w:rPr>
      </w:pPr>
      <w:r>
        <w:rPr>
          <w:rFonts w:hint="eastAsia"/>
          <w:szCs w:val="21"/>
        </w:rPr>
        <w:t>投资者通过招商证券申购（含定期定额</w:t>
      </w:r>
      <w:r>
        <w:rPr>
          <w:szCs w:val="21"/>
        </w:rPr>
        <w:t>投资，</w:t>
      </w:r>
      <w:r>
        <w:rPr>
          <w:rFonts w:hint="eastAsia"/>
          <w:szCs w:val="21"/>
        </w:rPr>
        <w:t>以下</w:t>
      </w:r>
      <w:r>
        <w:rPr>
          <w:szCs w:val="21"/>
        </w:rPr>
        <w:t>简称定投</w:t>
      </w:r>
      <w:r>
        <w:rPr>
          <w:rFonts w:hint="eastAsia"/>
          <w:szCs w:val="21"/>
        </w:rPr>
        <w:t>）本公司</w:t>
      </w:r>
      <w:r>
        <w:rPr>
          <w:szCs w:val="21"/>
        </w:rPr>
        <w:t>旗下上述开放式基金</w:t>
      </w:r>
      <w:r>
        <w:rPr>
          <w:rFonts w:ascii="inherit" w:eastAsia="宋体" w:hAnsi="inherit" w:cs="Arial" w:hint="eastAsia"/>
          <w:kern w:val="0"/>
          <w:szCs w:val="21"/>
        </w:rPr>
        <w:t>A</w:t>
      </w:r>
      <w:r>
        <w:rPr>
          <w:rFonts w:ascii="inherit" w:eastAsia="宋体" w:hAnsi="inherit" w:cs="Arial" w:hint="eastAsia"/>
          <w:kern w:val="0"/>
          <w:szCs w:val="21"/>
        </w:rPr>
        <w:t>类基金份额</w:t>
      </w:r>
      <w:r>
        <w:rPr>
          <w:szCs w:val="21"/>
        </w:rPr>
        <w:t>，享有</w:t>
      </w:r>
      <w:r>
        <w:rPr>
          <w:rFonts w:hint="eastAsia"/>
          <w:szCs w:val="21"/>
        </w:rPr>
        <w:t>申购</w:t>
      </w:r>
      <w:r>
        <w:rPr>
          <w:szCs w:val="21"/>
        </w:rPr>
        <w:t>（</w:t>
      </w:r>
      <w:r>
        <w:rPr>
          <w:rFonts w:hint="eastAsia"/>
          <w:szCs w:val="21"/>
        </w:rPr>
        <w:t>含</w:t>
      </w:r>
      <w:r>
        <w:rPr>
          <w:szCs w:val="21"/>
        </w:rPr>
        <w:t>定投申购）</w:t>
      </w:r>
      <w:r>
        <w:rPr>
          <w:rFonts w:hint="eastAsia"/>
          <w:szCs w:val="21"/>
        </w:rPr>
        <w:t>费率</w:t>
      </w:r>
      <w:r>
        <w:rPr>
          <w:szCs w:val="21"/>
        </w:rPr>
        <w:t>优惠</w:t>
      </w:r>
      <w:r>
        <w:rPr>
          <w:rFonts w:hint="eastAsia"/>
          <w:szCs w:val="21"/>
        </w:rPr>
        <w:t>，具体费率</w:t>
      </w:r>
      <w:r>
        <w:rPr>
          <w:szCs w:val="21"/>
        </w:rPr>
        <w:t>优惠政策以招商证券的</w:t>
      </w:r>
      <w:r>
        <w:rPr>
          <w:rFonts w:hint="eastAsia"/>
          <w:szCs w:val="21"/>
        </w:rPr>
        <w:t>业务规则或</w:t>
      </w:r>
      <w:r>
        <w:rPr>
          <w:szCs w:val="21"/>
        </w:rPr>
        <w:t>公告为准</w:t>
      </w:r>
      <w:r>
        <w:rPr>
          <w:rFonts w:hint="eastAsia"/>
          <w:szCs w:val="21"/>
        </w:rPr>
        <w:t>。</w:t>
      </w:r>
    </w:p>
    <w:p w:rsidR="006474A2" w:rsidRDefault="00151D1B">
      <w:pPr>
        <w:spacing w:line="360" w:lineRule="auto"/>
        <w:ind w:firstLine="420"/>
        <w:jc w:val="left"/>
        <w:rPr>
          <w:szCs w:val="21"/>
        </w:rPr>
      </w:pPr>
      <w:r>
        <w:rPr>
          <w:rFonts w:hint="eastAsia"/>
          <w:szCs w:val="21"/>
        </w:rPr>
        <w:t>2</w:t>
      </w:r>
      <w:r>
        <w:rPr>
          <w:rFonts w:hint="eastAsia"/>
          <w:szCs w:val="21"/>
        </w:rPr>
        <w:t>、</w:t>
      </w:r>
      <w:r>
        <w:rPr>
          <w:szCs w:val="21"/>
        </w:rPr>
        <w:t>费率优惠期限</w:t>
      </w:r>
    </w:p>
    <w:p w:rsidR="006474A2" w:rsidRDefault="00151D1B">
      <w:pPr>
        <w:widowControl/>
        <w:shd w:val="clear" w:color="auto" w:fill="FFFFFF"/>
        <w:spacing w:after="150" w:line="375" w:lineRule="atLeast"/>
        <w:ind w:firstLine="480"/>
        <w:jc w:val="left"/>
        <w:textAlignment w:val="baseline"/>
        <w:rPr>
          <w:szCs w:val="21"/>
        </w:rPr>
      </w:pPr>
      <w:r>
        <w:rPr>
          <w:rFonts w:asciiTheme="minorEastAsia" w:hAnsiTheme="minorEastAsia" w:cs="Arial"/>
          <w:kern w:val="0"/>
          <w:szCs w:val="21"/>
        </w:rPr>
        <w:t>上述费率优惠活动自</w:t>
      </w:r>
      <w:r>
        <w:rPr>
          <w:rFonts w:asciiTheme="minorEastAsia" w:hAnsiTheme="minorEastAsia" w:cs="Arial" w:hint="eastAsia"/>
          <w:kern w:val="0"/>
          <w:szCs w:val="21"/>
        </w:rPr>
        <w:t>20</w:t>
      </w:r>
      <w:r>
        <w:rPr>
          <w:rFonts w:asciiTheme="minorEastAsia" w:hAnsiTheme="minorEastAsia" w:cs="Arial"/>
          <w:kern w:val="0"/>
          <w:szCs w:val="21"/>
        </w:rPr>
        <w:t>24</w:t>
      </w:r>
      <w:r>
        <w:rPr>
          <w:rFonts w:asciiTheme="minorEastAsia" w:hAnsiTheme="minorEastAsia" w:cs="Arial" w:hint="eastAsia"/>
          <w:kern w:val="0"/>
          <w:szCs w:val="21"/>
        </w:rPr>
        <w:t>年</w:t>
      </w:r>
      <w:r>
        <w:rPr>
          <w:rFonts w:asciiTheme="minorEastAsia" w:hAnsiTheme="minorEastAsia" w:cs="Arial" w:hint="eastAsia"/>
          <w:kern w:val="0"/>
          <w:szCs w:val="21"/>
        </w:rPr>
        <w:t>10</w:t>
      </w:r>
      <w:r>
        <w:rPr>
          <w:rFonts w:asciiTheme="minorEastAsia" w:hAnsiTheme="minorEastAsia" w:cs="Arial" w:hint="eastAsia"/>
          <w:kern w:val="0"/>
          <w:szCs w:val="21"/>
        </w:rPr>
        <w:t>月</w:t>
      </w:r>
      <w:r>
        <w:rPr>
          <w:rFonts w:asciiTheme="minorEastAsia" w:hAnsiTheme="minorEastAsia" w:cs="Arial" w:hint="eastAsia"/>
          <w:kern w:val="0"/>
          <w:szCs w:val="21"/>
        </w:rPr>
        <w:t>28</w:t>
      </w:r>
      <w:r>
        <w:rPr>
          <w:rFonts w:asciiTheme="minorEastAsia" w:hAnsiTheme="minorEastAsia" w:cs="Arial" w:hint="eastAsia"/>
          <w:kern w:val="0"/>
          <w:szCs w:val="21"/>
        </w:rPr>
        <w:t>日</w:t>
      </w:r>
      <w:r>
        <w:rPr>
          <w:rFonts w:asciiTheme="minorEastAsia" w:hAnsiTheme="minorEastAsia" w:cs="Arial"/>
          <w:kern w:val="0"/>
          <w:szCs w:val="21"/>
        </w:rPr>
        <w:t>起实施，活动结束日期以</w:t>
      </w:r>
      <w:r>
        <w:rPr>
          <w:rFonts w:asciiTheme="minorEastAsia" w:hAnsiTheme="minorEastAsia" w:cs="Arial" w:hint="eastAsia"/>
          <w:kern w:val="0"/>
          <w:szCs w:val="21"/>
        </w:rPr>
        <w:t>招商证券</w:t>
      </w:r>
      <w:r>
        <w:rPr>
          <w:rFonts w:asciiTheme="minorEastAsia" w:hAnsiTheme="minorEastAsia" w:cs="Arial"/>
          <w:kern w:val="0"/>
          <w:szCs w:val="21"/>
        </w:rPr>
        <w:t>的相关公告为准。</w:t>
      </w:r>
    </w:p>
    <w:p w:rsidR="006474A2" w:rsidRDefault="00151D1B">
      <w:pPr>
        <w:spacing w:line="360" w:lineRule="auto"/>
        <w:ind w:firstLineChars="200" w:firstLine="422"/>
        <w:jc w:val="left"/>
        <w:rPr>
          <w:b/>
          <w:szCs w:val="21"/>
        </w:rPr>
      </w:pPr>
      <w:r>
        <w:rPr>
          <w:rFonts w:hint="eastAsia"/>
          <w:b/>
          <w:szCs w:val="21"/>
        </w:rPr>
        <w:t>三</w:t>
      </w:r>
      <w:r>
        <w:rPr>
          <w:b/>
          <w:szCs w:val="21"/>
        </w:rPr>
        <w:t>、重要提示</w:t>
      </w:r>
    </w:p>
    <w:p w:rsidR="006474A2" w:rsidRDefault="00151D1B">
      <w:pPr>
        <w:snapToGrid w:val="0"/>
        <w:spacing w:line="360" w:lineRule="auto"/>
        <w:ind w:right="26" w:firstLineChars="200" w:firstLine="420"/>
        <w:rPr>
          <w:szCs w:val="21"/>
        </w:rPr>
      </w:pPr>
      <w:r>
        <w:rPr>
          <w:rFonts w:hint="eastAsia"/>
          <w:szCs w:val="21"/>
        </w:rPr>
        <w:t>1</w:t>
      </w:r>
      <w:r>
        <w:rPr>
          <w:rFonts w:hint="eastAsia"/>
          <w:szCs w:val="21"/>
        </w:rPr>
        <w:t>、本费率优惠活动解释权归招商证券所有，有关优惠活动的具体规定如有变化，敬请投资者留意招商证券的有关公示。</w:t>
      </w:r>
    </w:p>
    <w:p w:rsidR="006474A2" w:rsidRDefault="00151D1B">
      <w:pPr>
        <w:snapToGrid w:val="0"/>
        <w:spacing w:line="360" w:lineRule="auto"/>
        <w:ind w:right="26" w:firstLineChars="200" w:firstLine="420"/>
        <w:rPr>
          <w:szCs w:val="21"/>
        </w:rPr>
      </w:pPr>
      <w:r>
        <w:rPr>
          <w:szCs w:val="21"/>
        </w:rPr>
        <w:t>2</w:t>
      </w:r>
      <w:r>
        <w:rPr>
          <w:rFonts w:hint="eastAsia"/>
          <w:szCs w:val="21"/>
        </w:rPr>
        <w:t>、费率优惠期间，业务办理的流程以招商证券的规定为准。投资者欲了解上述基金的详细情况，请仔细阅读各基金的基金合同、招募说明书等法律文件。</w:t>
      </w:r>
    </w:p>
    <w:p w:rsidR="006474A2" w:rsidRDefault="00151D1B">
      <w:pPr>
        <w:snapToGrid w:val="0"/>
        <w:spacing w:line="360" w:lineRule="auto"/>
        <w:ind w:right="26" w:firstLineChars="200" w:firstLine="420"/>
        <w:rPr>
          <w:szCs w:val="21"/>
        </w:rPr>
      </w:pPr>
      <w:r>
        <w:rPr>
          <w:rFonts w:hint="eastAsia"/>
          <w:szCs w:val="21"/>
        </w:rPr>
        <w:t>3</w:t>
      </w:r>
      <w:r>
        <w:rPr>
          <w:rFonts w:hint="eastAsia"/>
          <w:szCs w:val="21"/>
        </w:rPr>
        <w:t>、</w:t>
      </w:r>
      <w:r>
        <w:rPr>
          <w:szCs w:val="21"/>
        </w:rPr>
        <w:t>上述业务仅适用于处于正常申购、赎回期的基金。基金封闭期等特殊期间的有关规定详见对应基金的基金合同和招募说明书（更新）等法律文件，以及本公司发布的最新业务</w:t>
      </w:r>
      <w:r>
        <w:rPr>
          <w:rFonts w:hint="eastAsia"/>
          <w:szCs w:val="21"/>
        </w:rPr>
        <w:t>的</w:t>
      </w:r>
      <w:r>
        <w:rPr>
          <w:szCs w:val="21"/>
        </w:rPr>
        <w:t>公告。</w:t>
      </w:r>
    </w:p>
    <w:p w:rsidR="006474A2" w:rsidRDefault="00151D1B">
      <w:pPr>
        <w:spacing w:line="360" w:lineRule="auto"/>
        <w:ind w:firstLineChars="200" w:firstLine="422"/>
        <w:jc w:val="left"/>
        <w:rPr>
          <w:b/>
          <w:szCs w:val="21"/>
        </w:rPr>
      </w:pPr>
      <w:r>
        <w:rPr>
          <w:rFonts w:hint="eastAsia"/>
          <w:b/>
          <w:szCs w:val="21"/>
        </w:rPr>
        <w:t>四</w:t>
      </w:r>
      <w:r>
        <w:rPr>
          <w:b/>
          <w:szCs w:val="21"/>
        </w:rPr>
        <w:t>、投资者可通过以下途径咨询有关情况</w:t>
      </w:r>
    </w:p>
    <w:p w:rsidR="006474A2" w:rsidRDefault="00151D1B">
      <w:pPr>
        <w:spacing w:line="360" w:lineRule="auto"/>
        <w:ind w:firstLineChars="200" w:firstLine="420"/>
        <w:jc w:val="left"/>
        <w:rPr>
          <w:szCs w:val="21"/>
        </w:rPr>
      </w:pPr>
      <w:r>
        <w:rPr>
          <w:rFonts w:hint="eastAsia"/>
          <w:szCs w:val="21"/>
        </w:rPr>
        <w:lastRenderedPageBreak/>
        <w:t>1</w:t>
      </w:r>
      <w:r>
        <w:rPr>
          <w:rFonts w:hint="eastAsia"/>
          <w:szCs w:val="21"/>
        </w:rPr>
        <w:t>、招商证券</w:t>
      </w:r>
    </w:p>
    <w:p w:rsidR="006474A2" w:rsidRDefault="00151D1B">
      <w:pPr>
        <w:spacing w:line="360" w:lineRule="auto"/>
        <w:ind w:firstLineChars="200" w:firstLine="420"/>
        <w:jc w:val="left"/>
        <w:rPr>
          <w:szCs w:val="21"/>
        </w:rPr>
      </w:pPr>
      <w:r>
        <w:rPr>
          <w:rFonts w:hint="eastAsia"/>
          <w:szCs w:val="21"/>
        </w:rPr>
        <w:t>客户服务电话：</w:t>
      </w:r>
      <w:r>
        <w:rPr>
          <w:rFonts w:hint="eastAsia"/>
          <w:szCs w:val="21"/>
        </w:rPr>
        <w:t>955</w:t>
      </w:r>
      <w:r>
        <w:rPr>
          <w:szCs w:val="21"/>
        </w:rPr>
        <w:t>65</w:t>
      </w:r>
    </w:p>
    <w:p w:rsidR="006474A2" w:rsidRDefault="00151D1B">
      <w:pPr>
        <w:spacing w:line="360" w:lineRule="auto"/>
        <w:ind w:firstLineChars="200" w:firstLine="420"/>
        <w:jc w:val="left"/>
        <w:rPr>
          <w:szCs w:val="21"/>
        </w:rPr>
      </w:pPr>
      <w:r>
        <w:rPr>
          <w:rFonts w:hint="eastAsia"/>
          <w:szCs w:val="21"/>
        </w:rPr>
        <w:t>网址：</w:t>
      </w:r>
      <w:r>
        <w:rPr>
          <w:rStyle w:val="a9"/>
          <w:szCs w:val="21"/>
        </w:rPr>
        <w:t>http://www.cmschina.com</w:t>
      </w:r>
    </w:p>
    <w:p w:rsidR="006474A2" w:rsidRDefault="00151D1B">
      <w:pPr>
        <w:spacing w:line="360" w:lineRule="auto"/>
        <w:ind w:firstLineChars="200" w:firstLine="420"/>
        <w:jc w:val="left"/>
        <w:rPr>
          <w:szCs w:val="21"/>
        </w:rPr>
      </w:pPr>
      <w:r>
        <w:rPr>
          <w:szCs w:val="21"/>
        </w:rPr>
        <w:t>2</w:t>
      </w:r>
      <w:r>
        <w:rPr>
          <w:rFonts w:hint="eastAsia"/>
          <w:szCs w:val="21"/>
        </w:rPr>
        <w:t>、</w:t>
      </w:r>
      <w:r>
        <w:rPr>
          <w:szCs w:val="21"/>
        </w:rPr>
        <w:t>南华</w:t>
      </w:r>
      <w:r>
        <w:rPr>
          <w:rFonts w:hint="eastAsia"/>
          <w:szCs w:val="21"/>
        </w:rPr>
        <w:t>基金</w:t>
      </w:r>
    </w:p>
    <w:p w:rsidR="006474A2" w:rsidRDefault="00151D1B">
      <w:pPr>
        <w:spacing w:line="360" w:lineRule="auto"/>
        <w:ind w:firstLineChars="200" w:firstLine="420"/>
        <w:jc w:val="left"/>
        <w:rPr>
          <w:szCs w:val="21"/>
        </w:rPr>
      </w:pPr>
      <w:r>
        <w:rPr>
          <w:rFonts w:hint="eastAsia"/>
          <w:szCs w:val="21"/>
        </w:rPr>
        <w:t>客服</w:t>
      </w:r>
      <w:r>
        <w:rPr>
          <w:szCs w:val="21"/>
        </w:rPr>
        <w:t>电话：</w:t>
      </w:r>
      <w:r>
        <w:rPr>
          <w:rFonts w:hint="eastAsia"/>
          <w:szCs w:val="21"/>
        </w:rPr>
        <w:t>400</w:t>
      </w:r>
      <w:r>
        <w:rPr>
          <w:szCs w:val="21"/>
        </w:rPr>
        <w:t>-810-5599</w:t>
      </w:r>
    </w:p>
    <w:p w:rsidR="006474A2" w:rsidRDefault="00151D1B">
      <w:pPr>
        <w:spacing w:line="360" w:lineRule="auto"/>
        <w:ind w:firstLineChars="200" w:firstLine="420"/>
        <w:jc w:val="left"/>
        <w:rPr>
          <w:szCs w:val="21"/>
        </w:rPr>
      </w:pPr>
      <w:r>
        <w:rPr>
          <w:rFonts w:hint="eastAsia"/>
          <w:szCs w:val="21"/>
        </w:rPr>
        <w:t>公司</w:t>
      </w:r>
      <w:r>
        <w:rPr>
          <w:szCs w:val="21"/>
        </w:rPr>
        <w:t>网址</w:t>
      </w:r>
      <w:r>
        <w:rPr>
          <w:rFonts w:hint="eastAsia"/>
          <w:szCs w:val="21"/>
        </w:rPr>
        <w:t>：</w:t>
      </w:r>
      <w:hyperlink r:id="rId7" w:history="1">
        <w:r>
          <w:rPr>
            <w:rStyle w:val="a9"/>
            <w:rFonts w:hint="eastAsia"/>
            <w:szCs w:val="21"/>
          </w:rPr>
          <w:t>www.nanhuafunds.com</w:t>
        </w:r>
      </w:hyperlink>
    </w:p>
    <w:p w:rsidR="006474A2" w:rsidRDefault="006474A2">
      <w:pPr>
        <w:spacing w:line="360" w:lineRule="auto"/>
        <w:ind w:firstLineChars="200" w:firstLine="422"/>
        <w:jc w:val="left"/>
        <w:rPr>
          <w:b/>
          <w:szCs w:val="21"/>
        </w:rPr>
      </w:pPr>
    </w:p>
    <w:p w:rsidR="006474A2" w:rsidRDefault="00151D1B">
      <w:pPr>
        <w:spacing w:line="360" w:lineRule="auto"/>
        <w:ind w:firstLineChars="200" w:firstLine="422"/>
        <w:jc w:val="left"/>
        <w:rPr>
          <w:b/>
          <w:szCs w:val="21"/>
        </w:rPr>
      </w:pPr>
      <w:r>
        <w:rPr>
          <w:rFonts w:hint="eastAsia"/>
          <w:b/>
          <w:szCs w:val="21"/>
        </w:rPr>
        <w:t>五</w:t>
      </w:r>
      <w:r>
        <w:rPr>
          <w:b/>
          <w:szCs w:val="21"/>
        </w:rPr>
        <w:t>、风险提示</w:t>
      </w:r>
    </w:p>
    <w:p w:rsidR="006474A2" w:rsidRDefault="00151D1B">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1</w:t>
      </w:r>
      <w:r>
        <w:rPr>
          <w:rFonts w:ascii="inherit" w:eastAsia="宋体" w:hAnsi="inherit" w:cs="Arial"/>
          <w:b/>
          <w:bCs/>
          <w:kern w:val="0"/>
          <w:szCs w:val="21"/>
        </w:rPr>
        <w:t>、投资者应当认真阅读《基金合同》、《招募说明书》等基金法律文件，了解基金的风险收益特征，并根据自身的投资目的、投资期限、投资经验、资产状况等判断基金是否和投资者本身的风险承受能力相适应，进行理性投资。</w:t>
      </w:r>
    </w:p>
    <w:p w:rsidR="006474A2" w:rsidRDefault="00151D1B">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2</w:t>
      </w:r>
      <w:r>
        <w:rPr>
          <w:rFonts w:ascii="inherit" w:eastAsia="宋体" w:hAnsi="inherit" w:cs="Arial"/>
          <w:b/>
          <w:bCs/>
          <w:kern w:val="0"/>
          <w:szCs w:val="21"/>
        </w:rPr>
        <w:t>、投资者应当充分了解基金定投和零存整取等储蓄方式的区别。定投是引导投资者进行长期投资、平均投资成本的一种简单易行的投资方式，但是其并不能规避基金投资所固有的风险，不</w:t>
      </w:r>
      <w:r>
        <w:rPr>
          <w:rFonts w:ascii="inherit" w:eastAsia="宋体" w:hAnsi="inherit" w:cs="Arial"/>
          <w:b/>
          <w:bCs/>
          <w:kern w:val="0"/>
          <w:szCs w:val="21"/>
        </w:rPr>
        <w:t>能保证投资者获得收益，也不是替代储蓄的等效理财方式。</w:t>
      </w:r>
    </w:p>
    <w:p w:rsidR="006474A2" w:rsidRDefault="006474A2">
      <w:pPr>
        <w:spacing w:line="360" w:lineRule="auto"/>
        <w:ind w:firstLineChars="200" w:firstLine="420"/>
        <w:jc w:val="left"/>
        <w:rPr>
          <w:szCs w:val="21"/>
        </w:rPr>
      </w:pPr>
    </w:p>
    <w:p w:rsidR="006474A2" w:rsidRDefault="00151D1B">
      <w:pPr>
        <w:spacing w:line="360" w:lineRule="auto"/>
        <w:ind w:firstLineChars="200" w:firstLine="420"/>
        <w:jc w:val="left"/>
        <w:rPr>
          <w:szCs w:val="21"/>
        </w:rPr>
      </w:pPr>
      <w:r>
        <w:rPr>
          <w:rFonts w:hint="eastAsia"/>
          <w:szCs w:val="21"/>
        </w:rPr>
        <w:t>特此</w:t>
      </w:r>
      <w:r>
        <w:rPr>
          <w:szCs w:val="21"/>
        </w:rPr>
        <w:t>公告</w:t>
      </w:r>
      <w:r>
        <w:rPr>
          <w:rFonts w:hint="eastAsia"/>
          <w:szCs w:val="21"/>
        </w:rPr>
        <w:t>。</w:t>
      </w:r>
    </w:p>
    <w:p w:rsidR="006474A2" w:rsidRDefault="006474A2">
      <w:pPr>
        <w:spacing w:line="360" w:lineRule="auto"/>
        <w:ind w:firstLineChars="200" w:firstLine="420"/>
        <w:jc w:val="left"/>
        <w:rPr>
          <w:szCs w:val="21"/>
        </w:rPr>
      </w:pPr>
    </w:p>
    <w:p w:rsidR="006474A2" w:rsidRDefault="00151D1B">
      <w:pPr>
        <w:spacing w:line="360" w:lineRule="auto"/>
        <w:ind w:firstLineChars="200" w:firstLine="420"/>
        <w:jc w:val="right"/>
        <w:rPr>
          <w:szCs w:val="21"/>
        </w:rPr>
      </w:pPr>
      <w:r>
        <w:rPr>
          <w:rFonts w:hint="eastAsia"/>
          <w:szCs w:val="21"/>
        </w:rPr>
        <w:t>南华</w:t>
      </w:r>
      <w:r>
        <w:rPr>
          <w:szCs w:val="21"/>
        </w:rPr>
        <w:t>基金管理有限公司</w:t>
      </w:r>
    </w:p>
    <w:p w:rsidR="006474A2" w:rsidRDefault="00151D1B">
      <w:pPr>
        <w:spacing w:line="360" w:lineRule="auto"/>
        <w:ind w:firstLineChars="200" w:firstLine="420"/>
        <w:jc w:val="right"/>
        <w:rPr>
          <w:szCs w:val="21"/>
        </w:rPr>
      </w:pPr>
      <w:r>
        <w:rPr>
          <w:rFonts w:hint="eastAsia"/>
          <w:szCs w:val="21"/>
        </w:rPr>
        <w:t>2024</w:t>
      </w:r>
      <w:r>
        <w:rPr>
          <w:rFonts w:hint="eastAsia"/>
          <w:szCs w:val="21"/>
        </w:rPr>
        <w:t>年</w:t>
      </w:r>
      <w:r>
        <w:rPr>
          <w:rFonts w:hint="eastAsia"/>
          <w:szCs w:val="21"/>
        </w:rPr>
        <w:t>10</w:t>
      </w:r>
      <w:r>
        <w:rPr>
          <w:rFonts w:hint="eastAsia"/>
          <w:szCs w:val="21"/>
        </w:rPr>
        <w:t>月</w:t>
      </w:r>
      <w:r>
        <w:rPr>
          <w:rFonts w:hint="eastAsia"/>
          <w:szCs w:val="21"/>
        </w:rPr>
        <w:t>28</w:t>
      </w:r>
      <w:r>
        <w:rPr>
          <w:rFonts w:hint="eastAsia"/>
          <w:szCs w:val="21"/>
        </w:rPr>
        <w:t>日</w:t>
      </w:r>
    </w:p>
    <w:p w:rsidR="006474A2" w:rsidRDefault="006474A2">
      <w:pPr>
        <w:spacing w:line="360" w:lineRule="auto"/>
        <w:ind w:firstLineChars="200" w:firstLine="422"/>
        <w:jc w:val="left"/>
        <w:rPr>
          <w:b/>
          <w:szCs w:val="21"/>
        </w:rPr>
      </w:pPr>
    </w:p>
    <w:sectPr w:rsidR="006474A2" w:rsidSect="006474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A2" w:rsidRDefault="006474A2"/>
  </w:endnote>
  <w:endnote w:type="continuationSeparator" w:id="0">
    <w:p w:rsidR="006474A2" w:rsidRDefault="006474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inheri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A2" w:rsidRDefault="006474A2"/>
  </w:footnote>
  <w:footnote w:type="continuationSeparator" w:id="0">
    <w:p w:rsidR="006474A2" w:rsidRDefault="006474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05DFB"/>
    <w:multiLevelType w:val="multilevel"/>
    <w:tmpl w:val="37405DFB"/>
    <w:lvl w:ilvl="0">
      <w:start w:val="1"/>
      <w:numFmt w:val="japaneseCounting"/>
      <w:lvlText w:val="%1、"/>
      <w:lvlJc w:val="left"/>
      <w:pPr>
        <w:ind w:left="900" w:hanging="45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zYWNlZjBjMTE0YjM1YjVmOTY5OGMwMGYyMGI0YTUifQ=="/>
  </w:docVars>
  <w:rsids>
    <w:rsidRoot w:val="00D11A84"/>
    <w:rsid w:val="000D0C21"/>
    <w:rsid w:val="001249B0"/>
    <w:rsid w:val="00151D1B"/>
    <w:rsid w:val="00162754"/>
    <w:rsid w:val="001A2F6E"/>
    <w:rsid w:val="001A5C6A"/>
    <w:rsid w:val="001F00CB"/>
    <w:rsid w:val="00287AB9"/>
    <w:rsid w:val="002C1302"/>
    <w:rsid w:val="0031644F"/>
    <w:rsid w:val="00316BC2"/>
    <w:rsid w:val="00334159"/>
    <w:rsid w:val="003361A7"/>
    <w:rsid w:val="00370353"/>
    <w:rsid w:val="003844A0"/>
    <w:rsid w:val="00394636"/>
    <w:rsid w:val="003B6037"/>
    <w:rsid w:val="003F540F"/>
    <w:rsid w:val="00403AD7"/>
    <w:rsid w:val="0041277B"/>
    <w:rsid w:val="00413BFB"/>
    <w:rsid w:val="00426F9A"/>
    <w:rsid w:val="004718F8"/>
    <w:rsid w:val="004D1BCC"/>
    <w:rsid w:val="004E2A2B"/>
    <w:rsid w:val="00533C70"/>
    <w:rsid w:val="00550CA6"/>
    <w:rsid w:val="00602F62"/>
    <w:rsid w:val="006031AF"/>
    <w:rsid w:val="00634C1B"/>
    <w:rsid w:val="006474A2"/>
    <w:rsid w:val="00647CC7"/>
    <w:rsid w:val="00657517"/>
    <w:rsid w:val="00684FBF"/>
    <w:rsid w:val="006B58C2"/>
    <w:rsid w:val="006B5A8A"/>
    <w:rsid w:val="006B68DD"/>
    <w:rsid w:val="006C03E0"/>
    <w:rsid w:val="006F78D9"/>
    <w:rsid w:val="00702254"/>
    <w:rsid w:val="00705B42"/>
    <w:rsid w:val="00753D6C"/>
    <w:rsid w:val="00840CB5"/>
    <w:rsid w:val="008A37C4"/>
    <w:rsid w:val="00922FBF"/>
    <w:rsid w:val="00A00FA2"/>
    <w:rsid w:val="00A353AF"/>
    <w:rsid w:val="00A5380B"/>
    <w:rsid w:val="00A548FA"/>
    <w:rsid w:val="00AA09CA"/>
    <w:rsid w:val="00B05192"/>
    <w:rsid w:val="00B078AC"/>
    <w:rsid w:val="00B20E96"/>
    <w:rsid w:val="00B251C6"/>
    <w:rsid w:val="00B3170D"/>
    <w:rsid w:val="00B9419C"/>
    <w:rsid w:val="00BA55BD"/>
    <w:rsid w:val="00BE036A"/>
    <w:rsid w:val="00C009ED"/>
    <w:rsid w:val="00C42C21"/>
    <w:rsid w:val="00CB604C"/>
    <w:rsid w:val="00CE060F"/>
    <w:rsid w:val="00CE2CB5"/>
    <w:rsid w:val="00D043CF"/>
    <w:rsid w:val="00D06A6F"/>
    <w:rsid w:val="00D11A84"/>
    <w:rsid w:val="00D2765D"/>
    <w:rsid w:val="00D65AB8"/>
    <w:rsid w:val="00D826BE"/>
    <w:rsid w:val="00DD356E"/>
    <w:rsid w:val="00E54541"/>
    <w:rsid w:val="00ED1FDC"/>
    <w:rsid w:val="00FA0E60"/>
    <w:rsid w:val="00FA1A7F"/>
    <w:rsid w:val="00FB1AF5"/>
    <w:rsid w:val="00FE2F1C"/>
    <w:rsid w:val="43274A3A"/>
    <w:rsid w:val="536469D1"/>
    <w:rsid w:val="76E10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474A2"/>
    <w:pPr>
      <w:jc w:val="left"/>
    </w:pPr>
  </w:style>
  <w:style w:type="paragraph" w:styleId="a4">
    <w:name w:val="Balloon Text"/>
    <w:basedOn w:val="a"/>
    <w:link w:val="Char0"/>
    <w:uiPriority w:val="99"/>
    <w:semiHidden/>
    <w:unhideWhenUsed/>
    <w:qFormat/>
    <w:rsid w:val="006474A2"/>
    <w:rPr>
      <w:sz w:val="18"/>
      <w:szCs w:val="18"/>
    </w:rPr>
  </w:style>
  <w:style w:type="paragraph" w:styleId="a5">
    <w:name w:val="footer"/>
    <w:basedOn w:val="a"/>
    <w:link w:val="Char1"/>
    <w:uiPriority w:val="99"/>
    <w:unhideWhenUsed/>
    <w:qFormat/>
    <w:rsid w:val="006474A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474A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6474A2"/>
    <w:rPr>
      <w:b/>
      <w:bCs/>
    </w:rPr>
  </w:style>
  <w:style w:type="table" w:styleId="a8">
    <w:name w:val="Table Grid"/>
    <w:basedOn w:val="a1"/>
    <w:uiPriority w:val="39"/>
    <w:qFormat/>
    <w:rsid w:val="006474A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6474A2"/>
    <w:rPr>
      <w:color w:val="0563C1" w:themeColor="hyperlink"/>
      <w:u w:val="single"/>
    </w:rPr>
  </w:style>
  <w:style w:type="character" w:styleId="aa">
    <w:name w:val="annotation reference"/>
    <w:basedOn w:val="a0"/>
    <w:uiPriority w:val="99"/>
    <w:semiHidden/>
    <w:unhideWhenUsed/>
    <w:qFormat/>
    <w:rsid w:val="006474A2"/>
    <w:rPr>
      <w:sz w:val="21"/>
      <w:szCs w:val="21"/>
    </w:rPr>
  </w:style>
  <w:style w:type="paragraph" w:styleId="ab">
    <w:name w:val="List Paragraph"/>
    <w:basedOn w:val="a"/>
    <w:uiPriority w:val="34"/>
    <w:qFormat/>
    <w:rsid w:val="006474A2"/>
    <w:pPr>
      <w:ind w:firstLineChars="200" w:firstLine="420"/>
    </w:pPr>
  </w:style>
  <w:style w:type="character" w:customStyle="1" w:styleId="Char0">
    <w:name w:val="批注框文本 Char"/>
    <w:basedOn w:val="a0"/>
    <w:link w:val="a4"/>
    <w:uiPriority w:val="99"/>
    <w:semiHidden/>
    <w:qFormat/>
    <w:rsid w:val="006474A2"/>
    <w:rPr>
      <w:sz w:val="18"/>
      <w:szCs w:val="18"/>
    </w:rPr>
  </w:style>
  <w:style w:type="character" w:customStyle="1" w:styleId="Char">
    <w:name w:val="批注文字 Char"/>
    <w:basedOn w:val="a0"/>
    <w:link w:val="a3"/>
    <w:uiPriority w:val="99"/>
    <w:semiHidden/>
    <w:qFormat/>
    <w:rsid w:val="006474A2"/>
  </w:style>
  <w:style w:type="character" w:customStyle="1" w:styleId="Char3">
    <w:name w:val="批注主题 Char"/>
    <w:basedOn w:val="Char"/>
    <w:link w:val="a7"/>
    <w:uiPriority w:val="99"/>
    <w:semiHidden/>
    <w:qFormat/>
    <w:rsid w:val="006474A2"/>
    <w:rPr>
      <w:b/>
      <w:bCs/>
    </w:rPr>
  </w:style>
  <w:style w:type="character" w:customStyle="1" w:styleId="Char2">
    <w:name w:val="页眉 Char"/>
    <w:basedOn w:val="a0"/>
    <w:link w:val="a6"/>
    <w:uiPriority w:val="99"/>
    <w:qFormat/>
    <w:rsid w:val="006474A2"/>
    <w:rPr>
      <w:sz w:val="18"/>
      <w:szCs w:val="18"/>
    </w:rPr>
  </w:style>
  <w:style w:type="character" w:customStyle="1" w:styleId="Char1">
    <w:name w:val="页脚 Char"/>
    <w:basedOn w:val="a0"/>
    <w:link w:val="a5"/>
    <w:uiPriority w:val="99"/>
    <w:rsid w:val="006474A2"/>
    <w:rPr>
      <w:sz w:val="18"/>
      <w:szCs w:val="18"/>
    </w:rPr>
  </w:style>
  <w:style w:type="paragraph" w:customStyle="1" w:styleId="1">
    <w:name w:val="修订1"/>
    <w:hidden/>
    <w:uiPriority w:val="99"/>
    <w:semiHidden/>
    <w:qFormat/>
    <w:rsid w:val="006474A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nhuaf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4</DocSecurity>
  <Lines>7</Lines>
  <Paragraphs>2</Paragraphs>
  <ScaleCrop>false</ScaleCrop>
  <Company>P R C</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张艳梅</dc:creator>
  <cp:lastModifiedBy>ZHONGM</cp:lastModifiedBy>
  <cp:revision>2</cp:revision>
  <dcterms:created xsi:type="dcterms:W3CDTF">2024-10-27T16:00:00Z</dcterms:created>
  <dcterms:modified xsi:type="dcterms:W3CDTF">2024-10-27T16:00:00Z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6784D2D0544D4D618455246149A0B813_13</vt:lpwstr>
  </property>
</Properties>
</file>