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A85" w:rsidRPr="00F83FC8" w:rsidRDefault="00AD0A85" w:rsidP="00236BC1">
      <w:pPr>
        <w:spacing w:line="276" w:lineRule="auto"/>
        <w:jc w:val="center"/>
        <w:rPr>
          <w:rFonts w:ascii="宋体" w:hAnsi="宋体" w:hint="eastAsia"/>
          <w:b/>
          <w:sz w:val="28"/>
          <w:szCs w:val="28"/>
        </w:rPr>
      </w:pPr>
      <w:r w:rsidRPr="00F83FC8">
        <w:rPr>
          <w:rFonts w:ascii="宋体" w:hAnsi="宋体" w:hint="eastAsia"/>
          <w:b/>
          <w:sz w:val="28"/>
          <w:szCs w:val="28"/>
        </w:rPr>
        <w:t>华泰柏瑞基金管理有限公司</w:t>
      </w:r>
    </w:p>
    <w:p w:rsidR="00A2016C" w:rsidRDefault="00AD0A85" w:rsidP="00236BC1">
      <w:pPr>
        <w:spacing w:line="276" w:lineRule="auto"/>
        <w:jc w:val="center"/>
        <w:rPr>
          <w:rFonts w:ascii="宋体" w:hAnsi="宋体"/>
          <w:b/>
          <w:sz w:val="28"/>
          <w:szCs w:val="28"/>
        </w:rPr>
      </w:pPr>
      <w:r w:rsidRPr="00F83FC8">
        <w:rPr>
          <w:rFonts w:ascii="宋体" w:hAnsi="宋体" w:hint="eastAsia"/>
          <w:b/>
          <w:sz w:val="28"/>
          <w:szCs w:val="28"/>
        </w:rPr>
        <w:t>关于</w:t>
      </w:r>
      <w:r w:rsidR="00970341" w:rsidRPr="00F83FC8">
        <w:rPr>
          <w:rFonts w:ascii="宋体" w:hAnsi="宋体" w:hint="eastAsia"/>
          <w:b/>
          <w:sz w:val="28"/>
          <w:szCs w:val="28"/>
        </w:rPr>
        <w:t>华泰柏瑞</w:t>
      </w:r>
      <w:r w:rsidR="00A61E07">
        <w:rPr>
          <w:rFonts w:ascii="宋体" w:hAnsi="宋体" w:hint="eastAsia"/>
          <w:b/>
          <w:sz w:val="28"/>
          <w:szCs w:val="28"/>
        </w:rPr>
        <w:t>中证1000</w:t>
      </w:r>
      <w:r w:rsidR="00970341" w:rsidRPr="00F83FC8">
        <w:rPr>
          <w:rFonts w:ascii="宋体" w:hAnsi="宋体" w:hint="eastAsia"/>
          <w:b/>
          <w:sz w:val="28"/>
          <w:szCs w:val="28"/>
        </w:rPr>
        <w:t>交易型开放式指数证券投资基金</w:t>
      </w:r>
    </w:p>
    <w:p w:rsidR="00AD0A85" w:rsidRPr="00F83FC8" w:rsidRDefault="00A2016C" w:rsidP="00236BC1">
      <w:pPr>
        <w:spacing w:line="276" w:lineRule="auto"/>
        <w:jc w:val="center"/>
        <w:rPr>
          <w:rFonts w:ascii="宋体" w:hAnsi="宋体"/>
          <w:b/>
          <w:sz w:val="28"/>
          <w:szCs w:val="28"/>
        </w:rPr>
      </w:pPr>
      <w:r>
        <w:rPr>
          <w:rFonts w:ascii="宋体" w:hAnsi="宋体" w:hint="eastAsia"/>
          <w:b/>
          <w:sz w:val="28"/>
          <w:szCs w:val="28"/>
        </w:rPr>
        <w:t>基金份额合并结果</w:t>
      </w:r>
      <w:r w:rsidR="00236BC1" w:rsidRPr="00F83FC8">
        <w:rPr>
          <w:rFonts w:ascii="宋体" w:hAnsi="宋体" w:hint="eastAsia"/>
          <w:b/>
          <w:sz w:val="28"/>
          <w:szCs w:val="28"/>
        </w:rPr>
        <w:t>的公告</w:t>
      </w:r>
    </w:p>
    <w:p w:rsidR="00AD0A85" w:rsidRPr="00F83FC8" w:rsidRDefault="00AD0A85" w:rsidP="00236BC1">
      <w:pPr>
        <w:spacing w:line="276" w:lineRule="auto"/>
        <w:rPr>
          <w:rFonts w:ascii="宋体" w:hAnsi="宋体"/>
          <w:b/>
          <w:szCs w:val="21"/>
        </w:rPr>
      </w:pPr>
    </w:p>
    <w:p w:rsidR="00236BC1" w:rsidRPr="00F83FC8" w:rsidRDefault="00236BC1" w:rsidP="00A2016C">
      <w:pPr>
        <w:spacing w:line="360" w:lineRule="auto"/>
        <w:ind w:firstLine="420"/>
        <w:rPr>
          <w:rFonts w:ascii="宋体" w:hAnsi="宋体" w:hint="eastAsia"/>
          <w:szCs w:val="21"/>
        </w:rPr>
      </w:pPr>
      <w:r w:rsidRPr="00F83FC8">
        <w:rPr>
          <w:rFonts w:ascii="宋体" w:hAnsi="宋体" w:hint="eastAsia"/>
          <w:szCs w:val="21"/>
        </w:rPr>
        <w:t>根据《</w:t>
      </w:r>
      <w:r w:rsidR="00970341" w:rsidRPr="00F83FC8">
        <w:rPr>
          <w:rFonts w:ascii="宋体" w:hAnsi="宋体" w:hint="eastAsia"/>
          <w:szCs w:val="21"/>
        </w:rPr>
        <w:t>华泰柏瑞</w:t>
      </w:r>
      <w:r w:rsidR="00A61E07">
        <w:rPr>
          <w:rFonts w:ascii="宋体" w:hAnsi="宋体" w:hint="eastAsia"/>
          <w:szCs w:val="21"/>
        </w:rPr>
        <w:t>中证1000</w:t>
      </w:r>
      <w:r w:rsidR="00970341" w:rsidRPr="00F83FC8">
        <w:rPr>
          <w:rFonts w:ascii="宋体" w:hAnsi="宋体" w:hint="eastAsia"/>
          <w:szCs w:val="21"/>
        </w:rPr>
        <w:t>交易型开放式指数证券投资基金</w:t>
      </w:r>
      <w:r w:rsidRPr="00F83FC8">
        <w:rPr>
          <w:rFonts w:ascii="宋体" w:hAnsi="宋体" w:hint="eastAsia"/>
          <w:szCs w:val="21"/>
        </w:rPr>
        <w:t>基金合同》</w:t>
      </w:r>
      <w:r w:rsidR="00A2016C">
        <w:rPr>
          <w:rFonts w:ascii="宋体" w:hAnsi="宋体" w:hint="eastAsia"/>
          <w:szCs w:val="21"/>
        </w:rPr>
        <w:t>、《</w:t>
      </w:r>
      <w:r w:rsidR="00A2016C" w:rsidRPr="00A2016C">
        <w:rPr>
          <w:rFonts w:ascii="宋体" w:hAnsi="宋体" w:hint="eastAsia"/>
          <w:szCs w:val="21"/>
        </w:rPr>
        <w:t>华泰柏瑞基金管理有限公司关于华泰柏瑞</w:t>
      </w:r>
      <w:r w:rsidR="00A61E07">
        <w:rPr>
          <w:rFonts w:ascii="宋体" w:hAnsi="宋体" w:hint="eastAsia"/>
          <w:szCs w:val="21"/>
        </w:rPr>
        <w:t>中证1000</w:t>
      </w:r>
      <w:r w:rsidR="00A2016C" w:rsidRPr="00A2016C">
        <w:rPr>
          <w:rFonts w:ascii="宋体" w:hAnsi="宋体" w:hint="eastAsia"/>
          <w:szCs w:val="21"/>
        </w:rPr>
        <w:t>交易型开放式指数证券投资基金实施基金份额合并及调整最小申购、赎回单位相关业务安排的公告</w:t>
      </w:r>
      <w:r w:rsidR="00A2016C">
        <w:rPr>
          <w:rFonts w:ascii="宋体" w:hAnsi="宋体" w:hint="eastAsia"/>
          <w:szCs w:val="21"/>
        </w:rPr>
        <w:t>》</w:t>
      </w:r>
      <w:r w:rsidRPr="00F83FC8">
        <w:rPr>
          <w:rFonts w:ascii="宋体" w:hAnsi="宋体" w:hint="eastAsia"/>
          <w:szCs w:val="21"/>
        </w:rPr>
        <w:t>的规定，</w:t>
      </w:r>
      <w:r w:rsidR="00A2016C">
        <w:rPr>
          <w:rFonts w:ascii="宋体" w:hAnsi="宋体" w:hint="eastAsia"/>
          <w:szCs w:val="21"/>
        </w:rPr>
        <w:t>现将</w:t>
      </w:r>
      <w:r w:rsidR="00970341" w:rsidRPr="00F83FC8">
        <w:rPr>
          <w:rFonts w:ascii="宋体" w:hAnsi="宋体" w:hint="eastAsia"/>
          <w:szCs w:val="21"/>
        </w:rPr>
        <w:t>华泰柏瑞</w:t>
      </w:r>
      <w:r w:rsidR="00A61E07">
        <w:rPr>
          <w:rFonts w:ascii="宋体" w:hAnsi="宋体" w:hint="eastAsia"/>
          <w:szCs w:val="21"/>
        </w:rPr>
        <w:t>中证1000</w:t>
      </w:r>
      <w:r w:rsidR="00970341" w:rsidRPr="00F83FC8">
        <w:rPr>
          <w:rFonts w:ascii="宋体" w:hAnsi="宋体" w:hint="eastAsia"/>
          <w:szCs w:val="21"/>
        </w:rPr>
        <w:t>交易型开放式指数证券投资基金</w:t>
      </w:r>
      <w:r w:rsidRPr="00F83FC8">
        <w:rPr>
          <w:rFonts w:ascii="宋体" w:hAnsi="宋体" w:hint="eastAsia"/>
          <w:szCs w:val="21"/>
        </w:rPr>
        <w:t>（</w:t>
      </w:r>
      <w:r w:rsidR="00A61E07" w:rsidRPr="00F83FC8">
        <w:rPr>
          <w:rFonts w:ascii="宋体" w:hAnsi="宋体" w:hint="eastAsia"/>
          <w:szCs w:val="21"/>
        </w:rPr>
        <w:t>以下简称“本基金”，场内简称：</w:t>
      </w:r>
      <w:r w:rsidR="00A61E07">
        <w:rPr>
          <w:rFonts w:ascii="宋体" w:hAnsi="宋体" w:hint="eastAsia"/>
          <w:szCs w:val="21"/>
        </w:rPr>
        <w:t>中证1</w:t>
      </w:r>
      <w:r w:rsidR="00A61E07">
        <w:rPr>
          <w:rFonts w:ascii="宋体" w:hAnsi="宋体"/>
          <w:szCs w:val="21"/>
        </w:rPr>
        <w:t>000</w:t>
      </w:r>
      <w:r w:rsidR="00A61E07" w:rsidRPr="00F83FC8">
        <w:rPr>
          <w:rFonts w:ascii="宋体" w:hAnsi="宋体" w:hint="eastAsia"/>
          <w:szCs w:val="21"/>
        </w:rPr>
        <w:t>，</w:t>
      </w:r>
      <w:r w:rsidR="00A61E07">
        <w:rPr>
          <w:rFonts w:ascii="宋体" w:hAnsi="宋体" w:hint="eastAsia"/>
          <w:szCs w:val="21"/>
        </w:rPr>
        <w:t>扩位证券简称：中证1</w:t>
      </w:r>
      <w:r w:rsidR="00A61E07">
        <w:rPr>
          <w:rFonts w:ascii="宋体" w:hAnsi="宋体"/>
          <w:szCs w:val="21"/>
        </w:rPr>
        <w:t>000</w:t>
      </w:r>
      <w:r w:rsidR="00A61E07">
        <w:rPr>
          <w:rFonts w:ascii="宋体" w:hAnsi="宋体" w:hint="eastAsia"/>
          <w:szCs w:val="21"/>
        </w:rPr>
        <w:t>指数ETF，</w:t>
      </w:r>
      <w:r w:rsidR="00A61E07" w:rsidRPr="00F83FC8">
        <w:rPr>
          <w:rFonts w:ascii="宋体" w:hAnsi="宋体" w:hint="eastAsia"/>
          <w:szCs w:val="21"/>
        </w:rPr>
        <w:t>基金代码：</w:t>
      </w:r>
      <w:r w:rsidR="00A61E07">
        <w:rPr>
          <w:rFonts w:ascii="宋体" w:hAnsi="宋体"/>
          <w:szCs w:val="21"/>
        </w:rPr>
        <w:t>516300</w:t>
      </w:r>
      <w:r w:rsidRPr="00F83FC8">
        <w:rPr>
          <w:rFonts w:ascii="宋体" w:hAnsi="宋体" w:hint="eastAsia"/>
          <w:szCs w:val="21"/>
        </w:rPr>
        <w:t>）基金份额</w:t>
      </w:r>
      <w:r w:rsidR="00CA2D18">
        <w:rPr>
          <w:rFonts w:ascii="宋体" w:hAnsi="宋体" w:hint="eastAsia"/>
          <w:szCs w:val="21"/>
        </w:rPr>
        <w:t>合并</w:t>
      </w:r>
      <w:r w:rsidR="00A2016C">
        <w:rPr>
          <w:rFonts w:ascii="宋体" w:hAnsi="宋体" w:hint="eastAsia"/>
          <w:szCs w:val="21"/>
        </w:rPr>
        <w:t>结果</w:t>
      </w:r>
      <w:r w:rsidRPr="00F83FC8">
        <w:rPr>
          <w:rFonts w:ascii="宋体" w:hAnsi="宋体" w:hint="eastAsia"/>
          <w:szCs w:val="21"/>
        </w:rPr>
        <w:t>有关</w:t>
      </w:r>
      <w:r w:rsidR="00A2016C">
        <w:rPr>
          <w:rFonts w:ascii="宋体" w:hAnsi="宋体" w:hint="eastAsia"/>
          <w:szCs w:val="21"/>
        </w:rPr>
        <w:t>事项</w:t>
      </w:r>
      <w:r w:rsidRPr="00F83FC8">
        <w:rPr>
          <w:rFonts w:ascii="宋体" w:hAnsi="宋体" w:hint="eastAsia"/>
          <w:szCs w:val="21"/>
        </w:rPr>
        <w:t>公告如下：</w:t>
      </w:r>
    </w:p>
    <w:p w:rsidR="00341497" w:rsidRDefault="00236BC1" w:rsidP="00236BC1">
      <w:pPr>
        <w:spacing w:line="360" w:lineRule="auto"/>
        <w:ind w:firstLine="420"/>
        <w:rPr>
          <w:rFonts w:ascii="宋体" w:hAnsi="宋体"/>
          <w:szCs w:val="21"/>
        </w:rPr>
      </w:pPr>
      <w:r w:rsidRPr="00F83FC8">
        <w:rPr>
          <w:rFonts w:ascii="宋体" w:hAnsi="宋体" w:hint="eastAsia"/>
          <w:szCs w:val="21"/>
        </w:rPr>
        <w:t>一、</w:t>
      </w:r>
      <w:r w:rsidR="00341497">
        <w:rPr>
          <w:rFonts w:ascii="宋体" w:hAnsi="宋体" w:hint="eastAsia"/>
          <w:szCs w:val="21"/>
        </w:rPr>
        <w:t>基金份额合并结果</w:t>
      </w:r>
    </w:p>
    <w:p w:rsidR="00236BC1" w:rsidRPr="00F83FC8" w:rsidRDefault="00341497" w:rsidP="00236BC1">
      <w:pPr>
        <w:spacing w:line="360" w:lineRule="auto"/>
        <w:ind w:firstLine="420"/>
        <w:rPr>
          <w:rFonts w:ascii="宋体" w:hAnsi="宋体" w:hint="eastAsia"/>
          <w:szCs w:val="21"/>
        </w:rPr>
      </w:pPr>
      <w:r>
        <w:rPr>
          <w:rFonts w:ascii="宋体" w:hAnsi="宋体" w:hint="eastAsia"/>
          <w:szCs w:val="21"/>
        </w:rPr>
        <w:t>1、</w:t>
      </w:r>
      <w:r w:rsidR="00CA2D18">
        <w:rPr>
          <w:rFonts w:ascii="宋体" w:hAnsi="宋体" w:hint="eastAsia"/>
          <w:szCs w:val="21"/>
        </w:rPr>
        <w:t>合并</w:t>
      </w:r>
      <w:r>
        <w:rPr>
          <w:rFonts w:ascii="宋体" w:hAnsi="宋体" w:hint="eastAsia"/>
          <w:szCs w:val="21"/>
        </w:rPr>
        <w:t>方式</w:t>
      </w:r>
    </w:p>
    <w:p w:rsidR="00C06191" w:rsidRPr="00F83FC8" w:rsidRDefault="00C06191" w:rsidP="004020C2">
      <w:pPr>
        <w:spacing w:line="360" w:lineRule="auto"/>
        <w:ind w:firstLine="420"/>
        <w:rPr>
          <w:rFonts w:ascii="宋体" w:hAnsi="宋体"/>
        </w:rPr>
      </w:pPr>
      <w:r w:rsidRPr="00F83FC8">
        <w:rPr>
          <w:rFonts w:ascii="宋体" w:hAnsi="宋体" w:hint="eastAsia"/>
        </w:rPr>
        <w:t>（1）</w:t>
      </w:r>
      <w:r w:rsidR="00A61E07" w:rsidRPr="00F83FC8">
        <w:rPr>
          <w:rFonts w:ascii="宋体" w:hAnsi="宋体"/>
        </w:rPr>
        <w:t>基金份额</w:t>
      </w:r>
      <w:r w:rsidR="00A61E07">
        <w:rPr>
          <w:rFonts w:ascii="宋体" w:hAnsi="宋体"/>
        </w:rPr>
        <w:t>合并</w:t>
      </w:r>
      <w:r w:rsidR="00A61E07" w:rsidRPr="00F83FC8">
        <w:rPr>
          <w:rFonts w:ascii="宋体" w:hAnsi="宋体"/>
        </w:rPr>
        <w:t>后本基金基金份额净值与2024年</w:t>
      </w:r>
      <w:r w:rsidR="00A61E07">
        <w:rPr>
          <w:rFonts w:ascii="宋体" w:hAnsi="宋体"/>
        </w:rPr>
        <w:t>10</w:t>
      </w:r>
      <w:r w:rsidR="00A61E07" w:rsidRPr="00F83FC8">
        <w:rPr>
          <w:rFonts w:ascii="宋体" w:hAnsi="宋体"/>
        </w:rPr>
        <w:t>月</w:t>
      </w:r>
      <w:r w:rsidR="00A61E07">
        <w:rPr>
          <w:rFonts w:ascii="宋体" w:hAnsi="宋体"/>
        </w:rPr>
        <w:t>18</w:t>
      </w:r>
      <w:r w:rsidR="00A61E07" w:rsidRPr="00F83FC8">
        <w:rPr>
          <w:rFonts w:ascii="宋体" w:hAnsi="宋体"/>
        </w:rPr>
        <w:t>日</w:t>
      </w:r>
      <w:r w:rsidR="00A61E07">
        <w:rPr>
          <w:rFonts w:ascii="宋体" w:hAnsi="宋体"/>
        </w:rPr>
        <w:t>中证1000指数</w:t>
      </w:r>
      <w:r w:rsidR="00A61E07" w:rsidRPr="00F83FC8">
        <w:rPr>
          <w:rFonts w:ascii="宋体" w:hAnsi="宋体"/>
        </w:rPr>
        <w:t>收盘点位的</w:t>
      </w:r>
      <w:r w:rsidR="00A61E07">
        <w:rPr>
          <w:rFonts w:ascii="宋体" w:hAnsi="宋体" w:hint="eastAsia"/>
        </w:rPr>
        <w:t>万</w:t>
      </w:r>
      <w:r w:rsidR="00A61E07" w:rsidRPr="00F83FC8">
        <w:rPr>
          <w:rFonts w:ascii="宋体" w:hAnsi="宋体"/>
        </w:rPr>
        <w:t>分之</w:t>
      </w:r>
      <w:r w:rsidR="00A61E07">
        <w:rPr>
          <w:rFonts w:ascii="宋体" w:hAnsi="宋体" w:hint="eastAsia"/>
        </w:rPr>
        <w:t>四</w:t>
      </w:r>
      <w:r w:rsidR="00A61E07" w:rsidRPr="00F83FC8">
        <w:rPr>
          <w:rFonts w:ascii="宋体" w:hAnsi="宋体"/>
        </w:rPr>
        <w:t>基本一致。</w:t>
      </w:r>
      <w:r w:rsidRPr="00F83FC8">
        <w:rPr>
          <w:rFonts w:ascii="宋体" w:hAnsi="宋体"/>
        </w:rPr>
        <w:t xml:space="preserve"> </w:t>
      </w:r>
    </w:p>
    <w:p w:rsidR="00A61E07" w:rsidRDefault="00C06191" w:rsidP="00A61E07">
      <w:pPr>
        <w:spacing w:line="360" w:lineRule="auto"/>
        <w:ind w:firstLine="420"/>
        <w:rPr>
          <w:rFonts w:ascii="宋体" w:hAnsi="宋体"/>
        </w:rPr>
      </w:pPr>
      <w:r w:rsidRPr="00F83FC8">
        <w:rPr>
          <w:rFonts w:ascii="宋体" w:hAnsi="宋体" w:hint="eastAsia"/>
        </w:rPr>
        <w:t>（2）</w:t>
      </w:r>
      <w:r w:rsidR="00A61E07">
        <w:rPr>
          <w:rFonts w:ascii="宋体" w:hAnsi="宋体"/>
        </w:rPr>
        <w:t>合并</w:t>
      </w:r>
      <w:r w:rsidR="00A61E07" w:rsidRPr="00F83FC8">
        <w:rPr>
          <w:rFonts w:ascii="宋体" w:hAnsi="宋体"/>
        </w:rPr>
        <w:t>比例=（X÷Y）÷（I×</w:t>
      </w:r>
      <w:r w:rsidR="00A61E07">
        <w:rPr>
          <w:rFonts w:ascii="宋体" w:hAnsi="宋体"/>
        </w:rPr>
        <w:t>4</w:t>
      </w:r>
      <w:r w:rsidR="00A61E07" w:rsidRPr="00F83FC8">
        <w:rPr>
          <w:rFonts w:ascii="宋体" w:hAnsi="宋体"/>
        </w:rPr>
        <w:t>÷10</w:t>
      </w:r>
      <w:r w:rsidR="00A61E07">
        <w:rPr>
          <w:rFonts w:ascii="宋体" w:hAnsi="宋体"/>
        </w:rPr>
        <w:t>0</w:t>
      </w:r>
      <w:r w:rsidR="00A61E07" w:rsidRPr="00F83FC8">
        <w:rPr>
          <w:rFonts w:ascii="宋体" w:hAnsi="宋体"/>
        </w:rPr>
        <w:t>00）</w:t>
      </w:r>
    </w:p>
    <w:p w:rsidR="00A61E07" w:rsidRDefault="00A61E07" w:rsidP="00A61E07">
      <w:pPr>
        <w:spacing w:line="360" w:lineRule="auto"/>
        <w:ind w:firstLine="420"/>
        <w:rPr>
          <w:rFonts w:ascii="宋体" w:hAnsi="宋体"/>
        </w:rPr>
      </w:pPr>
      <w:r w:rsidRPr="00F83FC8">
        <w:rPr>
          <w:rFonts w:ascii="宋体" w:hAnsi="宋体"/>
        </w:rPr>
        <w:t>其中，X为2024年</w:t>
      </w:r>
      <w:r>
        <w:rPr>
          <w:rFonts w:ascii="宋体" w:hAnsi="宋体"/>
        </w:rPr>
        <w:t>10</w:t>
      </w:r>
      <w:r w:rsidRPr="00F83FC8">
        <w:rPr>
          <w:rFonts w:ascii="宋体" w:hAnsi="宋体"/>
        </w:rPr>
        <w:t>月</w:t>
      </w:r>
      <w:r>
        <w:rPr>
          <w:rFonts w:ascii="宋体" w:hAnsi="宋体" w:hint="eastAsia"/>
        </w:rPr>
        <w:t>1</w:t>
      </w:r>
      <w:r>
        <w:rPr>
          <w:rFonts w:ascii="宋体" w:hAnsi="宋体"/>
        </w:rPr>
        <w:t>8</w:t>
      </w:r>
      <w:r w:rsidRPr="00F83FC8">
        <w:rPr>
          <w:rFonts w:ascii="宋体" w:hAnsi="宋体"/>
        </w:rPr>
        <w:t>日经本基金管理人计算并经托管人复核的本基金</w:t>
      </w:r>
      <w:r>
        <w:rPr>
          <w:rFonts w:ascii="宋体" w:hAnsi="宋体" w:hint="eastAsia"/>
        </w:rPr>
        <w:t>基金</w:t>
      </w:r>
      <w:r w:rsidRPr="00F83FC8">
        <w:rPr>
          <w:rFonts w:ascii="宋体" w:hAnsi="宋体"/>
        </w:rPr>
        <w:t>资产净值，Y为2024年</w:t>
      </w:r>
      <w:r>
        <w:rPr>
          <w:rFonts w:ascii="宋体" w:hAnsi="宋体"/>
        </w:rPr>
        <w:t>10</w:t>
      </w:r>
      <w:r w:rsidRPr="00F83FC8">
        <w:rPr>
          <w:rFonts w:ascii="宋体" w:hAnsi="宋体"/>
        </w:rPr>
        <w:t>月</w:t>
      </w:r>
      <w:r>
        <w:rPr>
          <w:rFonts w:ascii="宋体" w:hAnsi="宋体" w:hint="eastAsia"/>
        </w:rPr>
        <w:t>1</w:t>
      </w:r>
      <w:r>
        <w:rPr>
          <w:rFonts w:ascii="宋体" w:hAnsi="宋体"/>
        </w:rPr>
        <w:t>8</w:t>
      </w:r>
      <w:r w:rsidRPr="00F83FC8">
        <w:rPr>
          <w:rFonts w:ascii="宋体" w:hAnsi="宋体"/>
        </w:rPr>
        <w:t>日</w:t>
      </w:r>
      <w:r>
        <w:rPr>
          <w:rFonts w:ascii="宋体" w:hAnsi="宋体"/>
        </w:rPr>
        <w:t>合并</w:t>
      </w:r>
      <w:r w:rsidRPr="00F83FC8">
        <w:rPr>
          <w:rFonts w:ascii="宋体" w:hAnsi="宋体"/>
        </w:rPr>
        <w:t>前本基金基金份额总数，I为2024年</w:t>
      </w:r>
      <w:r>
        <w:rPr>
          <w:rFonts w:ascii="宋体" w:hAnsi="宋体"/>
        </w:rPr>
        <w:t>10</w:t>
      </w:r>
      <w:r w:rsidRPr="00F83FC8">
        <w:rPr>
          <w:rFonts w:ascii="宋体" w:hAnsi="宋体"/>
        </w:rPr>
        <w:t>月</w:t>
      </w:r>
      <w:r>
        <w:rPr>
          <w:rFonts w:ascii="宋体" w:hAnsi="宋体" w:hint="eastAsia"/>
        </w:rPr>
        <w:t>1</w:t>
      </w:r>
      <w:r>
        <w:rPr>
          <w:rFonts w:ascii="宋体" w:hAnsi="宋体"/>
        </w:rPr>
        <w:t>8</w:t>
      </w:r>
      <w:r w:rsidRPr="00F83FC8">
        <w:rPr>
          <w:rFonts w:ascii="宋体" w:hAnsi="宋体"/>
        </w:rPr>
        <w:t>日</w:t>
      </w:r>
      <w:r>
        <w:rPr>
          <w:rFonts w:ascii="宋体" w:hAnsi="宋体"/>
        </w:rPr>
        <w:t>中证1000指数</w:t>
      </w:r>
      <w:r w:rsidRPr="00F83FC8">
        <w:rPr>
          <w:rFonts w:ascii="宋体" w:hAnsi="宋体"/>
        </w:rPr>
        <w:t>收盘点位。</w:t>
      </w:r>
      <w:r>
        <w:rPr>
          <w:rFonts w:ascii="宋体" w:hAnsi="宋体"/>
        </w:rPr>
        <w:t>合并</w:t>
      </w:r>
      <w:r w:rsidRPr="00F83FC8">
        <w:rPr>
          <w:rFonts w:ascii="宋体" w:hAnsi="宋体"/>
        </w:rPr>
        <w:t>比例以四舍五入的方法保留至小数点后8位。</w:t>
      </w:r>
    </w:p>
    <w:p w:rsidR="00B751CE" w:rsidRDefault="00A61E07" w:rsidP="00A61E07">
      <w:pPr>
        <w:spacing w:line="360" w:lineRule="auto"/>
        <w:ind w:firstLine="420"/>
        <w:rPr>
          <w:rFonts w:ascii="宋体" w:hAnsi="宋体"/>
        </w:rPr>
      </w:pPr>
      <w:r w:rsidRPr="00F83FC8">
        <w:rPr>
          <w:rFonts w:ascii="宋体" w:hAnsi="宋体"/>
        </w:rPr>
        <w:t>2024年</w:t>
      </w:r>
      <w:r>
        <w:rPr>
          <w:rFonts w:ascii="宋体" w:hAnsi="宋体"/>
        </w:rPr>
        <w:t>10</w:t>
      </w:r>
      <w:r w:rsidRPr="00F83FC8">
        <w:rPr>
          <w:rFonts w:ascii="宋体" w:hAnsi="宋体"/>
        </w:rPr>
        <w:t>月</w:t>
      </w:r>
      <w:r>
        <w:rPr>
          <w:rFonts w:ascii="宋体" w:hAnsi="宋体" w:hint="eastAsia"/>
        </w:rPr>
        <w:t>1</w:t>
      </w:r>
      <w:r>
        <w:rPr>
          <w:rFonts w:ascii="宋体" w:hAnsi="宋体"/>
        </w:rPr>
        <w:t>8</w:t>
      </w:r>
      <w:r w:rsidRPr="00F83FC8">
        <w:rPr>
          <w:rFonts w:ascii="宋体" w:hAnsi="宋体"/>
        </w:rPr>
        <w:t>日，经本基金管理人计算并经托管人复核的本基金资产净值为</w:t>
      </w:r>
      <w:r w:rsidRPr="007371F7">
        <w:rPr>
          <w:rFonts w:ascii="宋体" w:hAnsi="宋体"/>
        </w:rPr>
        <w:t>246,417,632.25</w:t>
      </w:r>
      <w:r w:rsidRPr="00F83FC8">
        <w:rPr>
          <w:rFonts w:ascii="宋体" w:hAnsi="宋体"/>
        </w:rPr>
        <w:t>元，该日</w:t>
      </w:r>
      <w:r>
        <w:rPr>
          <w:rFonts w:ascii="宋体" w:hAnsi="宋体"/>
        </w:rPr>
        <w:t>合并</w:t>
      </w:r>
      <w:r w:rsidRPr="00F83FC8">
        <w:rPr>
          <w:rFonts w:ascii="宋体" w:hAnsi="宋体"/>
        </w:rPr>
        <w:t>前本基金基金份额总数为</w:t>
      </w:r>
      <w:r w:rsidRPr="007371F7">
        <w:rPr>
          <w:rFonts w:ascii="宋体" w:hAnsi="宋体"/>
        </w:rPr>
        <w:t>254,102,182.00</w:t>
      </w:r>
      <w:r w:rsidRPr="00F83FC8">
        <w:rPr>
          <w:rFonts w:ascii="宋体" w:hAnsi="宋体"/>
        </w:rPr>
        <w:t>份，该日</w:t>
      </w:r>
      <w:r>
        <w:rPr>
          <w:rFonts w:ascii="宋体" w:hAnsi="宋体"/>
        </w:rPr>
        <w:t>中证1000指数</w:t>
      </w:r>
      <w:r w:rsidRPr="00F83FC8">
        <w:rPr>
          <w:rFonts w:ascii="宋体" w:hAnsi="宋体"/>
        </w:rPr>
        <w:t>收盘点位为</w:t>
      </w:r>
      <w:r w:rsidRPr="007371F7">
        <w:rPr>
          <w:rFonts w:ascii="宋体" w:hAnsi="宋体"/>
        </w:rPr>
        <w:t>5,749.43</w:t>
      </w:r>
      <w:r w:rsidRPr="00F83FC8">
        <w:rPr>
          <w:rFonts w:ascii="宋体" w:hAnsi="宋体"/>
        </w:rPr>
        <w:t>。根据上述公式，本基金本次基金份额</w:t>
      </w:r>
      <w:r>
        <w:rPr>
          <w:rFonts w:ascii="宋体" w:hAnsi="宋体"/>
        </w:rPr>
        <w:t>合并</w:t>
      </w:r>
      <w:r w:rsidRPr="00F83FC8">
        <w:rPr>
          <w:rFonts w:ascii="宋体" w:hAnsi="宋体"/>
        </w:rPr>
        <w:t>比例为</w:t>
      </w:r>
      <w:r w:rsidRPr="007371F7">
        <w:rPr>
          <w:rFonts w:ascii="宋体" w:hAnsi="宋体"/>
        </w:rPr>
        <w:t>0.42167573</w:t>
      </w:r>
      <w:r w:rsidRPr="00F83FC8">
        <w:rPr>
          <w:rFonts w:ascii="宋体" w:hAnsi="宋体"/>
        </w:rPr>
        <w:t>。</w:t>
      </w:r>
    </w:p>
    <w:p w:rsidR="008C3002" w:rsidRPr="00F83FC8" w:rsidRDefault="00341497" w:rsidP="00341497">
      <w:pPr>
        <w:spacing w:line="360" w:lineRule="auto"/>
        <w:ind w:firstLine="420"/>
        <w:rPr>
          <w:rFonts w:ascii="宋体" w:hAnsi="宋体"/>
        </w:rPr>
      </w:pPr>
      <w:r>
        <w:rPr>
          <w:rFonts w:ascii="宋体" w:hAnsi="宋体" w:hint="eastAsia"/>
        </w:rPr>
        <w:t>2、</w:t>
      </w:r>
      <w:r w:rsidR="00CA2D18">
        <w:rPr>
          <w:rFonts w:ascii="宋体" w:hAnsi="宋体"/>
        </w:rPr>
        <w:t>合并</w:t>
      </w:r>
      <w:r>
        <w:rPr>
          <w:rFonts w:ascii="宋体" w:hAnsi="宋体" w:hint="eastAsia"/>
        </w:rPr>
        <w:t>结果</w:t>
      </w:r>
    </w:p>
    <w:p w:rsidR="008C3002" w:rsidRPr="00F83FC8" w:rsidRDefault="008C3002" w:rsidP="004020C2">
      <w:pPr>
        <w:spacing w:line="360" w:lineRule="auto"/>
        <w:ind w:firstLine="420"/>
        <w:rPr>
          <w:rFonts w:ascii="宋体" w:hAnsi="宋体" w:hint="eastAsia"/>
        </w:rPr>
      </w:pPr>
      <w:bookmarkStart w:id="0" w:name="_Hlk178585423"/>
      <w:r w:rsidRPr="00F83FC8">
        <w:rPr>
          <w:rFonts w:ascii="宋体" w:hAnsi="宋体"/>
        </w:rPr>
        <w:t>权益登记日（</w:t>
      </w:r>
      <w:r w:rsidR="00CA2D18">
        <w:rPr>
          <w:rFonts w:ascii="宋体" w:hAnsi="宋体"/>
        </w:rPr>
        <w:t>合并</w:t>
      </w:r>
      <w:r w:rsidRPr="00F83FC8">
        <w:rPr>
          <w:rFonts w:ascii="宋体" w:hAnsi="宋体"/>
        </w:rPr>
        <w:t>当日</w:t>
      </w:r>
      <w:r w:rsidR="00341497">
        <w:rPr>
          <w:rFonts w:ascii="宋体" w:hAnsi="宋体" w:hint="eastAsia"/>
        </w:rPr>
        <w:t>，即2</w:t>
      </w:r>
      <w:r w:rsidR="00341497">
        <w:rPr>
          <w:rFonts w:ascii="宋体" w:hAnsi="宋体"/>
        </w:rPr>
        <w:t>024</w:t>
      </w:r>
      <w:r w:rsidR="00341497">
        <w:rPr>
          <w:rFonts w:ascii="宋体" w:hAnsi="宋体" w:hint="eastAsia"/>
        </w:rPr>
        <w:t>年1</w:t>
      </w:r>
      <w:r w:rsidR="00341497">
        <w:rPr>
          <w:rFonts w:ascii="宋体" w:hAnsi="宋体"/>
        </w:rPr>
        <w:t>0</w:t>
      </w:r>
      <w:r w:rsidR="00341497">
        <w:rPr>
          <w:rFonts w:ascii="宋体" w:hAnsi="宋体" w:hint="eastAsia"/>
        </w:rPr>
        <w:t>月</w:t>
      </w:r>
      <w:r w:rsidR="00A61E07">
        <w:rPr>
          <w:rFonts w:ascii="宋体" w:hAnsi="宋体"/>
        </w:rPr>
        <w:t>25</w:t>
      </w:r>
      <w:r w:rsidR="00341497">
        <w:rPr>
          <w:rFonts w:ascii="宋体" w:hAnsi="宋体" w:hint="eastAsia"/>
        </w:rPr>
        <w:t>日</w:t>
      </w:r>
      <w:r w:rsidRPr="00F83FC8">
        <w:rPr>
          <w:rFonts w:ascii="宋体" w:hAnsi="宋体"/>
        </w:rPr>
        <w:t>）</w:t>
      </w:r>
      <w:r w:rsidR="00341497">
        <w:rPr>
          <w:rFonts w:ascii="宋体" w:hAnsi="宋体" w:hint="eastAsia"/>
        </w:rPr>
        <w:t>，</w:t>
      </w:r>
      <w:bookmarkEnd w:id="0"/>
      <w:r w:rsidR="00341497">
        <w:rPr>
          <w:rFonts w:ascii="宋体" w:hAnsi="宋体" w:hint="eastAsia"/>
        </w:rPr>
        <w:t>本基金合并前，基金份额总额为</w:t>
      </w:r>
      <w:r w:rsidR="00273A7D" w:rsidRPr="00273A7D">
        <w:rPr>
          <w:rFonts w:ascii="宋体" w:hAnsi="宋体"/>
        </w:rPr>
        <w:t>201,602,182.00</w:t>
      </w:r>
      <w:r w:rsidR="00341497">
        <w:rPr>
          <w:rFonts w:ascii="宋体" w:hAnsi="宋体" w:hint="eastAsia"/>
        </w:rPr>
        <w:t>份，基金份额净值为</w:t>
      </w:r>
      <w:r w:rsidR="00273A7D" w:rsidRPr="00273A7D">
        <w:rPr>
          <w:rFonts w:ascii="宋体" w:hAnsi="宋体"/>
        </w:rPr>
        <w:t>1.0080</w:t>
      </w:r>
      <w:r w:rsidR="00341497">
        <w:rPr>
          <w:rFonts w:ascii="宋体" w:hAnsi="宋体" w:hint="eastAsia"/>
        </w:rPr>
        <w:t>元</w:t>
      </w:r>
      <w:r w:rsidR="00401CE7">
        <w:rPr>
          <w:rFonts w:ascii="宋体" w:hAnsi="宋体" w:hint="eastAsia"/>
        </w:rPr>
        <w:t>；本基金合并后，基金份额总额为</w:t>
      </w:r>
      <w:r w:rsidR="00273A7D" w:rsidRPr="00273A7D">
        <w:rPr>
          <w:rFonts w:ascii="宋体" w:hAnsi="宋体"/>
        </w:rPr>
        <w:t>85,012,592.00</w:t>
      </w:r>
      <w:r w:rsidR="00401CE7">
        <w:rPr>
          <w:rFonts w:ascii="宋体" w:hAnsi="宋体" w:hint="eastAsia"/>
        </w:rPr>
        <w:t>份，基金份额净值为</w:t>
      </w:r>
      <w:r w:rsidR="00273A7D" w:rsidRPr="00273A7D">
        <w:rPr>
          <w:rFonts w:ascii="宋体" w:hAnsi="宋体"/>
        </w:rPr>
        <w:t>2.3904</w:t>
      </w:r>
      <w:r w:rsidR="00401CE7">
        <w:rPr>
          <w:rFonts w:ascii="宋体" w:hAnsi="宋体" w:hint="eastAsia"/>
        </w:rPr>
        <w:t>元。</w:t>
      </w:r>
    </w:p>
    <w:p w:rsidR="006E758B" w:rsidRDefault="006E758B" w:rsidP="00236BC1">
      <w:pPr>
        <w:spacing w:line="360" w:lineRule="auto"/>
        <w:ind w:firstLine="420"/>
        <w:rPr>
          <w:rFonts w:ascii="宋体" w:hAnsi="宋体"/>
        </w:rPr>
      </w:pPr>
      <w:r w:rsidRPr="00D81DD6">
        <w:rPr>
          <w:rFonts w:ascii="宋体" w:hAnsi="宋体"/>
        </w:rPr>
        <w:t>本基金</w:t>
      </w:r>
      <w:r w:rsidRPr="00D81DD6">
        <w:rPr>
          <w:rFonts w:ascii="宋体" w:hAnsi="宋体" w:hint="eastAsia"/>
        </w:rPr>
        <w:t>的</w:t>
      </w:r>
      <w:r w:rsidRPr="00F83FC8">
        <w:rPr>
          <w:rFonts w:ascii="宋体" w:hAnsi="宋体"/>
        </w:rPr>
        <w:t>登记机构</w:t>
      </w:r>
      <w:r w:rsidRPr="00D81DD6">
        <w:rPr>
          <w:rFonts w:ascii="宋体" w:hAnsi="宋体"/>
        </w:rPr>
        <w:t>已按照上述合并比例对权益登记日登记在册的各基金份额持有人的基金份额进行了合并，并进行</w:t>
      </w:r>
      <w:r w:rsidR="00AA3CD7" w:rsidRPr="00D81DD6">
        <w:rPr>
          <w:rFonts w:ascii="宋体" w:hAnsi="宋体" w:hint="eastAsia"/>
        </w:rPr>
        <w:t>了</w:t>
      </w:r>
      <w:r w:rsidRPr="00D81DD6">
        <w:rPr>
          <w:rFonts w:ascii="宋体" w:hAnsi="宋体"/>
        </w:rPr>
        <w:t>变更登记。</w:t>
      </w:r>
      <w:r w:rsidRPr="00A312AD">
        <w:rPr>
          <w:rFonts w:ascii="宋体" w:hAnsi="宋体"/>
        </w:rPr>
        <w:t>为保护基金份额持有人利益，基金份额持有人持有的合并产生的小数点后基金份额将按照“上进位”的原则进行取整，即小数点后基金份额均进位为1份。进位处理所需资金由本基金管理人弥补，并于份额合并日计入基金资产。</w:t>
      </w:r>
    </w:p>
    <w:p w:rsidR="00236BC1" w:rsidRPr="00F83FC8" w:rsidRDefault="006E758B" w:rsidP="00236BC1">
      <w:pPr>
        <w:spacing w:line="360" w:lineRule="auto"/>
        <w:ind w:firstLine="420"/>
        <w:rPr>
          <w:rFonts w:ascii="宋体" w:hAnsi="宋体"/>
        </w:rPr>
      </w:pPr>
      <w:r>
        <w:rPr>
          <w:rFonts w:ascii="宋体" w:hAnsi="宋体" w:hint="eastAsia"/>
        </w:rPr>
        <w:t>本基金基金份额持有人可</w:t>
      </w:r>
      <w:r w:rsidR="008C3002" w:rsidRPr="00F83FC8">
        <w:rPr>
          <w:rFonts w:ascii="宋体" w:hAnsi="宋体"/>
        </w:rPr>
        <w:t>自</w:t>
      </w:r>
      <w:r>
        <w:rPr>
          <w:rFonts w:ascii="宋体" w:hAnsi="宋体" w:hint="eastAsia"/>
        </w:rPr>
        <w:t>2</w:t>
      </w:r>
      <w:r>
        <w:rPr>
          <w:rFonts w:ascii="宋体" w:hAnsi="宋体"/>
        </w:rPr>
        <w:t>024</w:t>
      </w:r>
      <w:r>
        <w:rPr>
          <w:rFonts w:ascii="宋体" w:hAnsi="宋体" w:hint="eastAsia"/>
        </w:rPr>
        <w:t>年1</w:t>
      </w:r>
      <w:r>
        <w:rPr>
          <w:rFonts w:ascii="宋体" w:hAnsi="宋体"/>
        </w:rPr>
        <w:t>0</w:t>
      </w:r>
      <w:r>
        <w:rPr>
          <w:rFonts w:ascii="宋体" w:hAnsi="宋体" w:hint="eastAsia"/>
        </w:rPr>
        <w:t>月</w:t>
      </w:r>
      <w:r w:rsidR="00A61E07">
        <w:rPr>
          <w:rFonts w:ascii="宋体" w:hAnsi="宋体"/>
        </w:rPr>
        <w:t>28</w:t>
      </w:r>
      <w:r>
        <w:rPr>
          <w:rFonts w:ascii="宋体" w:hAnsi="宋体" w:hint="eastAsia"/>
        </w:rPr>
        <w:t>日</w:t>
      </w:r>
      <w:r w:rsidR="008C3002" w:rsidRPr="00F83FC8">
        <w:rPr>
          <w:rFonts w:ascii="宋体" w:hAnsi="宋体"/>
        </w:rPr>
        <w:t>起通过其所属销售机构</w:t>
      </w:r>
      <w:bookmarkStart w:id="1" w:name="_Hlk178585461"/>
      <w:r w:rsidR="00A3598C">
        <w:rPr>
          <w:rFonts w:ascii="宋体" w:hAnsi="宋体" w:hint="eastAsia"/>
        </w:rPr>
        <w:t>和指定交易的券</w:t>
      </w:r>
      <w:r w:rsidR="00A3598C">
        <w:rPr>
          <w:rFonts w:ascii="宋体" w:hAnsi="宋体" w:hint="eastAsia"/>
        </w:rPr>
        <w:lastRenderedPageBreak/>
        <w:t>商</w:t>
      </w:r>
      <w:bookmarkEnd w:id="1"/>
      <w:r w:rsidR="008C3002" w:rsidRPr="00F83FC8">
        <w:rPr>
          <w:rFonts w:ascii="宋体" w:hAnsi="宋体"/>
        </w:rPr>
        <w:t>查询</w:t>
      </w:r>
      <w:r w:rsidR="00CA2D18">
        <w:rPr>
          <w:rFonts w:ascii="宋体" w:hAnsi="宋体"/>
        </w:rPr>
        <w:t>合并</w:t>
      </w:r>
      <w:r w:rsidR="008C3002" w:rsidRPr="00F83FC8">
        <w:rPr>
          <w:rFonts w:ascii="宋体" w:hAnsi="宋体"/>
        </w:rPr>
        <w:t>后其所持有的本基金基金份额。</w:t>
      </w:r>
    </w:p>
    <w:p w:rsidR="008D7B69" w:rsidRPr="00F83FC8" w:rsidRDefault="008D7B69" w:rsidP="00236BC1">
      <w:pPr>
        <w:spacing w:line="360" w:lineRule="auto"/>
        <w:ind w:firstLine="420"/>
        <w:rPr>
          <w:rFonts w:ascii="宋体" w:hAnsi="宋体"/>
        </w:rPr>
      </w:pPr>
      <w:r w:rsidRPr="00F83FC8">
        <w:rPr>
          <w:rFonts w:ascii="宋体" w:hAnsi="宋体" w:hint="eastAsia"/>
        </w:rPr>
        <w:t>二、</w:t>
      </w:r>
      <w:r w:rsidR="0039492F">
        <w:rPr>
          <w:rFonts w:ascii="宋体" w:hAnsi="宋体" w:hint="eastAsia"/>
        </w:rPr>
        <w:t>本基金相关业务安排</w:t>
      </w:r>
    </w:p>
    <w:p w:rsidR="008D7B69" w:rsidRDefault="008D7B69" w:rsidP="008D7B69">
      <w:pPr>
        <w:spacing w:line="360" w:lineRule="auto"/>
        <w:ind w:firstLine="420"/>
        <w:rPr>
          <w:rFonts w:ascii="宋体" w:hAnsi="宋体"/>
        </w:rPr>
      </w:pPr>
      <w:r w:rsidRPr="00F83FC8">
        <w:rPr>
          <w:rFonts w:ascii="宋体" w:hAnsi="宋体"/>
        </w:rPr>
        <w:t>基金份额</w:t>
      </w:r>
      <w:r w:rsidR="00CA2D18">
        <w:rPr>
          <w:rFonts w:ascii="宋体" w:hAnsi="宋体" w:hint="eastAsia"/>
        </w:rPr>
        <w:t>合并</w:t>
      </w:r>
      <w:r w:rsidRPr="00F83FC8">
        <w:rPr>
          <w:rFonts w:ascii="宋体" w:hAnsi="宋体"/>
        </w:rPr>
        <w:t>后，自2024年</w:t>
      </w:r>
      <w:r w:rsidR="00E95B84">
        <w:rPr>
          <w:rFonts w:ascii="宋体" w:hAnsi="宋体"/>
        </w:rPr>
        <w:t>10</w:t>
      </w:r>
      <w:r w:rsidRPr="00F83FC8">
        <w:rPr>
          <w:rFonts w:ascii="宋体" w:hAnsi="宋体"/>
        </w:rPr>
        <w:t>月</w:t>
      </w:r>
      <w:r w:rsidR="00A61E07">
        <w:rPr>
          <w:rFonts w:ascii="宋体" w:hAnsi="宋体"/>
        </w:rPr>
        <w:t>28</w:t>
      </w:r>
      <w:r w:rsidRPr="00F83FC8">
        <w:rPr>
          <w:rFonts w:ascii="宋体" w:hAnsi="宋体"/>
        </w:rPr>
        <w:t>日起，本基金最小申购、赎回单位调整为</w:t>
      </w:r>
      <w:r w:rsidR="00A61E07">
        <w:rPr>
          <w:rFonts w:ascii="宋体" w:hAnsi="宋体"/>
        </w:rPr>
        <w:t>200</w:t>
      </w:r>
      <w:r w:rsidRPr="00F83FC8">
        <w:rPr>
          <w:rFonts w:ascii="宋体" w:hAnsi="宋体"/>
        </w:rPr>
        <w:t>万份基金份额。</w:t>
      </w:r>
      <w:r w:rsidR="0039492F" w:rsidRPr="00121B41">
        <w:rPr>
          <w:rFonts w:ascii="宋体" w:hAnsi="宋体"/>
        </w:rPr>
        <w:t>敬请投资者留意。</w:t>
      </w:r>
    </w:p>
    <w:p w:rsidR="00A61E07" w:rsidRPr="00121B41" w:rsidRDefault="00A61E07" w:rsidP="008D7B69">
      <w:pPr>
        <w:spacing w:line="360" w:lineRule="auto"/>
        <w:ind w:firstLine="420"/>
        <w:rPr>
          <w:rFonts w:ascii="宋体" w:hAnsi="宋体" w:hint="eastAsia"/>
        </w:rPr>
      </w:pPr>
      <w:r w:rsidRPr="009F69D2">
        <w:rPr>
          <w:rFonts w:ascii="宋体" w:hAnsi="宋体" w:hint="eastAsia"/>
        </w:rPr>
        <w:t>2024年10月28日起，</w:t>
      </w:r>
      <w:r w:rsidRPr="009F69D2">
        <w:rPr>
          <w:rFonts w:ascii="宋体" w:hAnsi="宋体"/>
        </w:rPr>
        <w:t>本基金恢复办理以本基金为标的证券的约定购回业务。</w:t>
      </w:r>
    </w:p>
    <w:p w:rsidR="004020C2" w:rsidRPr="00F83FC8" w:rsidRDefault="0039492F" w:rsidP="004020C2">
      <w:pPr>
        <w:spacing w:line="360" w:lineRule="auto"/>
        <w:ind w:firstLine="420"/>
        <w:rPr>
          <w:rFonts w:ascii="宋体" w:hAnsi="宋体" w:hint="eastAsia"/>
        </w:rPr>
      </w:pPr>
      <w:r>
        <w:rPr>
          <w:rFonts w:ascii="宋体" w:hAnsi="宋体" w:hint="eastAsia"/>
        </w:rPr>
        <w:t>三</w:t>
      </w:r>
      <w:r w:rsidR="004020C2" w:rsidRPr="00F83FC8">
        <w:rPr>
          <w:rFonts w:ascii="宋体" w:hAnsi="宋体" w:hint="eastAsia"/>
        </w:rPr>
        <w:t>、风险提示</w:t>
      </w:r>
    </w:p>
    <w:p w:rsidR="004020C2" w:rsidRPr="00F83FC8" w:rsidRDefault="00D74A40" w:rsidP="004020C2">
      <w:pPr>
        <w:spacing w:line="360" w:lineRule="auto"/>
        <w:ind w:firstLine="420"/>
        <w:rPr>
          <w:rFonts w:ascii="宋体" w:hAnsi="宋体" w:hint="eastAsia"/>
        </w:rPr>
      </w:pPr>
      <w:r w:rsidRPr="00F83FC8">
        <w:rPr>
          <w:rFonts w:ascii="宋体" w:hAnsi="宋体" w:hint="eastAsia"/>
        </w:rPr>
        <w:t>1、</w:t>
      </w:r>
      <w:r w:rsidR="004020C2" w:rsidRPr="00F83FC8">
        <w:rPr>
          <w:rFonts w:ascii="宋体" w:hAnsi="宋体" w:hint="eastAsia"/>
        </w:rPr>
        <w:t>基金份额</w:t>
      </w:r>
      <w:r w:rsidR="00CA2D18">
        <w:rPr>
          <w:rFonts w:ascii="宋体" w:hAnsi="宋体" w:hint="eastAsia"/>
        </w:rPr>
        <w:t>合并</w:t>
      </w:r>
      <w:r w:rsidR="004020C2" w:rsidRPr="00F83FC8">
        <w:rPr>
          <w:rFonts w:ascii="宋体" w:hAnsi="宋体" w:hint="eastAsia"/>
        </w:rPr>
        <w:t>后，本基金的基金份额总额与基金份额持有人持有的基金份额数额将发生调整，但调整后的基金份额持有人持有的基金份额占基金份额总额的比例不发生变化。基金份额</w:t>
      </w:r>
      <w:r w:rsidR="00CA2D18">
        <w:rPr>
          <w:rFonts w:ascii="宋体" w:hAnsi="宋体" w:hint="eastAsia"/>
        </w:rPr>
        <w:t>合并</w:t>
      </w:r>
      <w:r w:rsidR="004020C2" w:rsidRPr="00F83FC8">
        <w:rPr>
          <w:rFonts w:ascii="宋体" w:hAnsi="宋体" w:hint="eastAsia"/>
        </w:rPr>
        <w:t>对基金份额持有人的权益无实质性影响。基金份额</w:t>
      </w:r>
      <w:r w:rsidR="00CA2D18">
        <w:rPr>
          <w:rFonts w:ascii="宋体" w:hAnsi="宋体" w:hint="eastAsia"/>
        </w:rPr>
        <w:t>合并</w:t>
      </w:r>
      <w:r w:rsidR="004020C2" w:rsidRPr="00F83FC8">
        <w:rPr>
          <w:rFonts w:ascii="宋体" w:hAnsi="宋体" w:hint="eastAsia"/>
        </w:rPr>
        <w:t>后，基金份额持有人将按照</w:t>
      </w:r>
      <w:r w:rsidR="00CA2D18">
        <w:rPr>
          <w:rFonts w:ascii="宋体" w:hAnsi="宋体" w:hint="eastAsia"/>
        </w:rPr>
        <w:t>合并</w:t>
      </w:r>
      <w:r w:rsidR="004020C2" w:rsidRPr="00F83FC8">
        <w:rPr>
          <w:rFonts w:ascii="宋体" w:hAnsi="宋体" w:hint="eastAsia"/>
        </w:rPr>
        <w:t>后的基金份额享有权利并承担义务。</w:t>
      </w:r>
    </w:p>
    <w:p w:rsidR="004020C2" w:rsidRPr="00F83FC8" w:rsidRDefault="00D74A40" w:rsidP="004020C2">
      <w:pPr>
        <w:spacing w:line="360" w:lineRule="auto"/>
        <w:ind w:firstLine="420"/>
        <w:rPr>
          <w:rFonts w:ascii="宋体" w:hAnsi="宋体" w:hint="eastAsia"/>
        </w:rPr>
      </w:pPr>
      <w:r w:rsidRPr="00F83FC8">
        <w:rPr>
          <w:rFonts w:ascii="宋体" w:hAnsi="宋体" w:hint="eastAsia"/>
        </w:rPr>
        <w:t>2、</w:t>
      </w:r>
      <w:r w:rsidR="004020C2" w:rsidRPr="00F83FC8">
        <w:rPr>
          <w:rFonts w:ascii="宋体" w:hAnsi="宋体" w:hint="eastAsia"/>
        </w:rPr>
        <w:t>因基金份额</w:t>
      </w:r>
      <w:r w:rsidR="00CA2D18">
        <w:rPr>
          <w:rFonts w:ascii="宋体" w:hAnsi="宋体" w:hint="eastAsia"/>
        </w:rPr>
        <w:t>合并</w:t>
      </w:r>
      <w:r w:rsidR="004020C2" w:rsidRPr="00F83FC8">
        <w:rPr>
          <w:rFonts w:ascii="宋体" w:hAnsi="宋体" w:hint="eastAsia"/>
        </w:rPr>
        <w:t>导致基金份额净值变化，不会改变基金的风险收益特征。投资者在投资本基金之前，应全面认识本基金的风险收益特征和产品特性，并充分考虑自身的风险承受能力，在了解产品情况、听取销售机构适当性匹配意见的基础上，理性判断市场，谨慎做出投资决策。</w:t>
      </w:r>
    </w:p>
    <w:p w:rsidR="0057352B" w:rsidRDefault="008D7B69" w:rsidP="0057352B">
      <w:pPr>
        <w:spacing w:line="360" w:lineRule="auto"/>
        <w:ind w:firstLine="420"/>
        <w:rPr>
          <w:rFonts w:ascii="宋体" w:hAnsi="宋体"/>
        </w:rPr>
      </w:pPr>
      <w:r w:rsidRPr="00F83FC8">
        <w:rPr>
          <w:rFonts w:ascii="宋体" w:hAnsi="宋体"/>
        </w:rPr>
        <w:t>3</w:t>
      </w:r>
      <w:r w:rsidR="00D74A40" w:rsidRPr="00F83FC8">
        <w:rPr>
          <w:rFonts w:ascii="宋体" w:hAnsi="宋体" w:hint="eastAsia"/>
        </w:rPr>
        <w:t>、</w:t>
      </w:r>
      <w:r w:rsidR="0057352B" w:rsidRPr="0057352B">
        <w:rPr>
          <w:rFonts w:ascii="宋体" w:hAnsi="宋体" w:hint="eastAsia"/>
        </w:rPr>
        <w:t>投资者申购、赎回的基金份额需为基金最小申购、赎回单位的整数倍。本基金本次折算后，最小申购、赎回单位调整为</w:t>
      </w:r>
      <w:r w:rsidR="00A61E07">
        <w:rPr>
          <w:rFonts w:ascii="宋体" w:hAnsi="宋体"/>
        </w:rPr>
        <w:t>200</w:t>
      </w:r>
      <w:r w:rsidR="0057352B" w:rsidRPr="0057352B">
        <w:rPr>
          <w:rFonts w:ascii="宋体" w:hAnsi="宋体" w:hint="eastAsia"/>
        </w:rPr>
        <w:t>万份。投资者按原最小申购、赎回单位申购的，申购将失败；投资者按照原最小申购、赎回单位赎回的，赎回将失败，若投资者持有份额小于最小申购、赎回单位的，可在二级市场卖出。</w:t>
      </w:r>
    </w:p>
    <w:p w:rsidR="00236BC1" w:rsidRPr="00F83FC8" w:rsidRDefault="0057352B" w:rsidP="0057352B">
      <w:pPr>
        <w:spacing w:line="360" w:lineRule="auto"/>
        <w:ind w:firstLine="420"/>
        <w:rPr>
          <w:rFonts w:ascii="宋体" w:hAnsi="宋体" w:hint="eastAsia"/>
        </w:rPr>
      </w:pPr>
      <w:r>
        <w:rPr>
          <w:rFonts w:ascii="宋体" w:hAnsi="宋体" w:hint="eastAsia"/>
        </w:rPr>
        <w:t>4、</w:t>
      </w:r>
      <w:r w:rsidR="004020C2" w:rsidRPr="00F83FC8">
        <w:rPr>
          <w:rFonts w:ascii="宋体" w:hAnsi="宋体" w:hint="eastAsia"/>
        </w:rPr>
        <w:t>基金管理人承诺以诚实信用、勤勉尽责的原则管理和运用基金资产，但不保证本基金一定盈利，也不保证最低收益。本基金的过往业绩及其净值高低并不预示其未来业绩表现。基金管理人提醒投资者基金投资的“买者自负”原则，在做出投资决策后，基金运营状况与基金净值变化引致的投资风险，由投资者自行负担。投资者在投资本基金之前，请仔细阅读本基金的基金合同、招募说明书和产品资料概要等法律文件，全面认识本基金的风险收益特征和产品特性，并充分考虑自身的风险承受能力，在了解产品情况、听取销售机构适当性匹配意见的基础上，理性判断市场，谨慎做出投资决策。基金具体风险评级结果以销售机构提供的评级结果为准。</w:t>
      </w:r>
    </w:p>
    <w:p w:rsidR="004020C2" w:rsidRPr="00F83FC8" w:rsidRDefault="004020C2" w:rsidP="00236BC1">
      <w:pPr>
        <w:spacing w:line="360" w:lineRule="auto"/>
        <w:ind w:firstLine="420"/>
        <w:rPr>
          <w:rFonts w:ascii="宋体" w:hAnsi="宋体"/>
          <w:szCs w:val="21"/>
        </w:rPr>
      </w:pPr>
    </w:p>
    <w:p w:rsidR="00236BC1" w:rsidRPr="00F83FC8" w:rsidRDefault="008D7B69" w:rsidP="00236BC1">
      <w:pPr>
        <w:spacing w:line="360" w:lineRule="auto"/>
        <w:ind w:firstLine="420"/>
        <w:rPr>
          <w:rFonts w:ascii="宋体" w:hAnsi="宋体" w:hint="eastAsia"/>
          <w:szCs w:val="21"/>
        </w:rPr>
      </w:pPr>
      <w:r w:rsidRPr="00F83FC8">
        <w:rPr>
          <w:rFonts w:ascii="宋体" w:hAnsi="宋体" w:hint="eastAsia"/>
          <w:szCs w:val="21"/>
        </w:rPr>
        <w:t>四</w:t>
      </w:r>
      <w:r w:rsidR="00236BC1" w:rsidRPr="00F83FC8">
        <w:rPr>
          <w:rFonts w:ascii="宋体" w:hAnsi="宋体" w:hint="eastAsia"/>
          <w:szCs w:val="21"/>
        </w:rPr>
        <w:t>、其他事项</w:t>
      </w:r>
    </w:p>
    <w:p w:rsidR="00236BC1" w:rsidRPr="00F83FC8" w:rsidRDefault="00236BC1" w:rsidP="00D74A40">
      <w:pPr>
        <w:spacing w:line="360" w:lineRule="auto"/>
        <w:ind w:firstLine="420"/>
        <w:rPr>
          <w:rFonts w:ascii="宋体" w:hAnsi="宋体" w:hint="eastAsia"/>
          <w:szCs w:val="21"/>
        </w:rPr>
      </w:pPr>
      <w:r w:rsidRPr="00F83FC8">
        <w:rPr>
          <w:rFonts w:ascii="宋体" w:hAnsi="宋体" w:hint="eastAsia"/>
          <w:szCs w:val="21"/>
        </w:rPr>
        <w:t>投资者可通过以下途径咨询有关详情</w:t>
      </w:r>
    </w:p>
    <w:p w:rsidR="00236BC1" w:rsidRPr="00F83FC8" w:rsidRDefault="00236BC1" w:rsidP="00236BC1">
      <w:pPr>
        <w:spacing w:line="360" w:lineRule="auto"/>
        <w:ind w:firstLine="420"/>
        <w:rPr>
          <w:rFonts w:ascii="宋体" w:hAnsi="宋体" w:hint="eastAsia"/>
          <w:szCs w:val="21"/>
        </w:rPr>
      </w:pPr>
      <w:r w:rsidRPr="00F83FC8">
        <w:rPr>
          <w:rFonts w:ascii="宋体" w:hAnsi="宋体" w:hint="eastAsia"/>
          <w:szCs w:val="21"/>
        </w:rPr>
        <w:t>客户服务电话：</w:t>
      </w:r>
      <w:r w:rsidR="00D74A40" w:rsidRPr="00F83FC8">
        <w:rPr>
          <w:rFonts w:ascii="宋体" w:hAnsi="宋体" w:hint="eastAsia"/>
          <w:szCs w:val="21"/>
        </w:rPr>
        <w:t>400-888-0001、（021）38784638</w:t>
      </w:r>
    </w:p>
    <w:p w:rsidR="00236BC1" w:rsidRPr="00F83FC8" w:rsidRDefault="00236BC1" w:rsidP="00236BC1">
      <w:pPr>
        <w:spacing w:line="360" w:lineRule="auto"/>
        <w:ind w:firstLine="420"/>
        <w:rPr>
          <w:rFonts w:ascii="宋体" w:hAnsi="宋体" w:hint="eastAsia"/>
          <w:szCs w:val="21"/>
        </w:rPr>
      </w:pPr>
      <w:r w:rsidRPr="00F83FC8">
        <w:rPr>
          <w:rFonts w:ascii="宋体" w:hAnsi="宋体" w:hint="eastAsia"/>
          <w:szCs w:val="21"/>
        </w:rPr>
        <w:lastRenderedPageBreak/>
        <w:t>网址：</w:t>
      </w:r>
      <w:r w:rsidR="00D74A40" w:rsidRPr="00F83FC8">
        <w:rPr>
          <w:rFonts w:ascii="宋体" w:hAnsi="宋体"/>
          <w:szCs w:val="21"/>
        </w:rPr>
        <w:t>www.huatai-pb.com</w:t>
      </w:r>
    </w:p>
    <w:p w:rsidR="00236BC1" w:rsidRPr="00F83FC8" w:rsidRDefault="00236BC1" w:rsidP="00236BC1">
      <w:pPr>
        <w:spacing w:line="360" w:lineRule="auto"/>
        <w:ind w:firstLine="420"/>
        <w:rPr>
          <w:rFonts w:ascii="宋体" w:hAnsi="宋体" w:hint="eastAsia"/>
          <w:szCs w:val="21"/>
        </w:rPr>
      </w:pPr>
      <w:r w:rsidRPr="00F83FC8">
        <w:rPr>
          <w:rFonts w:ascii="宋体" w:hAnsi="宋体" w:hint="eastAsia"/>
          <w:szCs w:val="21"/>
        </w:rPr>
        <w:t>特此公告。</w:t>
      </w:r>
    </w:p>
    <w:p w:rsidR="00236BC1" w:rsidRDefault="00236BC1" w:rsidP="00236BC1">
      <w:pPr>
        <w:spacing w:line="360" w:lineRule="auto"/>
        <w:ind w:firstLine="420"/>
        <w:rPr>
          <w:rFonts w:ascii="宋体" w:hAnsi="宋体"/>
          <w:szCs w:val="21"/>
        </w:rPr>
      </w:pPr>
    </w:p>
    <w:p w:rsidR="00273E8E" w:rsidRDefault="00273E8E" w:rsidP="00236BC1">
      <w:pPr>
        <w:spacing w:line="360" w:lineRule="auto"/>
        <w:ind w:firstLine="420"/>
        <w:rPr>
          <w:rFonts w:ascii="宋体" w:hAnsi="宋体"/>
          <w:szCs w:val="21"/>
        </w:rPr>
      </w:pPr>
    </w:p>
    <w:p w:rsidR="00273E8E" w:rsidRPr="00F83FC8" w:rsidRDefault="00273E8E" w:rsidP="00236BC1">
      <w:pPr>
        <w:spacing w:line="360" w:lineRule="auto"/>
        <w:ind w:firstLine="420"/>
        <w:rPr>
          <w:rFonts w:ascii="宋体" w:hAnsi="宋体" w:hint="eastAsia"/>
          <w:szCs w:val="21"/>
        </w:rPr>
      </w:pPr>
    </w:p>
    <w:p w:rsidR="00236BC1" w:rsidRPr="00F83FC8" w:rsidRDefault="00236BC1" w:rsidP="00236BC1">
      <w:pPr>
        <w:spacing w:line="360" w:lineRule="auto"/>
        <w:ind w:firstLine="420"/>
        <w:jc w:val="right"/>
        <w:rPr>
          <w:rFonts w:ascii="宋体" w:hAnsi="宋体" w:hint="eastAsia"/>
          <w:szCs w:val="21"/>
        </w:rPr>
      </w:pPr>
      <w:r w:rsidRPr="00F83FC8">
        <w:rPr>
          <w:rFonts w:ascii="宋体" w:hAnsi="宋体" w:hint="eastAsia"/>
          <w:szCs w:val="21"/>
        </w:rPr>
        <w:t>华泰柏瑞基金管理有限公司</w:t>
      </w:r>
    </w:p>
    <w:p w:rsidR="00AD0A85" w:rsidRPr="00F83FC8" w:rsidRDefault="00236BC1" w:rsidP="00236BC1">
      <w:pPr>
        <w:spacing w:line="360" w:lineRule="auto"/>
        <w:ind w:firstLine="420"/>
        <w:jc w:val="right"/>
        <w:rPr>
          <w:rFonts w:ascii="宋体" w:hAnsi="宋体"/>
          <w:szCs w:val="21"/>
        </w:rPr>
      </w:pPr>
      <w:r w:rsidRPr="00F83FC8">
        <w:rPr>
          <w:rFonts w:ascii="宋体" w:hAnsi="宋体" w:hint="eastAsia"/>
          <w:szCs w:val="21"/>
        </w:rPr>
        <w:t>202</w:t>
      </w:r>
      <w:r w:rsidR="000C233E" w:rsidRPr="00F83FC8">
        <w:rPr>
          <w:rFonts w:ascii="宋体" w:hAnsi="宋体"/>
          <w:szCs w:val="21"/>
        </w:rPr>
        <w:t>4</w:t>
      </w:r>
      <w:r w:rsidRPr="00F83FC8">
        <w:rPr>
          <w:rFonts w:ascii="宋体" w:hAnsi="宋体" w:hint="eastAsia"/>
          <w:szCs w:val="21"/>
        </w:rPr>
        <w:t>年</w:t>
      </w:r>
      <w:r w:rsidR="00E95B84">
        <w:rPr>
          <w:rFonts w:ascii="宋体" w:hAnsi="宋体"/>
          <w:szCs w:val="21"/>
        </w:rPr>
        <w:t>10</w:t>
      </w:r>
      <w:r w:rsidRPr="00F83FC8">
        <w:rPr>
          <w:rFonts w:ascii="宋体" w:hAnsi="宋体" w:hint="eastAsia"/>
          <w:szCs w:val="21"/>
        </w:rPr>
        <w:t>月</w:t>
      </w:r>
      <w:r w:rsidR="00A61E07">
        <w:rPr>
          <w:rFonts w:ascii="宋体" w:hAnsi="宋体"/>
          <w:szCs w:val="21"/>
        </w:rPr>
        <w:t>28</w:t>
      </w:r>
      <w:r w:rsidRPr="00F83FC8">
        <w:rPr>
          <w:rFonts w:ascii="宋体" w:hAnsi="宋体" w:hint="eastAsia"/>
          <w:szCs w:val="21"/>
        </w:rPr>
        <w:t>日</w:t>
      </w:r>
    </w:p>
    <w:sectPr w:rsidR="00AD0A85" w:rsidRPr="00F83FC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B5D" w:rsidRDefault="006B1B5D"/>
  </w:endnote>
  <w:endnote w:type="continuationSeparator" w:id="0">
    <w:p w:rsidR="006B1B5D" w:rsidRDefault="006B1B5D"/>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B5D" w:rsidRDefault="006B1B5D"/>
  </w:footnote>
  <w:footnote w:type="continuationSeparator" w:id="0">
    <w:p w:rsidR="006B1B5D" w:rsidRDefault="006B1B5D"/>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1494"/>
    <w:rsid w:val="0001410F"/>
    <w:rsid w:val="0002397E"/>
    <w:rsid w:val="000455E4"/>
    <w:rsid w:val="0006004E"/>
    <w:rsid w:val="000C233E"/>
    <w:rsid w:val="00105959"/>
    <w:rsid w:val="001153F0"/>
    <w:rsid w:val="001211A4"/>
    <w:rsid w:val="00121B41"/>
    <w:rsid w:val="00127E52"/>
    <w:rsid w:val="00150ABF"/>
    <w:rsid w:val="00152BBF"/>
    <w:rsid w:val="0015698E"/>
    <w:rsid w:val="00166515"/>
    <w:rsid w:val="001707F0"/>
    <w:rsid w:val="001A2F53"/>
    <w:rsid w:val="001A5F34"/>
    <w:rsid w:val="001A77F9"/>
    <w:rsid w:val="001B52FE"/>
    <w:rsid w:val="001B658F"/>
    <w:rsid w:val="002103EB"/>
    <w:rsid w:val="0021491F"/>
    <w:rsid w:val="00236BC1"/>
    <w:rsid w:val="00273A7D"/>
    <w:rsid w:val="00273E8E"/>
    <w:rsid w:val="00276316"/>
    <w:rsid w:val="002952AF"/>
    <w:rsid w:val="002C30AD"/>
    <w:rsid w:val="002E2782"/>
    <w:rsid w:val="002F3A78"/>
    <w:rsid w:val="00306166"/>
    <w:rsid w:val="003234FC"/>
    <w:rsid w:val="00332773"/>
    <w:rsid w:val="003345F1"/>
    <w:rsid w:val="00341497"/>
    <w:rsid w:val="00386A8B"/>
    <w:rsid w:val="0038770C"/>
    <w:rsid w:val="00391E30"/>
    <w:rsid w:val="00392D43"/>
    <w:rsid w:val="00393FF3"/>
    <w:rsid w:val="0039492F"/>
    <w:rsid w:val="003A67B5"/>
    <w:rsid w:val="003B2313"/>
    <w:rsid w:val="003F01BF"/>
    <w:rsid w:val="003F6BCB"/>
    <w:rsid w:val="00401CE7"/>
    <w:rsid w:val="004020C2"/>
    <w:rsid w:val="00410585"/>
    <w:rsid w:val="00485AD9"/>
    <w:rsid w:val="00490735"/>
    <w:rsid w:val="004E0601"/>
    <w:rsid w:val="004F1DAF"/>
    <w:rsid w:val="004F2652"/>
    <w:rsid w:val="005407DF"/>
    <w:rsid w:val="005538A4"/>
    <w:rsid w:val="0057352B"/>
    <w:rsid w:val="00587E02"/>
    <w:rsid w:val="005B4C75"/>
    <w:rsid w:val="00642DEF"/>
    <w:rsid w:val="00681270"/>
    <w:rsid w:val="006907BD"/>
    <w:rsid w:val="00694230"/>
    <w:rsid w:val="006A3BBC"/>
    <w:rsid w:val="006B1B5D"/>
    <w:rsid w:val="006B2D4C"/>
    <w:rsid w:val="006B33BD"/>
    <w:rsid w:val="006C4526"/>
    <w:rsid w:val="006D61D7"/>
    <w:rsid w:val="006E758B"/>
    <w:rsid w:val="00706C92"/>
    <w:rsid w:val="007220FC"/>
    <w:rsid w:val="00730B36"/>
    <w:rsid w:val="007334DE"/>
    <w:rsid w:val="007446DC"/>
    <w:rsid w:val="00765B2B"/>
    <w:rsid w:val="007E7D1B"/>
    <w:rsid w:val="0080395E"/>
    <w:rsid w:val="0080425E"/>
    <w:rsid w:val="008145C1"/>
    <w:rsid w:val="00856954"/>
    <w:rsid w:val="008830A1"/>
    <w:rsid w:val="00893D73"/>
    <w:rsid w:val="008A1CEE"/>
    <w:rsid w:val="008B0DC1"/>
    <w:rsid w:val="008C3002"/>
    <w:rsid w:val="008C6EC9"/>
    <w:rsid w:val="008D7B69"/>
    <w:rsid w:val="008E0017"/>
    <w:rsid w:val="008E243A"/>
    <w:rsid w:val="00920933"/>
    <w:rsid w:val="00931540"/>
    <w:rsid w:val="00950BF5"/>
    <w:rsid w:val="00965F9E"/>
    <w:rsid w:val="00970341"/>
    <w:rsid w:val="00971EE6"/>
    <w:rsid w:val="00976067"/>
    <w:rsid w:val="009A382B"/>
    <w:rsid w:val="009B7A62"/>
    <w:rsid w:val="009F69D2"/>
    <w:rsid w:val="00A00F08"/>
    <w:rsid w:val="00A05412"/>
    <w:rsid w:val="00A171BF"/>
    <w:rsid w:val="00A2016C"/>
    <w:rsid w:val="00A215F5"/>
    <w:rsid w:val="00A312AD"/>
    <w:rsid w:val="00A3598C"/>
    <w:rsid w:val="00A54AFF"/>
    <w:rsid w:val="00A61E07"/>
    <w:rsid w:val="00AA000E"/>
    <w:rsid w:val="00AA3CD7"/>
    <w:rsid w:val="00AA6AE7"/>
    <w:rsid w:val="00AC272E"/>
    <w:rsid w:val="00AD0A85"/>
    <w:rsid w:val="00AE1AFC"/>
    <w:rsid w:val="00AF56D5"/>
    <w:rsid w:val="00B113A0"/>
    <w:rsid w:val="00B37DBD"/>
    <w:rsid w:val="00B436F1"/>
    <w:rsid w:val="00B7504B"/>
    <w:rsid w:val="00B751CE"/>
    <w:rsid w:val="00B8442C"/>
    <w:rsid w:val="00BD64A5"/>
    <w:rsid w:val="00C06191"/>
    <w:rsid w:val="00C65E59"/>
    <w:rsid w:val="00C83EA9"/>
    <w:rsid w:val="00C84B32"/>
    <w:rsid w:val="00C87728"/>
    <w:rsid w:val="00CA2314"/>
    <w:rsid w:val="00CA2D18"/>
    <w:rsid w:val="00CD5EB0"/>
    <w:rsid w:val="00CE1494"/>
    <w:rsid w:val="00CE3C6D"/>
    <w:rsid w:val="00CF3275"/>
    <w:rsid w:val="00D11F4E"/>
    <w:rsid w:val="00D2742A"/>
    <w:rsid w:val="00D42EC2"/>
    <w:rsid w:val="00D43280"/>
    <w:rsid w:val="00D4455E"/>
    <w:rsid w:val="00D5006A"/>
    <w:rsid w:val="00D56B6F"/>
    <w:rsid w:val="00D74A40"/>
    <w:rsid w:val="00D81DD6"/>
    <w:rsid w:val="00D86108"/>
    <w:rsid w:val="00DA639E"/>
    <w:rsid w:val="00DB4BC7"/>
    <w:rsid w:val="00DD4B51"/>
    <w:rsid w:val="00DD557A"/>
    <w:rsid w:val="00DE6A75"/>
    <w:rsid w:val="00DF1765"/>
    <w:rsid w:val="00E21929"/>
    <w:rsid w:val="00E26B76"/>
    <w:rsid w:val="00E56667"/>
    <w:rsid w:val="00E61867"/>
    <w:rsid w:val="00E746A8"/>
    <w:rsid w:val="00E749DA"/>
    <w:rsid w:val="00E85511"/>
    <w:rsid w:val="00E95B84"/>
    <w:rsid w:val="00EC45BB"/>
    <w:rsid w:val="00ED375D"/>
    <w:rsid w:val="00ED6CDD"/>
    <w:rsid w:val="00EE22EA"/>
    <w:rsid w:val="00F00E6A"/>
    <w:rsid w:val="00F23DC5"/>
    <w:rsid w:val="00F71F56"/>
    <w:rsid w:val="00F73E54"/>
    <w:rsid w:val="00F73F64"/>
    <w:rsid w:val="00F83FC8"/>
    <w:rsid w:val="00F9218C"/>
    <w:rsid w:val="00FA5523"/>
    <w:rsid w:val="00FF4067"/>
    <w:rsid w:val="100B3ABC"/>
    <w:rsid w:val="102D7C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semiHidden/>
    <w:rPr>
      <w:sz w:val="18"/>
      <w:szCs w:val="18"/>
    </w:rPr>
  </w:style>
  <w:style w:type="character" w:customStyle="1" w:styleId="Char0">
    <w:name w:val="页眉 Char"/>
    <w:link w:val="a4"/>
    <w:uiPriority w:val="99"/>
    <w:semiHidden/>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customStyle="1" w:styleId="Default">
    <w:name w:val="Default"/>
    <w:rsid w:val="00410585"/>
    <w:pPr>
      <w:widowControl w:val="0"/>
      <w:autoSpaceDE w:val="0"/>
      <w:autoSpaceDN w:val="0"/>
      <w:adjustRightInd w:val="0"/>
    </w:pPr>
    <w:rPr>
      <w:rFonts w:ascii="宋体" w:hAnsi="宋体" w:cs="宋体"/>
      <w:color w:val="000000"/>
      <w:sz w:val="24"/>
      <w:szCs w:val="24"/>
    </w:rPr>
  </w:style>
  <w:style w:type="character" w:styleId="a5">
    <w:name w:val="annotation reference"/>
    <w:uiPriority w:val="99"/>
    <w:semiHidden/>
    <w:unhideWhenUsed/>
    <w:rsid w:val="008D7B69"/>
    <w:rPr>
      <w:sz w:val="21"/>
      <w:szCs w:val="21"/>
    </w:rPr>
  </w:style>
  <w:style w:type="paragraph" w:styleId="a6">
    <w:name w:val="annotation text"/>
    <w:basedOn w:val="a"/>
    <w:link w:val="a7"/>
    <w:uiPriority w:val="99"/>
    <w:semiHidden/>
    <w:unhideWhenUsed/>
    <w:rsid w:val="008D7B69"/>
    <w:pPr>
      <w:jc w:val="left"/>
    </w:pPr>
  </w:style>
  <w:style w:type="character" w:customStyle="1" w:styleId="a7">
    <w:name w:val="批注文字 字符"/>
    <w:link w:val="a6"/>
    <w:uiPriority w:val="99"/>
    <w:semiHidden/>
    <w:rsid w:val="008D7B69"/>
    <w:rPr>
      <w:kern w:val="2"/>
      <w:sz w:val="21"/>
      <w:szCs w:val="22"/>
    </w:rPr>
  </w:style>
  <w:style w:type="paragraph" w:styleId="a8">
    <w:name w:val="annotation subject"/>
    <w:basedOn w:val="a6"/>
    <w:next w:val="a6"/>
    <w:link w:val="a9"/>
    <w:uiPriority w:val="99"/>
    <w:semiHidden/>
    <w:unhideWhenUsed/>
    <w:rsid w:val="008D7B69"/>
    <w:rPr>
      <w:b/>
      <w:bCs/>
    </w:rPr>
  </w:style>
  <w:style w:type="character" w:customStyle="1" w:styleId="a9">
    <w:name w:val="批注主题 字符"/>
    <w:link w:val="a8"/>
    <w:uiPriority w:val="99"/>
    <w:semiHidden/>
    <w:rsid w:val="008D7B69"/>
    <w:rPr>
      <w:b/>
      <w:bCs/>
      <w:kern w:val="2"/>
      <w:sz w:val="21"/>
      <w:szCs w:val="22"/>
    </w:rPr>
  </w:style>
  <w:style w:type="paragraph" w:styleId="aa">
    <w:name w:val="Balloon Text"/>
    <w:basedOn w:val="a"/>
    <w:link w:val="ab"/>
    <w:uiPriority w:val="99"/>
    <w:semiHidden/>
    <w:unhideWhenUsed/>
    <w:rsid w:val="008D7B69"/>
    <w:rPr>
      <w:sz w:val="18"/>
      <w:szCs w:val="18"/>
    </w:rPr>
  </w:style>
  <w:style w:type="character" w:customStyle="1" w:styleId="ab">
    <w:name w:val="批注框文本 字符"/>
    <w:link w:val="aa"/>
    <w:uiPriority w:val="99"/>
    <w:semiHidden/>
    <w:rsid w:val="008D7B69"/>
    <w:rPr>
      <w:kern w:val="2"/>
      <w:sz w:val="18"/>
      <w:szCs w:val="18"/>
    </w:rPr>
  </w:style>
</w:styles>
</file>

<file path=word/webSettings.xml><?xml version="1.0" encoding="utf-8"?>
<w:webSettings xmlns:r="http://schemas.openxmlformats.org/officeDocument/2006/relationships" xmlns:w="http://schemas.openxmlformats.org/wordprocessingml/2006/main">
  <w:divs>
    <w:div w:id="254869712">
      <w:bodyDiv w:val="1"/>
      <w:marLeft w:val="0"/>
      <w:marRight w:val="0"/>
      <w:marTop w:val="0"/>
      <w:marBottom w:val="0"/>
      <w:divBdr>
        <w:top w:val="none" w:sz="0" w:space="0" w:color="auto"/>
        <w:left w:val="none" w:sz="0" w:space="0" w:color="auto"/>
        <w:bottom w:val="none" w:sz="0" w:space="0" w:color="auto"/>
        <w:right w:val="none" w:sz="0" w:space="0" w:color="auto"/>
      </w:divBdr>
    </w:div>
    <w:div w:id="1088428383">
      <w:bodyDiv w:val="1"/>
      <w:marLeft w:val="0"/>
      <w:marRight w:val="0"/>
      <w:marTop w:val="0"/>
      <w:marBottom w:val="0"/>
      <w:divBdr>
        <w:top w:val="none" w:sz="0" w:space="0" w:color="auto"/>
        <w:left w:val="none" w:sz="0" w:space="0" w:color="auto"/>
        <w:bottom w:val="none" w:sz="0" w:space="0" w:color="auto"/>
        <w:right w:val="none" w:sz="0" w:space="0" w:color="auto"/>
      </w:divBdr>
    </w:div>
    <w:div w:id="1713453978">
      <w:bodyDiv w:val="1"/>
      <w:marLeft w:val="0"/>
      <w:marRight w:val="0"/>
      <w:marTop w:val="0"/>
      <w:marBottom w:val="0"/>
      <w:divBdr>
        <w:top w:val="none" w:sz="0" w:space="0" w:color="auto"/>
        <w:left w:val="none" w:sz="0" w:space="0" w:color="auto"/>
        <w:bottom w:val="none" w:sz="0" w:space="0" w:color="auto"/>
        <w:right w:val="none" w:sz="0" w:space="0" w:color="auto"/>
      </w:divBdr>
    </w:div>
    <w:div w:id="17686968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1595</Characters>
  <Application>Microsoft Office Word</Application>
  <DocSecurity>4</DocSecurity>
  <Lines>13</Lines>
  <Paragraphs>3</Paragraphs>
  <ScaleCrop>false</ScaleCrop>
  <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caiww</dc:creator>
  <cp:keywords/>
  <dc:description/>
  <cp:lastModifiedBy>ZHONGM</cp:lastModifiedBy>
  <cp:revision>2</cp:revision>
  <dcterms:created xsi:type="dcterms:W3CDTF">2024-10-27T16:01:00Z</dcterms:created>
  <dcterms:modified xsi:type="dcterms:W3CDTF">2024-10-27T16:01:00Z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