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FD6" w:rsidRDefault="001176C6" w:rsidP="00801977">
      <w:pPr>
        <w:spacing w:line="540" w:lineRule="exact"/>
        <w:ind w:firstLineChars="50" w:firstLine="18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南方基金</w:t>
      </w:r>
      <w:r>
        <w:rPr>
          <w:rFonts w:ascii="仿宋" w:eastAsia="仿宋" w:hAnsi="仿宋"/>
          <w:b/>
          <w:color w:val="000000" w:themeColor="text1"/>
          <w:sz w:val="36"/>
          <w:szCs w:val="36"/>
        </w:rPr>
        <w:t>管理股份有限公司</w:t>
      </w:r>
      <w:r>
        <w:rPr>
          <w:rFonts w:ascii="仿宋" w:eastAsia="仿宋" w:hAnsi="仿宋" w:hint="eastAsia"/>
          <w:b/>
          <w:color w:val="000000" w:themeColor="text1"/>
          <w:sz w:val="36"/>
          <w:szCs w:val="36"/>
        </w:rPr>
        <w:t>旗下基金</w:t>
      </w:r>
    </w:p>
    <w:p w:rsidR="00254FD6" w:rsidRDefault="000D1979" w:rsidP="00801977">
      <w:pPr>
        <w:spacing w:line="540" w:lineRule="exact"/>
        <w:ind w:firstLineChars="50" w:firstLine="18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202</w:t>
      </w:r>
      <w:r w:rsidR="00C36435">
        <w:rPr>
          <w:rFonts w:ascii="仿宋" w:eastAsia="仿宋" w:hAnsi="仿宋" w:hint="eastAsia"/>
          <w:b/>
          <w:color w:val="000000" w:themeColor="text1"/>
          <w:sz w:val="36"/>
          <w:szCs w:val="36"/>
        </w:rPr>
        <w:t>4</w:t>
      </w:r>
      <w:r>
        <w:rPr>
          <w:rFonts w:ascii="仿宋" w:eastAsia="仿宋" w:hAnsi="仿宋" w:hint="eastAsia"/>
          <w:b/>
          <w:color w:val="000000" w:themeColor="text1"/>
          <w:sz w:val="36"/>
          <w:szCs w:val="36"/>
        </w:rPr>
        <w:t>年</w:t>
      </w:r>
      <w:r w:rsidR="0047229F">
        <w:rPr>
          <w:rFonts w:ascii="仿宋" w:eastAsia="仿宋" w:hAnsi="仿宋" w:hint="eastAsia"/>
          <w:b/>
          <w:color w:val="000000" w:themeColor="text1"/>
          <w:sz w:val="36"/>
          <w:szCs w:val="36"/>
        </w:rPr>
        <w:t>第三季度</w:t>
      </w:r>
      <w:r w:rsidR="001176C6">
        <w:rPr>
          <w:rFonts w:ascii="仿宋" w:eastAsia="仿宋" w:hAnsi="仿宋" w:hint="eastAsia"/>
          <w:b/>
          <w:color w:val="000000" w:themeColor="text1"/>
          <w:sz w:val="36"/>
          <w:szCs w:val="36"/>
        </w:rPr>
        <w:t>报告提示性公告</w:t>
      </w:r>
    </w:p>
    <w:p w:rsidR="00254FD6" w:rsidRDefault="00254FD6" w:rsidP="00801977">
      <w:pPr>
        <w:spacing w:line="540" w:lineRule="exact"/>
        <w:ind w:firstLineChars="50" w:firstLine="180"/>
        <w:jc w:val="center"/>
        <w:rPr>
          <w:rFonts w:ascii="仿宋" w:eastAsia="仿宋" w:hAnsi="仿宋"/>
          <w:b/>
          <w:color w:val="000000" w:themeColor="text1"/>
          <w:sz w:val="36"/>
          <w:szCs w:val="36"/>
        </w:rPr>
      </w:pPr>
    </w:p>
    <w:p w:rsidR="00254FD6" w:rsidRDefault="00E967FD" w:rsidP="00E967FD">
      <w:pPr>
        <w:spacing w:line="54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南方基金</w:t>
      </w:r>
      <w:r>
        <w:rPr>
          <w:rFonts w:ascii="仿宋" w:eastAsia="仿宋" w:hAnsi="仿宋"/>
          <w:color w:val="000000" w:themeColor="text1"/>
          <w:sz w:val="28"/>
          <w:szCs w:val="28"/>
        </w:rPr>
        <w:t>管理股份有限公司</w:t>
      </w:r>
      <w:r>
        <w:rPr>
          <w:rFonts w:ascii="仿宋" w:eastAsia="仿宋" w:hAnsi="仿宋" w:hint="eastAsia"/>
          <w:color w:val="000000" w:themeColor="text1"/>
          <w:sz w:val="28"/>
          <w:szCs w:val="28"/>
        </w:rPr>
        <w:t>（以下简称“本公司”）</w:t>
      </w:r>
      <w:r w:rsidR="001176C6">
        <w:rPr>
          <w:rFonts w:ascii="仿宋" w:eastAsia="仿宋" w:hAnsi="仿宋" w:hint="eastAsia"/>
          <w:color w:val="000000" w:themeColor="text1"/>
          <w:sz w:val="28"/>
          <w:szCs w:val="28"/>
        </w:rPr>
        <w:t>董事会及董事保证基金</w:t>
      </w:r>
      <w:r w:rsidR="000D1979">
        <w:rPr>
          <w:rFonts w:ascii="仿宋" w:eastAsia="仿宋" w:hAnsi="仿宋" w:hint="eastAsia"/>
          <w:color w:val="000000" w:themeColor="text1"/>
          <w:sz w:val="28"/>
          <w:szCs w:val="28"/>
        </w:rPr>
        <w:t>202</w:t>
      </w:r>
      <w:r w:rsidR="00C36435">
        <w:rPr>
          <w:rFonts w:ascii="仿宋" w:eastAsia="仿宋" w:hAnsi="仿宋"/>
          <w:color w:val="000000" w:themeColor="text1"/>
          <w:sz w:val="28"/>
          <w:szCs w:val="28"/>
        </w:rPr>
        <w:t>4</w:t>
      </w:r>
      <w:r w:rsidR="000D1979">
        <w:rPr>
          <w:rFonts w:ascii="仿宋" w:eastAsia="仿宋" w:hAnsi="仿宋" w:hint="eastAsia"/>
          <w:color w:val="000000" w:themeColor="text1"/>
          <w:sz w:val="28"/>
          <w:szCs w:val="28"/>
        </w:rPr>
        <w:t>年</w:t>
      </w:r>
      <w:r w:rsidR="0047229F">
        <w:rPr>
          <w:rFonts w:ascii="仿宋" w:eastAsia="仿宋" w:hAnsi="仿宋" w:hint="eastAsia"/>
          <w:color w:val="000000" w:themeColor="text1"/>
          <w:sz w:val="28"/>
          <w:szCs w:val="28"/>
        </w:rPr>
        <w:t>第三季度</w:t>
      </w:r>
      <w:r w:rsidR="001176C6">
        <w:rPr>
          <w:rFonts w:ascii="仿宋" w:eastAsia="仿宋" w:hAnsi="仿宋" w:hint="eastAsia"/>
          <w:color w:val="000000" w:themeColor="text1"/>
          <w:sz w:val="28"/>
          <w:szCs w:val="28"/>
        </w:rPr>
        <w:t>报告所载资料不存在虚假记载、误导性陈述或重大遗漏，并对其内容的真实性、准确性和完整性承担个别及连带责任。</w:t>
      </w:r>
    </w:p>
    <w:p w:rsidR="00254FD6" w:rsidRDefault="00B50694" w:rsidP="00F01331">
      <w:pPr>
        <w:spacing w:line="540" w:lineRule="exact"/>
        <w:ind w:firstLine="570"/>
        <w:rPr>
          <w:rFonts w:ascii="仿宋" w:eastAsia="仿宋" w:hAnsi="仿宋"/>
          <w:color w:val="000000" w:themeColor="text1"/>
          <w:sz w:val="28"/>
          <w:szCs w:val="28"/>
        </w:rPr>
      </w:pPr>
      <w:r>
        <w:rPr>
          <w:rFonts w:ascii="仿宋" w:eastAsia="仿宋" w:hAnsi="仿宋" w:hint="eastAsia"/>
          <w:color w:val="000000" w:themeColor="text1"/>
          <w:sz w:val="28"/>
          <w:szCs w:val="28"/>
        </w:rPr>
        <w:t>本公司</w:t>
      </w:r>
      <w:r w:rsidR="000D1979">
        <w:rPr>
          <w:rFonts w:ascii="仿宋" w:eastAsia="仿宋" w:hAnsi="仿宋" w:hint="eastAsia"/>
          <w:color w:val="000000" w:themeColor="text1"/>
          <w:sz w:val="28"/>
          <w:szCs w:val="28"/>
        </w:rPr>
        <w:t>202</w:t>
      </w:r>
      <w:r w:rsidR="00C36435">
        <w:rPr>
          <w:rFonts w:ascii="仿宋" w:eastAsia="仿宋" w:hAnsi="仿宋"/>
          <w:color w:val="000000" w:themeColor="text1"/>
          <w:sz w:val="28"/>
          <w:szCs w:val="28"/>
        </w:rPr>
        <w:t>4</w:t>
      </w:r>
      <w:r w:rsidR="000D1979">
        <w:rPr>
          <w:rFonts w:ascii="仿宋" w:eastAsia="仿宋" w:hAnsi="仿宋" w:hint="eastAsia"/>
          <w:color w:val="000000" w:themeColor="text1"/>
          <w:sz w:val="28"/>
          <w:szCs w:val="28"/>
        </w:rPr>
        <w:t>年</w:t>
      </w:r>
      <w:r w:rsidR="0047229F">
        <w:rPr>
          <w:rFonts w:ascii="仿宋" w:eastAsia="仿宋" w:hAnsi="仿宋" w:hint="eastAsia"/>
          <w:color w:val="000000" w:themeColor="text1"/>
          <w:sz w:val="28"/>
          <w:szCs w:val="28"/>
        </w:rPr>
        <w:t>第三季度</w:t>
      </w:r>
      <w:r>
        <w:rPr>
          <w:rFonts w:ascii="仿宋" w:eastAsia="仿宋" w:hAnsi="仿宋" w:hint="eastAsia"/>
          <w:color w:val="000000" w:themeColor="text1"/>
          <w:sz w:val="28"/>
          <w:szCs w:val="28"/>
        </w:rPr>
        <w:t>报告涉及基金明细如下：</w:t>
      </w:r>
    </w:p>
    <w:tbl>
      <w:tblPr>
        <w:tblW w:w="14760" w:type="dxa"/>
        <w:tblLook w:val="04A0"/>
      </w:tblPr>
      <w:tblGrid>
        <w:gridCol w:w="14760"/>
      </w:tblGrid>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南方稳健成长证券投资基金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南方宝元债券型基金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南方现金增利基金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南方积极配置混合型证券投资基金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南方高增长混合型证券投资基金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南方多利增强债券型证券投资基金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南方稳健成长贰号证券投资基金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南方绩优成长混合型证券投资基金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南方成份精选混合型证券投资基金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南方全球精选配置证券投资基金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南方隆元产业主题混合型证券投资基金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南方盛元红利混合型证券投资基金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南方优选价值混合型证券投资基金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南方中证100指数证券投资基金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南方沪深300交易型开放式指数证券投资基金联接基金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南方中证500交易型开放式指数证券投资基金联接基金(LOF)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深证成份交易型开放式指数证券投资基金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lastRenderedPageBreak/>
              <w:t>南方深证成份交易型开放式指数证券投资基金联接基金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南方策略优化混合型证券投资基金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中证南方小康产业交易型开放式指数证券投资基金联接基金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中证南方小康产业交易型开放式指数证券投资基金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南方广利回报债券型证券投资基金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南方优选成长混合型证券投资基金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南方平衡配置混合型证券投资基金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上证380交易型开放式指数证券投资基金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南方上证380交易型开放式指数证券投资基金联接基金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南方香港优选股票型证券投资基金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南方新兴消费增长股票型证券投资基金(LOF)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南方金利定期开放债券型证券投资基金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南方润元纯债债券型证券投资基金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南方旺元60天滚动持有中短债债券型证券投资基金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南方核心竞争混合型证券投资基金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南方收益宝货币市场基金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中证500交易型开放式指数证券投资基金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南方沪深300交易型开放式指数证券投资基金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南方稳利1年持有期债券型证券投资基金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南方丰元信用增强债券型证券投资基金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南方现金通货币市场基金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南方医药保健灵活配置混合型证券投资基金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南方新优享灵活配置混合型证券投资基金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lastRenderedPageBreak/>
              <w:t>南方通利债券型证券投资基金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中国梦灵活配置混合型证券投资基金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南方薪金宝货币市场基金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南方天元新产业股票型证券投资基金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南方高端装备混合型证券投资基金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南方启元债券型证券投资基金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南方绝对收益策略定期开放混合型发起式证券投资基金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南方理财金交易型货币市场基金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南方恒生交易型开放式指数证券投资基金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南方产业活力股票型证券投资基金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南方双元债券型证券投资基金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南方创新经济灵活配置混合型证券投资基金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南方利淘灵活配置混合型证券投资基金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南方大数据100指数证券投资基金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南方改革机遇灵活配置混合型证券投资基金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南方利鑫灵活配置混合型证券投资基金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南方利众灵活配置混合型证券投资基金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南方潜力新蓝筹混合型证券投资基金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南方中证高铁产业指数证券投资基金（LOF）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南方大数据300指数证券投资基金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南方量化成长股票型证券投资基金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中证500信息技术指数交易型开放式指数证券投资基金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南方利达灵活配置混合型证券投资基金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南方国策动力股票型证券投资基金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南方香港成长灵活配置混合型证券投资基金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南方中小盘成长股票型证券投资基金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南方荣光灵活配置混合型证券投资基金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南方利安灵活配置混合型证券投资基金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南方弘利定期开放债券型发起式证券投资基金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南方益和灵活配置混合型证券投资基金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南方日添益货币市场基金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南方君选灵活配置混合型证券投资基金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南方亚洲美元收益债券型证券投资基金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南方转型驱动灵活配置混合型证券投资基金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南方新兴龙头灵活配置混合型证券投资基金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南方创业板交易型开放式指数证券投资基金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南方创业板交易型开放式指数证券投资基金联接基金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南方原油证券投资基金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南方品质优选灵活配置混合型证券投资基金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南方中证500信息技术指数交易型开放式指数证券投资基金发起式联接基金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南方转型增长灵活配置混合型证券投资基金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南方安泰混合型证券投资基金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南方颐元定期开放债券型发起式证券投资基金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南方多元定期开放债券型发起式证券投资基金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南方中证1000交易型开放式指数证券投资基金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南方天天利货币市场基金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南方卓元债券型证券投资基金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南方安裕混合型证券投资基金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南方中证500量化增强股票型发起式证券投资基金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南方宣利定期开放债券型证券投资基金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南方安颐混合型证券投资基金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南方宏元定期开放债券型发起式证券投资基金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南方产业智选股票型证券投资基金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南方中证全指证券公司交易型开放式指数证券投资基金联接基金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南方军工改革灵活配置混合型证券投资基金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南方中证全指证券公司交易型开放式指数证券投资基金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南方智慧精选灵活配置混合型证券投资基金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南方和元债券型证券投资基金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南方纯元债券型证券投资基金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南方安康混合型证券投资基金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南方中证银行交易型开放式指数证券投资基金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南方中证银行交易型开放式指数证券投资基金发起式联接基金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南方安睿混合型证券投资基金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南方恒生交易型开放式指数证券投资基金联接基金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南方中证申万有色金属交易型开放式指数证券投资基金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南方祥元债券型证券投资基金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南方金融主题灵活配置混合型证券投资基金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南方天天宝货币市场基金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南方中证全指房地产交易型开放式指数证券投资基金发起式联接基金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南方中证全指房地产交易型开放式指数证券投资基金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南方中证申万有色金属交易型开放式指数证券投资基金发起式联接基金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南方兴利半年定期开放债券型发起式证券投资基金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南方兴盛先锋灵活配置混合型证券投资基金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南方全天候策略混合型基金中基金(FOF)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南方道琼斯美国精选REIT指数证券投资基金（QDII-LOF）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南方安福混合型证券投资基金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南方优享分红灵活配置混合型证券投资基金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南方卓利3个月定期开放债券型发起式证券投资基金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南方恒生中国企业交易型开放式指数证券投资基金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南方恒生中国企业交易型开放式指数证券投资基金联接基金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南方浙利定期开放债券型发起式证券投资基金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南方乾利定期开放债券型发起式证券投资基金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南方希元可转债债券型证券投资基金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MSCI中国A股国际通交易型开放式指数证券投资基金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南方涪利定期开放债券型发起式证券投资基金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南方成安优选灵活配置混合型证券投资基金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南方瑞祥一年定期开放灵活配置混合型证券投资基金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南方君信灵活配置混合型证券投资基金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MSCI中国A股国际通交易型开放式指数证券投资基金发起式联接基金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南方优势产业灵活配置混合型证券投资基金(LOF)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南方瑞合三年定期开放混合型发起式证券投资基金(LOF)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南方泽元债券型证券投资基金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南方赢元债券型证券投资基金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南方人工智能主题混合型证券投资基金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南方养老目标日期2035三年持有期混合型基金中基金(FOF)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南方中债1-3年国开行债券指数证券投资基金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南方吉元短债债券型证券投资基金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南方中债3-5年农发行债券指数证券投资基金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南方交元债券型证券投资基金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南方畅利定期开放债券型发起式证券投资基金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南方昌元可转债债券型证券投资基金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南方国利6个月定期开放债券型发起式证券投资基金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南方合顺多资产配置混合型基金中基金(FOF)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南方华元债券型证券投资基金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南方臻元债券型证券投资基金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南方亨元债券型发起式证券投资基金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南方智诚混合型证券投资基金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南方中债7-10年国开行债券指数证券投资基金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南方鑫利3个月定期开放债券型发起式证券投资基金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南方惠利6个月定期开放债券型证券投资基金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南方科技创新混合型证券投资基金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南方富元稳健养老目标一年持有期混合型基金中基金（FOF）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南方恒庆一年定期开放债券型证券投资基金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南方致远混合型证券投资基金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南方顶峰TOPIX交易型开放式指数证券投资基金(QDII)</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南方初元中短债债券型发起式证券投资基金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南方信息创新混合型证券投资基金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南方旭元债券型发起式证券投资基金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南方泰元债券型发起式证券投资基金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南方恒新39个月定期开放债券型证券投资基金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南方贺元利率债债券型证券投资基金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南方聪元债券型发起式证券投资基金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南方智锐混合型证券投资基金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南方梦元短债债券型证券投资基金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南方定元中短债债券型证券投资基金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南方皓元短债债券型证券投资基金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南方养老目标日期2030三年持有期混合型发起式基金中基金(FOF)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南方ESG主题股票型证券投资基金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南方远利3个月定期开放债券型发起式证券投资基金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南方宝泰一年持有期混合型证券投资基金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南方创利3个月定期开放债券型发起式证券投资基金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南方宁利一年定期开放债券型发起式证券投资基金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南方标普中国A股大盘红利低波50交易型开放式指数证券投资基金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南方标普中国A股大盘红利低波50交易型开放式指数证券投资基金联接基金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南方内需增长两年持有期股票型证券投资基金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南方尊利一年定期开放债券型发起式证券投资基金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南方鼎利一年定期开放债券型发起式证券投资基金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南方骏元中短期利率债债券型证券投资基金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南方中债0-5年中高等级江苏省城投类债券指数证券投资基金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南方宝丰混合型证券投资基金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南方乐元中短期利率债债券型证券投资基金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南方得利一年定期开放债券型发起式证券投资基金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南方集利18个月持有期债券型证券投资基金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南方瑞盛三年持有期混合型证券投资基金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南方中债1-5年国开行债券指数证券投资基金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南方上证50指数增强型发起式证券投资基金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南方沪深300指数增强型证券投资基金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南方誉慧一年持有期混合型证券投资基金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南方招利一年定期开放债券型发起式证券投资基金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南方誉丰18个月持有期混合型证券投资基金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南方昭元债券型发起式证券投资基金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南方成长先锋混合型证券投资基金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南方升元中短期利率债债券型证券投资基金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南方核心成长混合型证券投资基金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南方创新精选一年定期开放混合型发起式证券投资基金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南方养老目标日期2045三年持有期混合型发起式基金中基金(FOF)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南方高股息主题股票型证券投资基金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南方科创板3年定期开放混合型证券投资基金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南方养老目标日期2040三年持有期混合型发起式基金中基金(FOF)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南方景气驱动混合型证券投资基金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南方中债0-2年国开行债券指数证券投资基金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南方产业优势两年持有期混合型证券投资基金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南方创新驱动混合型证券投资基金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南方创业板2年定期开放混合型证券投资基金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南方创新成长混合型证券投资基金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南方行业精选一年持有期混合型证券投资基金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南方誉尚一年持有期混合型证券投资基金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南方誉鼎一年持有期混合型证券投资基金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南方中证互联网指数证券投资基金(LOF)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南方产业升级混合型证券投资基金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南方沪港深核心优势混合型证券投资基金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南方宁悦一年持有期混合型证券投资基金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南方宝升混合型证券投资基金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南方阿尔法混合型证券投资基金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南方消费升级混合型证券投资基金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南方中证新能源交易型开放式指数证券投资基金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南方匠心优选股票型证券投资基金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南方兴润价值一年持有期混合型证券投资基金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南方卓越优选3个月持有期混合型证券投资基金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南方医药创新股票型证券投资基金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南方优质企业混合型证券投资基金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南方中证创新药产业交易型开放式指数证券投资基金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南方宝顺混合型证券投资基金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南方远见回报股票型证券投资基金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南方崇元纯债债券型证券投资基金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南方誉享一年持有期混合型证券投资基金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南方浩睿进取京选3个月持有期混合型基金中基金（FOF）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南方均衡回报混合型证券投资基金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南方誉浦一年持有期混合型证券投资基金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南方晖元6个月持有期债券型证券投资基金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南方宝恒混合型证券投资基金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南方景元中高等级信用债债券型证券投资基金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南方臻利3个月定期开放债券型发起式证券投资基金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南方佳元6个月持有期债券型证券投资基金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南方价值臻选混合型证券投资基金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南方中证科创创业50交易型开放式指数证券投资基金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南方中证香港科技交易型开放式指数证券投资基金(QDII)</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南方港股通优势企业混合型证券投资基金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南方富瑞稳健养老目标一年持有期混合型基金中基金(FOF)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南方行业领先混合型证券投资基金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南方中国新兴经济9个月持有期混合型证券投资基金(QDII)</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南方中证科创创业50交易型开放式指数证券投资基金联接基金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南方中证新能源交易型开放式指数证券投资基金联接基金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南方新能源产业趋势混合型证券投资基金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南方均衡优选一年持有期混合型证券投资基金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南方兴锦利一年定期开放债券型发起式证券投资基金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南方蓝筹成长混合型证券投资基金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南方中证1000交易型开放式指数证券投资基金发起式联接基金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南方富誉稳健养老目标一年持有期混合型基金中基金（FOF）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南方中证全指医疗保健设备与服务交易型开放式指数证券投资基金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南方永元一年持有期债券型证券投资基金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南方MSCI中国A50互联互通交易型开放式指数证券投资基金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南方中证物联网主题交易型开放式指数证券投资基金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南方月月享30天滚动持有债券型发起式证券投资基金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南方北交所精选两年定期开放混合型发起式证券投资基金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南方领航优选混合型证券投资基金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南方定利一年定期开放债券型证券投资基金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南方中证长江保护主题交易型开放式指数证券投资基金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南方誉盈一年持有期混合型证券投资基金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南方上证科创板50成份交易型开放式指数证券投资基金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南方富时中国国企开放共赢交易型开放式指数证券投资基金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南方中证同业存单AAA指数7天持有期证券投资基金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南方港股创新视野一年持有期混合型证券投资基金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南方国证在线消费交易型开放式指数证券投资基金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南方专精特新混合型证券投资基金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南方MSCI中国A50互联互通交易型开放式指数证券投资基金联接基金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南方宝昌混合型证券投资基金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南方中证500增强策略交易型开放式指数证券投资基金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南方通元6个月持有期债券型证券投资基金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南方比较优势混合型证券投资基金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南方新兴产业混合型证券投资基金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南方宝裕混合型证券投资基金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南方上海金交易型开放式证券投资基金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南方发展机遇一年持有期混合型证券投资基金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南方养老目标日期2050五年持有期混合型发起式基金中基金（FOF）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南方信元债券型证券投资基金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南方浩泰平衡优选一年持有期混合型基金中基金（FOF）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南方竞争优势混合型证券投资基金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南方富祥稳健养老目标一年持有期混合型基金中基金（FOF）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南方浩益进取聚申3个月持有期混合型基金中基金（FOF）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南方誉稳一年持有期混合型证券投资基金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南方誉泰稳健6个月持有期混合型基金中基金（FOF）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南方恒生香港上市生物科技交易型开放式指数证券投资基金(QDII)</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南方宝嘉混合型证券投资基金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南方中证上海环交所碳中和交易型开放式指数证券投资基金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南方晨利一年定期开放债券型发起式证券投资基金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南方宝祥混合型证券投资基金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南方高质量优选混合型证券投资基金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南方鑫悦15个月持有期混合型证券投资基金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南方耀元债券型证券投资基金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南方光元债券型证券投资基金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南方均衡成长混合型证券投资基金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南方上证科创板新材料交易型开放式指数证券投资基金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南方碳中和股票型发起式证券投资基金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南方浩鑫稳健优选6个月持有期混合型基金中基金（FOF）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南方浩誉稳健18个月持有期混合型基金中基金（FOF）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南方振元债券型发起式证券投资基金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南方君誉混合型证券投资基金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南方稳鑫6个月持有期债券型证券投资基金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南方国证交通运输行业交易型开放式指数证券投资基金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南方纳斯达克100指数发起式证券投资基金（QDII）</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南方上证科创板50成份增强策略交易型开放式指数证券投资基金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南方基金南方东英银河联昌富时亚太低碳精选交易型开放式指数证券投资基金（QDII）</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南方中证政策性金融债指数证券投资基金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南方北证50成份指数发起式证券投资基金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南方养老目标日期2060五年持有期混合型发起式基金中基金（FOF）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南方前瞻动力混合型证券投资基金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南方浩祥3个月持有期债券型发起式基金中基金（FOF）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南方中证主要消费交易型开放式指数证券投资基金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南方景气前瞻混合型证券投资基金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南方新材料股票型发起式证券投资基金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南方标普500交易型开放式指数证券投资基金（QDII）</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南方养老目标日期2055五年持有期混合型发起式基金中基金（FOF）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南方达元债券型证券投资基金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南方浩恒稳健优选6个月持有期混合型基金中基金（FOF）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南方中证长江保护主题交易型开放式指数证券投资基金联接基金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南方沪深300ESG基准交易型开放式指数证券投资基金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南方中证全指电力公用事业交易型开放式指数证券投资基金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南方浩稳优选9个月持有期混合型基金中基金（FOF）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南方浩盈进取精选一年持有期混合型基金中基金（FOF）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南方浩升稳健优选6个月持有期混合型基金中基金（FOF）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南方浩达稳健优选一年持有期混合型基金中基金（FOF）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南方ESG纯债债券型发起式证券投资基金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南方贤元一年持有期债券型证券投资基金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南方恒生香港上市生物科技交易型开放式指数证券投资基金发起式联接基金（QDII）</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南方中证上海环交所碳中和交易型开放式指数证券投资基金联接基金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南方津享稳健添利债券型证券投资基金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南方中证国新央企科技引领交易型开放式指数证券投资基金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南方核心科技一年持有期混合型证券投资基金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南方上海金交易型开放式证券投资基金发起式联接基金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南方中证通信服务交易型开放式指数证券投资基金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南方稳瑞90天持有期债券型证券投资基金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南方宁元债券型证券投资基金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南方康乐养老目标日期2045三年持有期混合型发起式基金中基金（FOF）</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南方中证2000交易型开放式指数证券投资基金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南方智信混合型证券投资基金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南方中证全指医疗保健设备与服务交易型开放式指数证券投资基金发起式联接基金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南方惠享稳健添利债券型证券投资基金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南方港股医药行业混合型发起式证券投资基金（QDII）</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南方港股数字经济混合型发起式证券投资基金（QDII）</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南方数字经济混合型证券投资基金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南方富时中国国企开放共赢交易型开放式指数证券投资基金发起式联接基金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南方前瞻共赢三年定期开放混合型证券投资基金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南方国证交通运输行业交易型开放式指数证券投资基金发起式联接基金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南方恩元债券型发起式证券投资基金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南方中证电池主题指数发起式证券投资基金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南方上证科创板100交易型开放式指数证券投资基金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南方金添利三年定期开放债券型证券投资基金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南方誉民稳健一年持有期混合型证券投资基金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南方睿阳稳健添利6个月持有期债券型证券投资基金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南方中证国新央企科技引领交易型开放式指数证券投资基金联接基金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南方中证全指计算机交易型开放式指数证券投资基金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南方上证科创板新材料交易型开放式指数证券投资基金发起式联接基金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南方中证机器人指数发起式证券投资基金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南方中证光伏产业指数发起式证券投资基金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南方中证半导体产业指数发起式证券投资基金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南方上证科创板芯片交易型开放式指数证券投资基金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南方中证创新药产业交易型开放式指数证券投资基金发起式联接基金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南方半导体产业股票型发起式证券投资基金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南方稳福120天持有期债券型证券投资基金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南方中证通信服务交易型开放式指数证券投资基金发起式联接基金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南方恒生科技指数发起式证券投资基金（QDII）</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南方基金南方东英银河联昌富时亚太低碳精选交易型开放式指数证券投资基金发起式联接基金（QDII）</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深证主板50交易型开放式指数证券投资基金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南方中债0-3年农发行债券指数证券投资基金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南方上证科创板100交易型开放式指数证券投资基金联接基金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南方中证国新港股通央企红利交易型开放式指数证券投资基金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南方基金南方东英沙特阿拉伯交易型开放式指数证券投资基金（QDII）</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南方上证科创板芯片交易型开放式指数证券投资基金发起式联接基金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南方中证全指电力公用事业交易型开放式指数证券投资基金发起式联接基金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南方尊享稳健增利债券型证券投资基金</w:t>
            </w:r>
          </w:p>
        </w:tc>
      </w:tr>
      <w:tr w:rsidR="006248F7" w:rsidRPr="006248F7" w:rsidTr="006248F7">
        <w:trPr>
          <w:trHeight w:val="255"/>
        </w:trPr>
        <w:tc>
          <w:tcPr>
            <w:tcW w:w="14760" w:type="dxa"/>
            <w:tcBorders>
              <w:top w:val="nil"/>
              <w:left w:val="nil"/>
              <w:bottom w:val="nil"/>
              <w:right w:val="nil"/>
            </w:tcBorders>
            <w:shd w:val="clear" w:color="auto" w:fill="auto"/>
            <w:vAlign w:val="center"/>
            <w:hideMark/>
          </w:tcPr>
          <w:p w:rsidR="006248F7" w:rsidRPr="006248F7" w:rsidRDefault="006248F7" w:rsidP="006248F7">
            <w:pPr>
              <w:widowControl/>
              <w:jc w:val="left"/>
              <w:rPr>
                <w:rFonts w:ascii="仿宋" w:eastAsia="仿宋" w:hAnsi="仿宋"/>
                <w:color w:val="000000" w:themeColor="text1"/>
                <w:sz w:val="28"/>
                <w:szCs w:val="28"/>
              </w:rPr>
            </w:pPr>
            <w:r w:rsidRPr="006248F7">
              <w:rPr>
                <w:rFonts w:ascii="仿宋" w:eastAsia="仿宋" w:hAnsi="仿宋" w:hint="eastAsia"/>
                <w:color w:val="000000" w:themeColor="text1"/>
                <w:sz w:val="28"/>
                <w:szCs w:val="28"/>
              </w:rPr>
              <w:t>南方中证全指计算机交易型开放式指数证券投资基金发起式联接基金</w:t>
            </w:r>
          </w:p>
        </w:tc>
      </w:tr>
    </w:tbl>
    <w:p w:rsidR="00254FD6" w:rsidRDefault="000D1979" w:rsidP="000D1979">
      <w:pPr>
        <w:spacing w:line="54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sidR="00F576E3">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w:t>
      </w:r>
      <w:r w:rsidR="00B50694">
        <w:rPr>
          <w:rFonts w:ascii="仿宋" w:eastAsia="仿宋" w:hAnsi="仿宋" w:hint="eastAsia"/>
          <w:color w:val="000000" w:themeColor="text1"/>
          <w:sz w:val="28"/>
          <w:szCs w:val="28"/>
        </w:rPr>
        <w:t>上述基金</w:t>
      </w:r>
      <w:r>
        <w:rPr>
          <w:rFonts w:ascii="仿宋" w:eastAsia="仿宋" w:hAnsi="仿宋" w:hint="eastAsia"/>
          <w:color w:val="000000" w:themeColor="text1"/>
          <w:sz w:val="28"/>
          <w:szCs w:val="28"/>
        </w:rPr>
        <w:t>202</w:t>
      </w:r>
      <w:r w:rsidR="00C36435">
        <w:rPr>
          <w:rFonts w:ascii="仿宋" w:eastAsia="仿宋" w:hAnsi="仿宋"/>
          <w:color w:val="000000" w:themeColor="text1"/>
          <w:sz w:val="28"/>
          <w:szCs w:val="28"/>
        </w:rPr>
        <w:t>4</w:t>
      </w:r>
      <w:r>
        <w:rPr>
          <w:rFonts w:ascii="仿宋" w:eastAsia="仿宋" w:hAnsi="仿宋" w:hint="eastAsia"/>
          <w:color w:val="000000" w:themeColor="text1"/>
          <w:sz w:val="28"/>
          <w:szCs w:val="28"/>
        </w:rPr>
        <w:t>年</w:t>
      </w:r>
      <w:r w:rsidR="0047229F">
        <w:rPr>
          <w:rFonts w:ascii="仿宋" w:eastAsia="仿宋" w:hAnsi="仿宋" w:hint="eastAsia"/>
          <w:color w:val="000000" w:themeColor="text1"/>
          <w:sz w:val="28"/>
          <w:szCs w:val="28"/>
        </w:rPr>
        <w:t>第三季度</w:t>
      </w:r>
      <w:r w:rsidR="001176C6">
        <w:rPr>
          <w:rFonts w:ascii="仿宋" w:eastAsia="仿宋" w:hAnsi="仿宋"/>
          <w:color w:val="000000" w:themeColor="text1"/>
          <w:sz w:val="28"/>
          <w:szCs w:val="28"/>
        </w:rPr>
        <w:t>报告全文</w:t>
      </w:r>
      <w:r w:rsidR="001176C6">
        <w:rPr>
          <w:rFonts w:ascii="仿宋" w:eastAsia="仿宋" w:hAnsi="仿宋" w:hint="eastAsia"/>
          <w:color w:val="000000" w:themeColor="text1"/>
          <w:sz w:val="28"/>
          <w:szCs w:val="28"/>
        </w:rPr>
        <w:t>于</w:t>
      </w:r>
      <w:r w:rsidR="00BD5D07">
        <w:rPr>
          <w:rFonts w:ascii="仿宋" w:eastAsia="仿宋" w:hAnsi="仿宋" w:hint="eastAsia"/>
          <w:color w:val="000000" w:themeColor="text1"/>
          <w:sz w:val="28"/>
          <w:szCs w:val="28"/>
        </w:rPr>
        <w:t>2024年</w:t>
      </w:r>
      <w:r w:rsidR="0047229F">
        <w:rPr>
          <w:rFonts w:ascii="仿宋" w:eastAsia="仿宋" w:hAnsi="仿宋"/>
          <w:color w:val="000000" w:themeColor="text1"/>
          <w:sz w:val="28"/>
          <w:szCs w:val="28"/>
        </w:rPr>
        <w:t>10</w:t>
      </w:r>
      <w:r w:rsidR="00BD5D07">
        <w:rPr>
          <w:rFonts w:ascii="仿宋" w:eastAsia="仿宋" w:hAnsi="仿宋" w:hint="eastAsia"/>
          <w:color w:val="000000" w:themeColor="text1"/>
          <w:sz w:val="28"/>
          <w:szCs w:val="28"/>
        </w:rPr>
        <w:t>月</w:t>
      </w:r>
      <w:r w:rsidR="0047229F">
        <w:rPr>
          <w:rFonts w:ascii="仿宋" w:eastAsia="仿宋" w:hAnsi="仿宋"/>
          <w:color w:val="000000" w:themeColor="text1"/>
          <w:sz w:val="28"/>
          <w:szCs w:val="28"/>
        </w:rPr>
        <w:t>25</w:t>
      </w:r>
      <w:r w:rsidR="00BD5D07">
        <w:rPr>
          <w:rFonts w:ascii="仿宋" w:eastAsia="仿宋" w:hAnsi="仿宋" w:hint="eastAsia"/>
          <w:color w:val="000000" w:themeColor="text1"/>
          <w:sz w:val="28"/>
          <w:szCs w:val="28"/>
        </w:rPr>
        <w:t>日</w:t>
      </w:r>
      <w:r w:rsidR="001176C6">
        <w:rPr>
          <w:rFonts w:ascii="仿宋" w:eastAsia="仿宋" w:hAnsi="仿宋" w:hint="eastAsia"/>
          <w:color w:val="000000" w:themeColor="text1"/>
          <w:sz w:val="28"/>
          <w:szCs w:val="28"/>
        </w:rPr>
        <w:t>在</w:t>
      </w:r>
      <w:r w:rsidR="001176C6">
        <w:rPr>
          <w:rFonts w:ascii="仿宋" w:eastAsia="仿宋" w:hAnsi="仿宋"/>
          <w:color w:val="000000" w:themeColor="text1"/>
          <w:sz w:val="28"/>
          <w:szCs w:val="28"/>
        </w:rPr>
        <w:t>本公司网站</w:t>
      </w:r>
      <w:r w:rsidR="001176C6">
        <w:rPr>
          <w:rFonts w:ascii="仿宋" w:eastAsia="仿宋" w:hAnsi="仿宋" w:hint="eastAsia"/>
          <w:color w:val="000000" w:themeColor="text1"/>
          <w:sz w:val="28"/>
          <w:szCs w:val="28"/>
        </w:rPr>
        <w:t>（</w:t>
      </w:r>
      <w:r w:rsidR="001176C6">
        <w:rPr>
          <w:rFonts w:ascii="仿宋" w:eastAsia="仿宋" w:hAnsi="仿宋"/>
          <w:color w:val="000000" w:themeColor="text1"/>
          <w:sz w:val="28"/>
          <w:szCs w:val="28"/>
          <w:u w:val="single"/>
        </w:rPr>
        <w:t>www.nffund.com</w:t>
      </w:r>
      <w:r w:rsidR="001176C6">
        <w:rPr>
          <w:rFonts w:ascii="仿宋" w:eastAsia="仿宋" w:hAnsi="仿宋" w:hint="eastAsia"/>
          <w:color w:val="000000" w:themeColor="text1"/>
          <w:sz w:val="28"/>
          <w:szCs w:val="28"/>
        </w:rPr>
        <w:t>）</w:t>
      </w:r>
      <w:r w:rsidR="001176C6">
        <w:rPr>
          <w:rFonts w:ascii="仿宋" w:eastAsia="仿宋" w:hAnsi="仿宋"/>
          <w:color w:val="000000" w:themeColor="text1"/>
          <w:sz w:val="28"/>
          <w:szCs w:val="28"/>
        </w:rPr>
        <w:t>和中国证监会</w:t>
      </w:r>
      <w:r w:rsidR="001176C6">
        <w:rPr>
          <w:rFonts w:ascii="仿宋" w:eastAsia="仿宋" w:hAnsi="仿宋" w:hint="eastAsia"/>
          <w:color w:val="000000" w:themeColor="text1"/>
          <w:sz w:val="28"/>
          <w:szCs w:val="28"/>
        </w:rPr>
        <w:t>基金</w:t>
      </w:r>
      <w:r w:rsidR="001176C6">
        <w:rPr>
          <w:rFonts w:ascii="仿宋" w:eastAsia="仿宋" w:hAnsi="仿宋"/>
          <w:color w:val="000000" w:themeColor="text1"/>
          <w:sz w:val="28"/>
          <w:szCs w:val="28"/>
        </w:rPr>
        <w:t>电子披露网站</w:t>
      </w:r>
      <w:r w:rsidR="001176C6">
        <w:rPr>
          <w:rFonts w:ascii="仿宋" w:eastAsia="仿宋" w:hAnsi="仿宋" w:hint="eastAsia"/>
          <w:color w:val="000000" w:themeColor="text1"/>
          <w:sz w:val="28"/>
          <w:szCs w:val="28"/>
        </w:rPr>
        <w:t>（</w:t>
      </w:r>
      <w:hyperlink r:id="rId7" w:history="1">
        <w:r w:rsidR="001176C6">
          <w:rPr>
            <w:rStyle w:val="a9"/>
            <w:rFonts w:ascii="仿宋" w:eastAsia="仿宋" w:hAnsi="仿宋" w:hint="eastAsia"/>
            <w:sz w:val="28"/>
            <w:szCs w:val="28"/>
          </w:rPr>
          <w:t>http://eid.csrc.gov.cn/fund</w:t>
        </w:r>
      </w:hyperlink>
      <w:r w:rsidR="001176C6">
        <w:rPr>
          <w:rFonts w:ascii="仿宋" w:eastAsia="仿宋" w:hAnsi="仿宋" w:hint="eastAsia"/>
          <w:color w:val="000000" w:themeColor="text1"/>
          <w:sz w:val="28"/>
          <w:szCs w:val="28"/>
        </w:rPr>
        <w:t>）</w:t>
      </w:r>
      <w:r w:rsidR="001176C6">
        <w:rPr>
          <w:rFonts w:ascii="仿宋" w:eastAsia="仿宋" w:hAnsi="仿宋"/>
          <w:color w:val="000000" w:themeColor="text1"/>
          <w:sz w:val="28"/>
          <w:szCs w:val="28"/>
        </w:rPr>
        <w:t>披露，供投资者查阅。</w:t>
      </w:r>
      <w:r w:rsidR="001176C6">
        <w:rPr>
          <w:rFonts w:ascii="仿宋" w:eastAsia="仿宋" w:hAnsi="仿宋" w:hint="eastAsia"/>
          <w:color w:val="000000" w:themeColor="text1"/>
          <w:sz w:val="28"/>
          <w:szCs w:val="28"/>
        </w:rPr>
        <w:t>如有疑问可拨打本公司客服电话（</w:t>
      </w:r>
      <w:r w:rsidR="001176C6">
        <w:rPr>
          <w:rFonts w:ascii="仿宋" w:eastAsia="仿宋" w:hAnsi="仿宋"/>
          <w:color w:val="000000" w:themeColor="text1"/>
          <w:sz w:val="28"/>
          <w:szCs w:val="28"/>
        </w:rPr>
        <w:t>400-889-8899</w:t>
      </w:r>
      <w:r w:rsidR="001176C6">
        <w:rPr>
          <w:rFonts w:ascii="仿宋" w:eastAsia="仿宋" w:hAnsi="仿宋" w:hint="eastAsia"/>
          <w:color w:val="000000" w:themeColor="text1"/>
          <w:sz w:val="28"/>
          <w:szCs w:val="28"/>
        </w:rPr>
        <w:t>）咨询</w:t>
      </w:r>
      <w:r w:rsidR="001176C6">
        <w:rPr>
          <w:rFonts w:ascii="仿宋" w:eastAsia="仿宋" w:hAnsi="仿宋"/>
          <w:color w:val="000000" w:themeColor="text1"/>
          <w:sz w:val="28"/>
          <w:szCs w:val="28"/>
        </w:rPr>
        <w:t>。</w:t>
      </w:r>
    </w:p>
    <w:p w:rsidR="00254FD6" w:rsidRDefault="001176C6">
      <w:pPr>
        <w:spacing w:line="5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本基金管理人承诺以诚实信用、勤勉尽责的原则管理和运用基金资产，但不保证基金一定盈利，也不保证最低收益。请充分了解基金的风险收益特征，审慎做出投资决定。</w:t>
      </w:r>
    </w:p>
    <w:p w:rsidR="00254FD6" w:rsidRDefault="001176C6">
      <w:pPr>
        <w:spacing w:line="5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特此公告。</w:t>
      </w:r>
    </w:p>
    <w:p w:rsidR="00254FD6" w:rsidRDefault="001176C6">
      <w:pPr>
        <w:spacing w:line="540" w:lineRule="exact"/>
        <w:ind w:firstLineChars="250" w:firstLine="70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sidR="00565378">
        <w:rPr>
          <w:rFonts w:ascii="仿宋" w:eastAsia="仿宋" w:hAnsi="仿宋"/>
          <w:color w:val="000000" w:themeColor="text1"/>
          <w:sz w:val="28"/>
          <w:szCs w:val="28"/>
        </w:rPr>
        <w:t xml:space="preserve">        </w:t>
      </w:r>
      <w:bookmarkStart w:id="0" w:name="_GoBack"/>
      <w:bookmarkEnd w:id="0"/>
      <w:r w:rsidR="00565378">
        <w:rPr>
          <w:rFonts w:ascii="仿宋" w:eastAsia="仿宋" w:hAnsi="仿宋"/>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南方基金</w:t>
      </w:r>
      <w:r>
        <w:rPr>
          <w:rFonts w:ascii="仿宋" w:eastAsia="仿宋" w:hAnsi="仿宋"/>
          <w:color w:val="000000" w:themeColor="text1"/>
          <w:sz w:val="28"/>
          <w:szCs w:val="28"/>
        </w:rPr>
        <w:t>管理股份有限公司</w:t>
      </w:r>
    </w:p>
    <w:p w:rsidR="00254FD6" w:rsidRDefault="001176C6">
      <w:pPr>
        <w:spacing w:line="540" w:lineRule="exact"/>
        <w:ind w:firstLineChars="250" w:firstLine="70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sidR="00565378">
        <w:rPr>
          <w:rFonts w:ascii="仿宋" w:eastAsia="仿宋" w:hAnsi="仿宋"/>
          <w:color w:val="000000" w:themeColor="text1"/>
          <w:sz w:val="28"/>
          <w:szCs w:val="28"/>
        </w:rPr>
        <w:t xml:space="preserve">        </w:t>
      </w:r>
      <w:r>
        <w:rPr>
          <w:rFonts w:ascii="仿宋" w:eastAsia="仿宋" w:hAnsi="仿宋"/>
          <w:color w:val="000000" w:themeColor="text1"/>
          <w:sz w:val="28"/>
          <w:szCs w:val="28"/>
        </w:rPr>
        <w:t xml:space="preserve">      </w:t>
      </w:r>
      <w:r w:rsidR="00B0625A">
        <w:rPr>
          <w:rFonts w:ascii="仿宋" w:eastAsia="仿宋" w:hAnsi="仿宋" w:hint="eastAsia"/>
          <w:color w:val="000000" w:themeColor="text1"/>
          <w:sz w:val="28"/>
          <w:szCs w:val="28"/>
        </w:rPr>
        <w:t xml:space="preserve">  202</w:t>
      </w:r>
      <w:r w:rsidR="00DD5B29">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年</w:t>
      </w:r>
      <w:r w:rsidR="0047229F">
        <w:rPr>
          <w:rFonts w:ascii="仿宋" w:eastAsia="仿宋" w:hAnsi="仿宋"/>
          <w:color w:val="000000" w:themeColor="text1"/>
          <w:sz w:val="28"/>
          <w:szCs w:val="28"/>
        </w:rPr>
        <w:t>10</w:t>
      </w:r>
      <w:r>
        <w:rPr>
          <w:rFonts w:ascii="仿宋" w:eastAsia="仿宋" w:hAnsi="仿宋" w:hint="eastAsia"/>
          <w:color w:val="000000" w:themeColor="text1"/>
          <w:sz w:val="28"/>
          <w:szCs w:val="28"/>
        </w:rPr>
        <w:t>月</w:t>
      </w:r>
      <w:r w:rsidR="0047229F">
        <w:rPr>
          <w:rFonts w:ascii="仿宋" w:eastAsia="仿宋" w:hAnsi="仿宋"/>
          <w:color w:val="000000" w:themeColor="text1"/>
          <w:sz w:val="28"/>
          <w:szCs w:val="28"/>
        </w:rPr>
        <w:t>25</w:t>
      </w:r>
      <w:r>
        <w:rPr>
          <w:rFonts w:ascii="仿宋" w:eastAsia="仿宋" w:hAnsi="仿宋" w:hint="eastAsia"/>
          <w:color w:val="000000" w:themeColor="text1"/>
          <w:sz w:val="28"/>
          <w:szCs w:val="28"/>
        </w:rPr>
        <w:t>日</w:t>
      </w:r>
    </w:p>
    <w:sectPr w:rsidR="00254FD6" w:rsidSect="000D1979">
      <w:footerReference w:type="default" r:id="rId8"/>
      <w:footerReference w:type="first" r:id="rId9"/>
      <w:pgSz w:w="11906" w:h="16838"/>
      <w:pgMar w:top="720" w:right="720" w:bottom="720" w:left="72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8F7" w:rsidRDefault="006248F7">
      <w:r>
        <w:separator/>
      </w:r>
    </w:p>
  </w:endnote>
  <w:endnote w:type="continuationSeparator" w:id="0">
    <w:p w:rsidR="006248F7" w:rsidRDefault="00624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6248F7" w:rsidRDefault="00460292">
        <w:pPr>
          <w:pStyle w:val="a5"/>
          <w:jc w:val="center"/>
        </w:pPr>
        <w:r>
          <w:fldChar w:fldCharType="begin"/>
        </w:r>
        <w:r w:rsidR="006248F7">
          <w:instrText>PAGE   \* MERGEFORMAT</w:instrText>
        </w:r>
        <w:r>
          <w:fldChar w:fldCharType="separate"/>
        </w:r>
        <w:r w:rsidR="00801977" w:rsidRPr="00801977">
          <w:rPr>
            <w:noProof/>
            <w:lang w:val="zh-CN"/>
          </w:rPr>
          <w:t>2</w:t>
        </w:r>
        <w:r>
          <w:fldChar w:fldCharType="end"/>
        </w:r>
      </w:p>
    </w:sdtContent>
  </w:sdt>
  <w:p w:rsidR="006248F7" w:rsidRDefault="006248F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6248F7" w:rsidRDefault="00460292">
        <w:pPr>
          <w:pStyle w:val="a5"/>
          <w:jc w:val="center"/>
        </w:pPr>
        <w:r>
          <w:fldChar w:fldCharType="begin"/>
        </w:r>
        <w:r w:rsidR="006248F7">
          <w:instrText>PAGE   \* MERGEFORMAT</w:instrText>
        </w:r>
        <w:r>
          <w:fldChar w:fldCharType="separate"/>
        </w:r>
        <w:r w:rsidR="00801977" w:rsidRPr="00801977">
          <w:rPr>
            <w:noProof/>
            <w:lang w:val="zh-CN"/>
          </w:rPr>
          <w:t>1</w:t>
        </w:r>
        <w:r>
          <w:fldChar w:fldCharType="end"/>
        </w:r>
      </w:p>
    </w:sdtContent>
  </w:sdt>
  <w:p w:rsidR="006248F7" w:rsidRDefault="006248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8F7" w:rsidRDefault="006248F7">
      <w:r>
        <w:separator/>
      </w:r>
    </w:p>
  </w:footnote>
  <w:footnote w:type="continuationSeparator" w:id="0">
    <w:p w:rsidR="006248F7" w:rsidRDefault="006248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formatting="1"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RlMzk1ZGVkOWQwZDBlYzc3YjFkNjAxNWRiZWJmYzUifQ=="/>
  </w:docVars>
  <w:rsids>
    <w:rsidRoot w:val="009A149B"/>
    <w:rsid w:val="00001760"/>
    <w:rsid w:val="00007257"/>
    <w:rsid w:val="00010044"/>
    <w:rsid w:val="00022ABD"/>
    <w:rsid w:val="00025D40"/>
    <w:rsid w:val="000300E5"/>
    <w:rsid w:val="0003246C"/>
    <w:rsid w:val="00033010"/>
    <w:rsid w:val="00033204"/>
    <w:rsid w:val="000475F0"/>
    <w:rsid w:val="000539F6"/>
    <w:rsid w:val="00056EE0"/>
    <w:rsid w:val="00057323"/>
    <w:rsid w:val="000731E3"/>
    <w:rsid w:val="0008010F"/>
    <w:rsid w:val="00081ADE"/>
    <w:rsid w:val="00084E7D"/>
    <w:rsid w:val="00087988"/>
    <w:rsid w:val="0009227A"/>
    <w:rsid w:val="00093E55"/>
    <w:rsid w:val="00093ED2"/>
    <w:rsid w:val="00094F20"/>
    <w:rsid w:val="000A0272"/>
    <w:rsid w:val="000A0ECE"/>
    <w:rsid w:val="000A588E"/>
    <w:rsid w:val="000B53A5"/>
    <w:rsid w:val="000B673F"/>
    <w:rsid w:val="000C06E1"/>
    <w:rsid w:val="000C1032"/>
    <w:rsid w:val="000C7383"/>
    <w:rsid w:val="000D18EF"/>
    <w:rsid w:val="000D1979"/>
    <w:rsid w:val="000E13E9"/>
    <w:rsid w:val="000E33D2"/>
    <w:rsid w:val="000E7D66"/>
    <w:rsid w:val="000F07E6"/>
    <w:rsid w:val="000F407E"/>
    <w:rsid w:val="000F6458"/>
    <w:rsid w:val="001039BC"/>
    <w:rsid w:val="0011696C"/>
    <w:rsid w:val="001176C6"/>
    <w:rsid w:val="001279BE"/>
    <w:rsid w:val="0013251E"/>
    <w:rsid w:val="00134BBF"/>
    <w:rsid w:val="001445A9"/>
    <w:rsid w:val="00146307"/>
    <w:rsid w:val="001533B2"/>
    <w:rsid w:val="001623CF"/>
    <w:rsid w:val="00164F70"/>
    <w:rsid w:val="00165D5C"/>
    <w:rsid w:val="00166B15"/>
    <w:rsid w:val="00167CFB"/>
    <w:rsid w:val="001724A8"/>
    <w:rsid w:val="00174C8C"/>
    <w:rsid w:val="0017571E"/>
    <w:rsid w:val="00175AED"/>
    <w:rsid w:val="00191702"/>
    <w:rsid w:val="00192262"/>
    <w:rsid w:val="001A593B"/>
    <w:rsid w:val="001D04AB"/>
    <w:rsid w:val="001D2521"/>
    <w:rsid w:val="001D74AE"/>
    <w:rsid w:val="001E4D38"/>
    <w:rsid w:val="001E7CAD"/>
    <w:rsid w:val="001F125D"/>
    <w:rsid w:val="001F15CB"/>
    <w:rsid w:val="001F533E"/>
    <w:rsid w:val="0021172E"/>
    <w:rsid w:val="00221DE2"/>
    <w:rsid w:val="00234298"/>
    <w:rsid w:val="002343BD"/>
    <w:rsid w:val="002471D4"/>
    <w:rsid w:val="00253326"/>
    <w:rsid w:val="0025441D"/>
    <w:rsid w:val="00254FD6"/>
    <w:rsid w:val="00261CDE"/>
    <w:rsid w:val="0026276F"/>
    <w:rsid w:val="00276CA4"/>
    <w:rsid w:val="002823E9"/>
    <w:rsid w:val="00282A7F"/>
    <w:rsid w:val="00283187"/>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0AC6"/>
    <w:rsid w:val="00303860"/>
    <w:rsid w:val="00311075"/>
    <w:rsid w:val="003117E6"/>
    <w:rsid w:val="0031471A"/>
    <w:rsid w:val="00332619"/>
    <w:rsid w:val="00333802"/>
    <w:rsid w:val="003467B5"/>
    <w:rsid w:val="00355B7C"/>
    <w:rsid w:val="00361065"/>
    <w:rsid w:val="0036248F"/>
    <w:rsid w:val="00382BCB"/>
    <w:rsid w:val="00391944"/>
    <w:rsid w:val="00393949"/>
    <w:rsid w:val="003948AF"/>
    <w:rsid w:val="00394BBC"/>
    <w:rsid w:val="003A4AC6"/>
    <w:rsid w:val="003C2820"/>
    <w:rsid w:val="003C3CB5"/>
    <w:rsid w:val="003C5A1A"/>
    <w:rsid w:val="003C7A10"/>
    <w:rsid w:val="003D0424"/>
    <w:rsid w:val="003D32D7"/>
    <w:rsid w:val="003E7F7A"/>
    <w:rsid w:val="003F1D55"/>
    <w:rsid w:val="003F4E13"/>
    <w:rsid w:val="003F6960"/>
    <w:rsid w:val="0040020D"/>
    <w:rsid w:val="00405ADB"/>
    <w:rsid w:val="004254EE"/>
    <w:rsid w:val="00430D19"/>
    <w:rsid w:val="00433480"/>
    <w:rsid w:val="0043655D"/>
    <w:rsid w:val="00437D86"/>
    <w:rsid w:val="00441246"/>
    <w:rsid w:val="00441E0B"/>
    <w:rsid w:val="004476AA"/>
    <w:rsid w:val="00452A46"/>
    <w:rsid w:val="00454581"/>
    <w:rsid w:val="00454978"/>
    <w:rsid w:val="00460292"/>
    <w:rsid w:val="00467E81"/>
    <w:rsid w:val="0047229F"/>
    <w:rsid w:val="004744B6"/>
    <w:rsid w:val="004748B9"/>
    <w:rsid w:val="00477BA8"/>
    <w:rsid w:val="00477EB2"/>
    <w:rsid w:val="0048111A"/>
    <w:rsid w:val="00487BF1"/>
    <w:rsid w:val="00491FCB"/>
    <w:rsid w:val="004975AD"/>
    <w:rsid w:val="00497943"/>
    <w:rsid w:val="00497A8B"/>
    <w:rsid w:val="004A0E45"/>
    <w:rsid w:val="004A54A6"/>
    <w:rsid w:val="004B1105"/>
    <w:rsid w:val="004C158E"/>
    <w:rsid w:val="004C3109"/>
    <w:rsid w:val="004C44C4"/>
    <w:rsid w:val="004C625A"/>
    <w:rsid w:val="004C6355"/>
    <w:rsid w:val="004D08C9"/>
    <w:rsid w:val="004E1D5E"/>
    <w:rsid w:val="004E630B"/>
    <w:rsid w:val="004F7313"/>
    <w:rsid w:val="00506317"/>
    <w:rsid w:val="005158A6"/>
    <w:rsid w:val="0052094C"/>
    <w:rsid w:val="00534A41"/>
    <w:rsid w:val="0053650E"/>
    <w:rsid w:val="00542535"/>
    <w:rsid w:val="00544E6E"/>
    <w:rsid w:val="00547910"/>
    <w:rsid w:val="00551033"/>
    <w:rsid w:val="00560AC4"/>
    <w:rsid w:val="00563FE4"/>
    <w:rsid w:val="00565378"/>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F4D9C"/>
    <w:rsid w:val="005F7E5C"/>
    <w:rsid w:val="00603182"/>
    <w:rsid w:val="00604996"/>
    <w:rsid w:val="00605B67"/>
    <w:rsid w:val="00606DBF"/>
    <w:rsid w:val="006078C2"/>
    <w:rsid w:val="006163B1"/>
    <w:rsid w:val="00616874"/>
    <w:rsid w:val="006248F7"/>
    <w:rsid w:val="0062589F"/>
    <w:rsid w:val="00626EA8"/>
    <w:rsid w:val="00635F5D"/>
    <w:rsid w:val="00641CEA"/>
    <w:rsid w:val="0065080E"/>
    <w:rsid w:val="00655229"/>
    <w:rsid w:val="00656B0C"/>
    <w:rsid w:val="0066309A"/>
    <w:rsid w:val="0066627D"/>
    <w:rsid w:val="006763A1"/>
    <w:rsid w:val="006832A2"/>
    <w:rsid w:val="00684A20"/>
    <w:rsid w:val="00690EC4"/>
    <w:rsid w:val="006962CB"/>
    <w:rsid w:val="006A0BB0"/>
    <w:rsid w:val="006A2606"/>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07C6"/>
    <w:rsid w:val="0074144B"/>
    <w:rsid w:val="00741A3E"/>
    <w:rsid w:val="007443C2"/>
    <w:rsid w:val="00756CAD"/>
    <w:rsid w:val="007629BB"/>
    <w:rsid w:val="00762A82"/>
    <w:rsid w:val="007633B5"/>
    <w:rsid w:val="007703B8"/>
    <w:rsid w:val="00771227"/>
    <w:rsid w:val="00772D42"/>
    <w:rsid w:val="00775751"/>
    <w:rsid w:val="00781015"/>
    <w:rsid w:val="00787132"/>
    <w:rsid w:val="007900FC"/>
    <w:rsid w:val="007926CF"/>
    <w:rsid w:val="00794869"/>
    <w:rsid w:val="00797876"/>
    <w:rsid w:val="007A5116"/>
    <w:rsid w:val="007A5263"/>
    <w:rsid w:val="007B19C6"/>
    <w:rsid w:val="007B3A14"/>
    <w:rsid w:val="007B4EC6"/>
    <w:rsid w:val="007B549A"/>
    <w:rsid w:val="007B5745"/>
    <w:rsid w:val="007B6893"/>
    <w:rsid w:val="007B781B"/>
    <w:rsid w:val="007C3F2C"/>
    <w:rsid w:val="007C51E4"/>
    <w:rsid w:val="007D4066"/>
    <w:rsid w:val="007E3EED"/>
    <w:rsid w:val="007F136D"/>
    <w:rsid w:val="007F60CB"/>
    <w:rsid w:val="00801977"/>
    <w:rsid w:val="00801AAB"/>
    <w:rsid w:val="0080773A"/>
    <w:rsid w:val="00812700"/>
    <w:rsid w:val="0081788D"/>
    <w:rsid w:val="00825398"/>
    <w:rsid w:val="008263AE"/>
    <w:rsid w:val="008317EE"/>
    <w:rsid w:val="008318C0"/>
    <w:rsid w:val="00831A29"/>
    <w:rsid w:val="00832B61"/>
    <w:rsid w:val="00834CAD"/>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2E2E"/>
    <w:rsid w:val="008E4CD7"/>
    <w:rsid w:val="008E58F7"/>
    <w:rsid w:val="008E6EC1"/>
    <w:rsid w:val="008F3DFA"/>
    <w:rsid w:val="0090326C"/>
    <w:rsid w:val="00903815"/>
    <w:rsid w:val="00903C0A"/>
    <w:rsid w:val="009062C4"/>
    <w:rsid w:val="0090723B"/>
    <w:rsid w:val="00910193"/>
    <w:rsid w:val="00913D58"/>
    <w:rsid w:val="0092312D"/>
    <w:rsid w:val="00933628"/>
    <w:rsid w:val="00941C3C"/>
    <w:rsid w:val="009465EA"/>
    <w:rsid w:val="009506DC"/>
    <w:rsid w:val="009566C4"/>
    <w:rsid w:val="00956DD9"/>
    <w:rsid w:val="009628AE"/>
    <w:rsid w:val="00967A04"/>
    <w:rsid w:val="00973509"/>
    <w:rsid w:val="00977BBE"/>
    <w:rsid w:val="00977E7B"/>
    <w:rsid w:val="0098095F"/>
    <w:rsid w:val="00986792"/>
    <w:rsid w:val="009871EF"/>
    <w:rsid w:val="00991292"/>
    <w:rsid w:val="00991AEE"/>
    <w:rsid w:val="0099252E"/>
    <w:rsid w:val="00992A28"/>
    <w:rsid w:val="00993CBF"/>
    <w:rsid w:val="00997D63"/>
    <w:rsid w:val="009A149B"/>
    <w:rsid w:val="009B33C8"/>
    <w:rsid w:val="009B5D57"/>
    <w:rsid w:val="009C15E2"/>
    <w:rsid w:val="009C33BF"/>
    <w:rsid w:val="009C3820"/>
    <w:rsid w:val="009E35EB"/>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29F8"/>
    <w:rsid w:val="00A87DCB"/>
    <w:rsid w:val="00AB49A1"/>
    <w:rsid w:val="00AC1161"/>
    <w:rsid w:val="00AC260A"/>
    <w:rsid w:val="00AD18DD"/>
    <w:rsid w:val="00AD562B"/>
    <w:rsid w:val="00AD7A8E"/>
    <w:rsid w:val="00AE3F47"/>
    <w:rsid w:val="00AE3F77"/>
    <w:rsid w:val="00AE69BF"/>
    <w:rsid w:val="00AF0E8B"/>
    <w:rsid w:val="00AF7347"/>
    <w:rsid w:val="00B014DF"/>
    <w:rsid w:val="00B0625A"/>
    <w:rsid w:val="00B11B77"/>
    <w:rsid w:val="00B12AB0"/>
    <w:rsid w:val="00B16987"/>
    <w:rsid w:val="00B16EB0"/>
    <w:rsid w:val="00B17EF5"/>
    <w:rsid w:val="00B2068A"/>
    <w:rsid w:val="00B23F95"/>
    <w:rsid w:val="00B25BAB"/>
    <w:rsid w:val="00B26285"/>
    <w:rsid w:val="00B33F4A"/>
    <w:rsid w:val="00B41297"/>
    <w:rsid w:val="00B504F2"/>
    <w:rsid w:val="00B50694"/>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0259"/>
    <w:rsid w:val="00BB3501"/>
    <w:rsid w:val="00BB3A06"/>
    <w:rsid w:val="00BB7A7F"/>
    <w:rsid w:val="00BC3F72"/>
    <w:rsid w:val="00BC5B84"/>
    <w:rsid w:val="00BC64B2"/>
    <w:rsid w:val="00BC662F"/>
    <w:rsid w:val="00BC6FFD"/>
    <w:rsid w:val="00BC778B"/>
    <w:rsid w:val="00BC7AFE"/>
    <w:rsid w:val="00BD1958"/>
    <w:rsid w:val="00BD3CFA"/>
    <w:rsid w:val="00BD5D07"/>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36435"/>
    <w:rsid w:val="00C44634"/>
    <w:rsid w:val="00C45644"/>
    <w:rsid w:val="00C51B56"/>
    <w:rsid w:val="00C5361C"/>
    <w:rsid w:val="00C53B3E"/>
    <w:rsid w:val="00C61988"/>
    <w:rsid w:val="00C64316"/>
    <w:rsid w:val="00C67F89"/>
    <w:rsid w:val="00C71F74"/>
    <w:rsid w:val="00C73CFC"/>
    <w:rsid w:val="00C7490E"/>
    <w:rsid w:val="00C75104"/>
    <w:rsid w:val="00C81CAD"/>
    <w:rsid w:val="00C82913"/>
    <w:rsid w:val="00C84743"/>
    <w:rsid w:val="00C86E10"/>
    <w:rsid w:val="00C9160A"/>
    <w:rsid w:val="00C91F16"/>
    <w:rsid w:val="00C972C4"/>
    <w:rsid w:val="00CA1FEF"/>
    <w:rsid w:val="00CA25FC"/>
    <w:rsid w:val="00CA6A56"/>
    <w:rsid w:val="00CB2CEE"/>
    <w:rsid w:val="00CB4DE3"/>
    <w:rsid w:val="00CC0242"/>
    <w:rsid w:val="00CC2F35"/>
    <w:rsid w:val="00CC40C3"/>
    <w:rsid w:val="00CD42C4"/>
    <w:rsid w:val="00CE43F8"/>
    <w:rsid w:val="00CE7C8B"/>
    <w:rsid w:val="00CF01CC"/>
    <w:rsid w:val="00CF6D5C"/>
    <w:rsid w:val="00D10B1F"/>
    <w:rsid w:val="00D11E1F"/>
    <w:rsid w:val="00D15C95"/>
    <w:rsid w:val="00D1749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5B29"/>
    <w:rsid w:val="00DD7BAA"/>
    <w:rsid w:val="00DE0FFA"/>
    <w:rsid w:val="00DE6A70"/>
    <w:rsid w:val="00DF3DF3"/>
    <w:rsid w:val="00DF5AA8"/>
    <w:rsid w:val="00E11585"/>
    <w:rsid w:val="00E11D7D"/>
    <w:rsid w:val="00E1254C"/>
    <w:rsid w:val="00E16895"/>
    <w:rsid w:val="00E32614"/>
    <w:rsid w:val="00E33250"/>
    <w:rsid w:val="00E3526B"/>
    <w:rsid w:val="00E5059C"/>
    <w:rsid w:val="00E54C06"/>
    <w:rsid w:val="00E5664A"/>
    <w:rsid w:val="00E7407A"/>
    <w:rsid w:val="00E81A0A"/>
    <w:rsid w:val="00E964F7"/>
    <w:rsid w:val="00E967FD"/>
    <w:rsid w:val="00EA6F84"/>
    <w:rsid w:val="00EB7931"/>
    <w:rsid w:val="00ED548C"/>
    <w:rsid w:val="00ED7F3F"/>
    <w:rsid w:val="00EF043C"/>
    <w:rsid w:val="00EF0594"/>
    <w:rsid w:val="00EF49B3"/>
    <w:rsid w:val="00EF56E1"/>
    <w:rsid w:val="00EF73FD"/>
    <w:rsid w:val="00F00561"/>
    <w:rsid w:val="00F01150"/>
    <w:rsid w:val="00F01331"/>
    <w:rsid w:val="00F01E3D"/>
    <w:rsid w:val="00F04DC2"/>
    <w:rsid w:val="00F066D9"/>
    <w:rsid w:val="00F25F52"/>
    <w:rsid w:val="00F26E5A"/>
    <w:rsid w:val="00F31225"/>
    <w:rsid w:val="00F41CFF"/>
    <w:rsid w:val="00F469D5"/>
    <w:rsid w:val="00F47FEE"/>
    <w:rsid w:val="00F527B3"/>
    <w:rsid w:val="00F576E3"/>
    <w:rsid w:val="00F632AF"/>
    <w:rsid w:val="00F6382D"/>
    <w:rsid w:val="00F63F55"/>
    <w:rsid w:val="00F66378"/>
    <w:rsid w:val="00F71C51"/>
    <w:rsid w:val="00F77F4B"/>
    <w:rsid w:val="00F9100C"/>
    <w:rsid w:val="00FA0934"/>
    <w:rsid w:val="00FA653D"/>
    <w:rsid w:val="00FA6B42"/>
    <w:rsid w:val="00FB23EE"/>
    <w:rsid w:val="00FC34DF"/>
    <w:rsid w:val="00FD658E"/>
    <w:rsid w:val="00FE0C5A"/>
    <w:rsid w:val="00FE13A2"/>
    <w:rsid w:val="08133574"/>
    <w:rsid w:val="336D041F"/>
    <w:rsid w:val="53082135"/>
    <w:rsid w:val="71DA5F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29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460292"/>
    <w:pPr>
      <w:jc w:val="left"/>
    </w:pPr>
  </w:style>
  <w:style w:type="paragraph" w:styleId="a4">
    <w:name w:val="Balloon Text"/>
    <w:basedOn w:val="a"/>
    <w:link w:val="Char0"/>
    <w:uiPriority w:val="99"/>
    <w:semiHidden/>
    <w:unhideWhenUsed/>
    <w:qFormat/>
    <w:rsid w:val="00460292"/>
    <w:rPr>
      <w:sz w:val="18"/>
      <w:szCs w:val="18"/>
    </w:rPr>
  </w:style>
  <w:style w:type="paragraph" w:styleId="a5">
    <w:name w:val="footer"/>
    <w:basedOn w:val="a"/>
    <w:link w:val="Char1"/>
    <w:uiPriority w:val="99"/>
    <w:unhideWhenUsed/>
    <w:qFormat/>
    <w:rsid w:val="0046029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60292"/>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460292"/>
    <w:pPr>
      <w:snapToGrid w:val="0"/>
      <w:jc w:val="left"/>
    </w:pPr>
    <w:rPr>
      <w:sz w:val="18"/>
      <w:szCs w:val="18"/>
    </w:rPr>
  </w:style>
  <w:style w:type="paragraph" w:styleId="a8">
    <w:name w:val="annotation subject"/>
    <w:basedOn w:val="a3"/>
    <w:next w:val="a3"/>
    <w:link w:val="Char4"/>
    <w:uiPriority w:val="99"/>
    <w:semiHidden/>
    <w:unhideWhenUsed/>
    <w:qFormat/>
    <w:rsid w:val="00460292"/>
    <w:rPr>
      <w:b/>
      <w:bCs/>
    </w:rPr>
  </w:style>
  <w:style w:type="character" w:styleId="a9">
    <w:name w:val="Hyperlink"/>
    <w:basedOn w:val="a0"/>
    <w:uiPriority w:val="99"/>
    <w:unhideWhenUsed/>
    <w:qFormat/>
    <w:rsid w:val="00460292"/>
    <w:rPr>
      <w:color w:val="0000FF" w:themeColor="hyperlink"/>
      <w:u w:val="single"/>
    </w:rPr>
  </w:style>
  <w:style w:type="character" w:styleId="aa">
    <w:name w:val="annotation reference"/>
    <w:basedOn w:val="a0"/>
    <w:uiPriority w:val="99"/>
    <w:semiHidden/>
    <w:unhideWhenUsed/>
    <w:qFormat/>
    <w:rsid w:val="00460292"/>
    <w:rPr>
      <w:sz w:val="21"/>
      <w:szCs w:val="21"/>
    </w:rPr>
  </w:style>
  <w:style w:type="character" w:styleId="ab">
    <w:name w:val="footnote reference"/>
    <w:basedOn w:val="a0"/>
    <w:uiPriority w:val="99"/>
    <w:semiHidden/>
    <w:unhideWhenUsed/>
    <w:qFormat/>
    <w:rsid w:val="00460292"/>
    <w:rPr>
      <w:vertAlign w:val="superscript"/>
    </w:rPr>
  </w:style>
  <w:style w:type="character" w:customStyle="1" w:styleId="Char2">
    <w:name w:val="页眉 Char"/>
    <w:basedOn w:val="a0"/>
    <w:link w:val="a6"/>
    <w:uiPriority w:val="99"/>
    <w:qFormat/>
    <w:rsid w:val="00460292"/>
    <w:rPr>
      <w:sz w:val="18"/>
      <w:szCs w:val="18"/>
    </w:rPr>
  </w:style>
  <w:style w:type="character" w:customStyle="1" w:styleId="Char1">
    <w:name w:val="页脚 Char"/>
    <w:basedOn w:val="a0"/>
    <w:link w:val="a5"/>
    <w:uiPriority w:val="99"/>
    <w:qFormat/>
    <w:rsid w:val="00460292"/>
    <w:rPr>
      <w:sz w:val="18"/>
      <w:szCs w:val="18"/>
    </w:rPr>
  </w:style>
  <w:style w:type="paragraph" w:styleId="ac">
    <w:name w:val="List Paragraph"/>
    <w:basedOn w:val="a"/>
    <w:uiPriority w:val="34"/>
    <w:qFormat/>
    <w:rsid w:val="00460292"/>
    <w:pPr>
      <w:ind w:firstLineChars="200" w:firstLine="420"/>
    </w:pPr>
  </w:style>
  <w:style w:type="character" w:customStyle="1" w:styleId="Char0">
    <w:name w:val="批注框文本 Char"/>
    <w:basedOn w:val="a0"/>
    <w:link w:val="a4"/>
    <w:uiPriority w:val="99"/>
    <w:semiHidden/>
    <w:qFormat/>
    <w:rsid w:val="00460292"/>
    <w:rPr>
      <w:sz w:val="18"/>
      <w:szCs w:val="18"/>
    </w:rPr>
  </w:style>
  <w:style w:type="character" w:customStyle="1" w:styleId="Char">
    <w:name w:val="批注文字 Char"/>
    <w:basedOn w:val="a0"/>
    <w:link w:val="a3"/>
    <w:uiPriority w:val="99"/>
    <w:semiHidden/>
    <w:qFormat/>
    <w:rsid w:val="00460292"/>
  </w:style>
  <w:style w:type="character" w:customStyle="1" w:styleId="Char4">
    <w:name w:val="批注主题 Char"/>
    <w:basedOn w:val="Char"/>
    <w:link w:val="a8"/>
    <w:uiPriority w:val="99"/>
    <w:semiHidden/>
    <w:qFormat/>
    <w:rsid w:val="00460292"/>
    <w:rPr>
      <w:b/>
      <w:bCs/>
    </w:rPr>
  </w:style>
  <w:style w:type="character" w:customStyle="1" w:styleId="Char3">
    <w:name w:val="脚注文本 Char"/>
    <w:basedOn w:val="a0"/>
    <w:link w:val="a7"/>
    <w:uiPriority w:val="99"/>
    <w:semiHidden/>
    <w:qFormat/>
    <w:rsid w:val="00460292"/>
    <w:rPr>
      <w:sz w:val="18"/>
      <w:szCs w:val="18"/>
    </w:rPr>
  </w:style>
</w:styles>
</file>

<file path=word/webSettings.xml><?xml version="1.0" encoding="utf-8"?>
<w:webSettings xmlns:r="http://schemas.openxmlformats.org/officeDocument/2006/relationships" xmlns:w="http://schemas.openxmlformats.org/wordprocessingml/2006/main">
  <w:divs>
    <w:div w:id="107746392">
      <w:bodyDiv w:val="1"/>
      <w:marLeft w:val="0"/>
      <w:marRight w:val="0"/>
      <w:marTop w:val="0"/>
      <w:marBottom w:val="0"/>
      <w:divBdr>
        <w:top w:val="none" w:sz="0" w:space="0" w:color="auto"/>
        <w:left w:val="none" w:sz="0" w:space="0" w:color="auto"/>
        <w:bottom w:val="none" w:sz="0" w:space="0" w:color="auto"/>
        <w:right w:val="none" w:sz="0" w:space="0" w:color="auto"/>
      </w:divBdr>
    </w:div>
    <w:div w:id="272059682">
      <w:bodyDiv w:val="1"/>
      <w:marLeft w:val="0"/>
      <w:marRight w:val="0"/>
      <w:marTop w:val="0"/>
      <w:marBottom w:val="0"/>
      <w:divBdr>
        <w:top w:val="none" w:sz="0" w:space="0" w:color="auto"/>
        <w:left w:val="none" w:sz="0" w:space="0" w:color="auto"/>
        <w:bottom w:val="none" w:sz="0" w:space="0" w:color="auto"/>
        <w:right w:val="none" w:sz="0" w:space="0" w:color="auto"/>
      </w:divBdr>
    </w:div>
    <w:div w:id="346906454">
      <w:bodyDiv w:val="1"/>
      <w:marLeft w:val="0"/>
      <w:marRight w:val="0"/>
      <w:marTop w:val="0"/>
      <w:marBottom w:val="0"/>
      <w:divBdr>
        <w:top w:val="none" w:sz="0" w:space="0" w:color="auto"/>
        <w:left w:val="none" w:sz="0" w:space="0" w:color="auto"/>
        <w:bottom w:val="none" w:sz="0" w:space="0" w:color="auto"/>
        <w:right w:val="none" w:sz="0" w:space="0" w:color="auto"/>
      </w:divBdr>
    </w:div>
    <w:div w:id="577400113">
      <w:bodyDiv w:val="1"/>
      <w:marLeft w:val="0"/>
      <w:marRight w:val="0"/>
      <w:marTop w:val="0"/>
      <w:marBottom w:val="0"/>
      <w:divBdr>
        <w:top w:val="none" w:sz="0" w:space="0" w:color="auto"/>
        <w:left w:val="none" w:sz="0" w:space="0" w:color="auto"/>
        <w:bottom w:val="none" w:sz="0" w:space="0" w:color="auto"/>
        <w:right w:val="none" w:sz="0" w:space="0" w:color="auto"/>
      </w:divBdr>
    </w:div>
    <w:div w:id="578172587">
      <w:bodyDiv w:val="1"/>
      <w:marLeft w:val="0"/>
      <w:marRight w:val="0"/>
      <w:marTop w:val="0"/>
      <w:marBottom w:val="0"/>
      <w:divBdr>
        <w:top w:val="none" w:sz="0" w:space="0" w:color="auto"/>
        <w:left w:val="none" w:sz="0" w:space="0" w:color="auto"/>
        <w:bottom w:val="none" w:sz="0" w:space="0" w:color="auto"/>
        <w:right w:val="none" w:sz="0" w:space="0" w:color="auto"/>
      </w:divBdr>
    </w:div>
    <w:div w:id="717440610">
      <w:bodyDiv w:val="1"/>
      <w:marLeft w:val="0"/>
      <w:marRight w:val="0"/>
      <w:marTop w:val="0"/>
      <w:marBottom w:val="0"/>
      <w:divBdr>
        <w:top w:val="none" w:sz="0" w:space="0" w:color="auto"/>
        <w:left w:val="none" w:sz="0" w:space="0" w:color="auto"/>
        <w:bottom w:val="none" w:sz="0" w:space="0" w:color="auto"/>
        <w:right w:val="none" w:sz="0" w:space="0" w:color="auto"/>
      </w:divBdr>
    </w:div>
    <w:div w:id="1062098814">
      <w:bodyDiv w:val="1"/>
      <w:marLeft w:val="0"/>
      <w:marRight w:val="0"/>
      <w:marTop w:val="0"/>
      <w:marBottom w:val="0"/>
      <w:divBdr>
        <w:top w:val="none" w:sz="0" w:space="0" w:color="auto"/>
        <w:left w:val="none" w:sz="0" w:space="0" w:color="auto"/>
        <w:bottom w:val="none" w:sz="0" w:space="0" w:color="auto"/>
        <w:right w:val="none" w:sz="0" w:space="0" w:color="auto"/>
      </w:divBdr>
    </w:div>
    <w:div w:id="1197964493">
      <w:bodyDiv w:val="1"/>
      <w:marLeft w:val="0"/>
      <w:marRight w:val="0"/>
      <w:marTop w:val="0"/>
      <w:marBottom w:val="0"/>
      <w:divBdr>
        <w:top w:val="none" w:sz="0" w:space="0" w:color="auto"/>
        <w:left w:val="none" w:sz="0" w:space="0" w:color="auto"/>
        <w:bottom w:val="none" w:sz="0" w:space="0" w:color="auto"/>
        <w:right w:val="none" w:sz="0" w:space="0" w:color="auto"/>
      </w:divBdr>
    </w:div>
    <w:div w:id="1704208641">
      <w:bodyDiv w:val="1"/>
      <w:marLeft w:val="0"/>
      <w:marRight w:val="0"/>
      <w:marTop w:val="0"/>
      <w:marBottom w:val="0"/>
      <w:divBdr>
        <w:top w:val="none" w:sz="0" w:space="0" w:color="auto"/>
        <w:left w:val="none" w:sz="0" w:space="0" w:color="auto"/>
        <w:bottom w:val="none" w:sz="0" w:space="0" w:color="auto"/>
        <w:right w:val="none" w:sz="0" w:space="0" w:color="auto"/>
      </w:divBdr>
    </w:div>
    <w:div w:id="1732189532">
      <w:bodyDiv w:val="1"/>
      <w:marLeft w:val="0"/>
      <w:marRight w:val="0"/>
      <w:marTop w:val="0"/>
      <w:marBottom w:val="0"/>
      <w:divBdr>
        <w:top w:val="none" w:sz="0" w:space="0" w:color="auto"/>
        <w:left w:val="none" w:sz="0" w:space="0" w:color="auto"/>
        <w:bottom w:val="none" w:sz="0" w:space="0" w:color="auto"/>
        <w:right w:val="none" w:sz="0" w:space="0" w:color="auto"/>
      </w:divBdr>
    </w:div>
    <w:div w:id="1876696356">
      <w:bodyDiv w:val="1"/>
      <w:marLeft w:val="0"/>
      <w:marRight w:val="0"/>
      <w:marTop w:val="0"/>
      <w:marBottom w:val="0"/>
      <w:divBdr>
        <w:top w:val="none" w:sz="0" w:space="0" w:color="auto"/>
        <w:left w:val="none" w:sz="0" w:space="0" w:color="auto"/>
        <w:bottom w:val="none" w:sz="0" w:space="0" w:color="auto"/>
        <w:right w:val="none" w:sz="0" w:space="0" w:color="auto"/>
      </w:divBdr>
    </w:div>
    <w:div w:id="1888641194">
      <w:bodyDiv w:val="1"/>
      <w:marLeft w:val="0"/>
      <w:marRight w:val="0"/>
      <w:marTop w:val="0"/>
      <w:marBottom w:val="0"/>
      <w:divBdr>
        <w:top w:val="none" w:sz="0" w:space="0" w:color="auto"/>
        <w:left w:val="none" w:sz="0" w:space="0" w:color="auto"/>
        <w:bottom w:val="none" w:sz="0" w:space="0" w:color="auto"/>
        <w:right w:val="none" w:sz="0" w:space="0" w:color="auto"/>
      </w:divBdr>
    </w:div>
    <w:div w:id="1918779409">
      <w:bodyDiv w:val="1"/>
      <w:marLeft w:val="0"/>
      <w:marRight w:val="0"/>
      <w:marTop w:val="0"/>
      <w:marBottom w:val="0"/>
      <w:divBdr>
        <w:top w:val="none" w:sz="0" w:space="0" w:color="auto"/>
        <w:left w:val="none" w:sz="0" w:space="0" w:color="auto"/>
        <w:bottom w:val="none" w:sz="0" w:space="0" w:color="auto"/>
        <w:right w:val="none" w:sz="0" w:space="0" w:color="auto"/>
      </w:divBdr>
    </w:div>
    <w:div w:id="1929194755">
      <w:bodyDiv w:val="1"/>
      <w:marLeft w:val="0"/>
      <w:marRight w:val="0"/>
      <w:marTop w:val="0"/>
      <w:marBottom w:val="0"/>
      <w:divBdr>
        <w:top w:val="none" w:sz="0" w:space="0" w:color="auto"/>
        <w:left w:val="none" w:sz="0" w:space="0" w:color="auto"/>
        <w:bottom w:val="none" w:sz="0" w:space="0" w:color="auto"/>
        <w:right w:val="none" w:sz="0" w:space="0" w:color="auto"/>
      </w:divBdr>
    </w:div>
    <w:div w:id="2003119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id.csrc.gov.cn/fu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C3343-D1CF-43A0-A73F-B9D4820D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1312</Words>
  <Characters>7484</Characters>
  <Application>Microsoft Office Word</Application>
  <DocSecurity>4</DocSecurity>
  <Lines>62</Lines>
  <Paragraphs>17</Paragraphs>
  <ScaleCrop>false</ScaleCrop>
  <Company> </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2019-08-07T06:37:00Z</cp:lastPrinted>
  <dcterms:created xsi:type="dcterms:W3CDTF">2024-10-24T16:06:00Z</dcterms:created>
  <dcterms:modified xsi:type="dcterms:W3CDTF">2024-10-24T16:06:00Z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624C248849F84BC6818D211F46304750</vt:lpwstr>
  </property>
</Properties>
</file>