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38" w:rsidRDefault="005E78A5">
      <w:pPr>
        <w:widowControl/>
        <w:spacing w:line="276" w:lineRule="auto"/>
        <w:jc w:val="center"/>
        <w:rPr>
          <w:rFonts w:asciiTheme="minorEastAsia" w:hAnsiTheme="minorEastAsia" w:cs="宋体"/>
          <w:b/>
          <w:bCs/>
          <w:color w:val="1E1E1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中加基金管理有限公司旗下基金</w:t>
      </w:r>
      <w:bookmarkStart w:id="0" w:name="_Hlk22730631"/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2</w:t>
      </w:r>
      <w:r>
        <w:rPr>
          <w:rFonts w:asciiTheme="minorEastAsia" w:hAnsiTheme="minorEastAsia" w:cs="宋体"/>
          <w:b/>
          <w:bCs/>
          <w:color w:val="1E1E1E"/>
          <w:kern w:val="0"/>
          <w:sz w:val="28"/>
          <w:szCs w:val="28"/>
        </w:rPr>
        <w:t>0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年</w:t>
      </w:r>
      <w:bookmarkEnd w:id="0"/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三季度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报告提示性公告</w:t>
      </w:r>
    </w:p>
    <w:p w:rsidR="00D53338" w:rsidRDefault="005E78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本公司董事会及董事保证基金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季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度报告所载资料不存在虚假记载、误导性陈述或重大遗漏，并对其内容的真实性、准确性和完整性承担个别及连带责任。</w:t>
      </w:r>
    </w:p>
    <w:p w:rsidR="00D53338" w:rsidRDefault="005E78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中加基金管理有限公司旗下：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中加货币市场基金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中加纯债一年定期开放债券型证券投资基金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中加改革红利灵活配置混合型证券投资基金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中加心享灵活配置混合型证券投资基金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中加丰润纯债债券型证券投资基金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中加丰尚纯债债券型证券投资基金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中加丰泽纯债债券型证券投资基金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中加丰盈一年定期开放债券型发起式证券投资基金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中加纯债两年定期开放债券型证券投资基金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中加丰享纯债债券型证券投资基金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中加丰裕纯债债券型证券投资基金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中加纯债定期开放债券型发起式证券投资基金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中加颐享纯债债券型证券投资基金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中加聚鑫纯债一年定期开放债券型证券投资基金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中加颐慧三个月定期开放债券型发起式证券投资基金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中加心悦灵活配置混合型证券投资基金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中加紫金灵活配置混合型证券投资基金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中加颐兴定期开放债券型发起式证券投资基金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中加颐信纯债债券型证券投资基金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中加颐睿纯债债券型证券投资基金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中加转型动力灵活配置混合型证券投资基金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中加颐合纯债债券型证券投资基金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中加颐鑫纯债债券型证券投资基金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lastRenderedPageBreak/>
        <w:t>中加聚利纯债定期开放债券型证券投资基金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中加颐智纯债债券型证券投资基金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中加瑞利纯债债券型证券投资基金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中加瑞鑫纯债债券型证券投资基金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中加裕盈纯债债券型证券投资基金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中加聚盈四个月定期开放债券型证券投资基金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中加恒泰三个月定期开放债券型证券投资基金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中加颐瑾六个月定期开放债券型发起式证券投资基金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中加民丰纯债债券型证券投资基金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中加享利三年定期开放债券型证券投资基金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中加优享纯债债券型证券投资基金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中加优选中高等级债券型证券投资基金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中加享润两年定期开放债券型证券投资基金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中加瑞享纯债债券型证券投资基金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中加安瑞稳健养老目标一年持有期混合型基金中基金（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FOF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）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中加核心智造混合型证券投资基金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1-3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年政策性金融债指数证券投资基金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中加科丰价值精选混合型证券投资基金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中加聚庆六个月定期开放混合型证券投资基金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中加中证</w:t>
      </w:r>
      <w:r>
        <w:rPr>
          <w:rFonts w:asciiTheme="minorEastAsia" w:hAnsiTheme="minorEastAsia" w:cs="宋体"/>
          <w:color w:val="1E1E1E"/>
          <w:kern w:val="0"/>
          <w:sz w:val="22"/>
        </w:rPr>
        <w:t>500</w:t>
      </w:r>
      <w:r>
        <w:rPr>
          <w:rFonts w:asciiTheme="minorEastAsia" w:hAnsiTheme="minorEastAsia" w:cs="宋体"/>
          <w:color w:val="1E1E1E"/>
          <w:kern w:val="0"/>
          <w:sz w:val="22"/>
        </w:rPr>
        <w:t>指数增强型证券投资基金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中加优势企业混合型证券投资基金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中加新兴成长混合型证券投资基金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中加博裕纯债债券型证券投资基金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中加瑞合纯债债券型证券投资基金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中加新兴消费混合型证券投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中加聚隆六个月持有期混合型证券投资基金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中加穗盈纯债债券型证券投资基金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中加科鑫混合型证券投资基金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-1-5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年国开行债券指数证券投资基金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中加消费优选混合型证券投资基金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lastRenderedPageBreak/>
        <w:t>中加喜利回报一年持有期混合型证券投资基金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中加优悦一年定期开放债券型证券投资基金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中加邮益一年持有期混合型证券投资基金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中加龙头精选混合型证券投资基金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中加低碳经济六个月持有期混合型证券投资基金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中加量化研选混合型证券投资基金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中加恒享三个月定期开放债券型证券投资基金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中加瑞鸿一年定期开放债券型发起式证券投资基金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中加聚享增盈债券型证券投资基金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中加聚安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60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天滚动持有中短债债券型发起式证券投资基金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中加安盈一年定期开放债券型发起式证券投资基金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中加中证同业存单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AAA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指数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7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天持有期证券投资基金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中加博盈一年定期开放债券型发起式证券投资基金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-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新综合债券指数发起式证券投资基金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中加医疗创新混合型发起式证券投资基金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中加安瑞积极养老目标五年持有期混合型发起式基金中基金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中加睿盈纯债债券型证券投资基金</w:t>
      </w:r>
    </w:p>
    <w:p w:rsidR="00D53338" w:rsidRDefault="005E78A5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中加科技创新混合型发起式证券投资基金</w:t>
      </w:r>
    </w:p>
    <w:p w:rsidR="00D53338" w:rsidRDefault="005E78A5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ind w:firstLineChars="200" w:firstLine="44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上述基金的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</w:t>
      </w:r>
      <w:r>
        <w:rPr>
          <w:rStyle w:val="fontstyle01"/>
          <w:rFonts w:asciiTheme="minorEastAsia" w:hAnsiTheme="minorEastAsia"/>
          <w:sz w:val="22"/>
          <w:szCs w:val="22"/>
        </w:rPr>
        <w:t>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>
        <w:rPr>
          <w:rStyle w:val="fontstyle01"/>
          <w:rFonts w:asciiTheme="minorEastAsia" w:hAnsiTheme="minorEastAsia"/>
          <w:sz w:val="22"/>
          <w:szCs w:val="22"/>
        </w:rPr>
        <w:t>三季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度报告全文于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</w:t>
      </w:r>
      <w:r>
        <w:rPr>
          <w:rStyle w:val="fontstyle01"/>
          <w:rFonts w:asciiTheme="minorEastAsia" w:hAnsiTheme="minorEastAsia"/>
          <w:sz w:val="22"/>
          <w:szCs w:val="22"/>
        </w:rPr>
        <w:t>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>
        <w:rPr>
          <w:rStyle w:val="fontstyle01"/>
          <w:rFonts w:asciiTheme="minorEastAsia" w:hAnsiTheme="minorEastAsia"/>
          <w:sz w:val="22"/>
          <w:szCs w:val="22"/>
        </w:rPr>
        <w:t>10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月</w:t>
      </w:r>
      <w:r>
        <w:rPr>
          <w:rStyle w:val="fontstyle01"/>
          <w:rFonts w:asciiTheme="minorEastAsia" w:hAnsiTheme="minorEastAsia"/>
          <w:sz w:val="22"/>
          <w:szCs w:val="22"/>
        </w:rPr>
        <w:t>24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日在本公司网站（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http://www.bobbns.com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）和中国证监会基金电子披露网站（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http://eid.csrc.gov.cn/fund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）披露，供投资者查阅。如有疑问可拨打客户服务电话（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400-00-95526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）咨询。</w:t>
      </w:r>
    </w:p>
    <w:p w:rsidR="00D53338" w:rsidRDefault="005E78A5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风险提示：本基金管理人承诺以诚实信用、勤勉尽责的原则管理和运用基金资产，但不保证基金一定盈利，也不保证最低收益。基金的过往业绩并不预示其未来表现。</w:t>
      </w:r>
      <w:r>
        <w:rPr>
          <w:rFonts w:asciiTheme="minorEastAsia" w:hAnsiTheme="minorEastAsia" w:hint="eastAsia"/>
          <w:sz w:val="22"/>
        </w:rPr>
        <w:t>投资有风险，请投资人在作出投资决策前应仔细阅读基金的招募说明书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。</w:t>
      </w:r>
      <w:bookmarkStart w:id="1" w:name="_GoBack"/>
      <w:bookmarkEnd w:id="1"/>
    </w:p>
    <w:p w:rsidR="00D53338" w:rsidRDefault="00D53338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</w:p>
    <w:p w:rsidR="00D53338" w:rsidRDefault="005E78A5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特此公告。</w:t>
      </w:r>
    </w:p>
    <w:p w:rsidR="00D53338" w:rsidRDefault="005E78A5">
      <w:pPr>
        <w:spacing w:line="276" w:lineRule="auto"/>
        <w:jc w:val="right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中加基金管理有限公司</w:t>
      </w:r>
    </w:p>
    <w:p w:rsidR="00D53338" w:rsidRDefault="005E78A5">
      <w:pPr>
        <w:spacing w:line="276" w:lineRule="auto"/>
        <w:jc w:val="right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</w:t>
      </w:r>
      <w:r>
        <w:rPr>
          <w:rStyle w:val="fontstyle01"/>
          <w:rFonts w:asciiTheme="minorEastAsia" w:hAnsiTheme="minorEastAsia"/>
          <w:sz w:val="22"/>
          <w:szCs w:val="22"/>
        </w:rPr>
        <w:t>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>
        <w:rPr>
          <w:rStyle w:val="fontstyle01"/>
          <w:rFonts w:asciiTheme="minorEastAsia" w:hAnsiTheme="minorEastAsia"/>
          <w:sz w:val="22"/>
          <w:szCs w:val="22"/>
        </w:rPr>
        <w:t>10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月</w:t>
      </w:r>
      <w:r>
        <w:rPr>
          <w:rStyle w:val="fontstyle01"/>
          <w:rFonts w:asciiTheme="minorEastAsia" w:hAnsiTheme="minorEastAsia"/>
          <w:sz w:val="22"/>
          <w:szCs w:val="22"/>
        </w:rPr>
        <w:t>24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日</w:t>
      </w:r>
    </w:p>
    <w:sectPr w:rsidR="00D53338" w:rsidSect="00D53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3DA"/>
    <w:multiLevelType w:val="multilevel"/>
    <w:tmpl w:val="448573DA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zOTgxN2YyODlhMjI3MjY3YmZkNDMwNmJmMzliZjYifQ=="/>
  </w:docVars>
  <w:rsids>
    <w:rsidRoot w:val="00F92416"/>
    <w:rsid w:val="00030222"/>
    <w:rsid w:val="00031BAB"/>
    <w:rsid w:val="00083D8A"/>
    <w:rsid w:val="00096B01"/>
    <w:rsid w:val="00096BD1"/>
    <w:rsid w:val="000C5CB7"/>
    <w:rsid w:val="000D66C7"/>
    <w:rsid w:val="000E70E3"/>
    <w:rsid w:val="000F5F1A"/>
    <w:rsid w:val="00186C04"/>
    <w:rsid w:val="001B7C54"/>
    <w:rsid w:val="001C2ADB"/>
    <w:rsid w:val="001C52CA"/>
    <w:rsid w:val="001F0F11"/>
    <w:rsid w:val="001F3EB0"/>
    <w:rsid w:val="002034FE"/>
    <w:rsid w:val="00210E6D"/>
    <w:rsid w:val="00223517"/>
    <w:rsid w:val="002920F3"/>
    <w:rsid w:val="002C14BF"/>
    <w:rsid w:val="002C3570"/>
    <w:rsid w:val="00301AC3"/>
    <w:rsid w:val="00331BD2"/>
    <w:rsid w:val="003379E1"/>
    <w:rsid w:val="003A385B"/>
    <w:rsid w:val="003C703F"/>
    <w:rsid w:val="003F1B5C"/>
    <w:rsid w:val="004542C8"/>
    <w:rsid w:val="004553BC"/>
    <w:rsid w:val="00483C11"/>
    <w:rsid w:val="004851CC"/>
    <w:rsid w:val="0048664E"/>
    <w:rsid w:val="00495457"/>
    <w:rsid w:val="004C61F4"/>
    <w:rsid w:val="004D489D"/>
    <w:rsid w:val="004F4449"/>
    <w:rsid w:val="004F4497"/>
    <w:rsid w:val="00511570"/>
    <w:rsid w:val="00513159"/>
    <w:rsid w:val="0052203A"/>
    <w:rsid w:val="005274FB"/>
    <w:rsid w:val="0053120F"/>
    <w:rsid w:val="005848CD"/>
    <w:rsid w:val="005C389A"/>
    <w:rsid w:val="005E78A5"/>
    <w:rsid w:val="005F0A93"/>
    <w:rsid w:val="006049D5"/>
    <w:rsid w:val="00654EBD"/>
    <w:rsid w:val="00660D92"/>
    <w:rsid w:val="00662792"/>
    <w:rsid w:val="00696B71"/>
    <w:rsid w:val="006A07A2"/>
    <w:rsid w:val="006A58D1"/>
    <w:rsid w:val="006C7F98"/>
    <w:rsid w:val="006E06F7"/>
    <w:rsid w:val="00702231"/>
    <w:rsid w:val="0070587F"/>
    <w:rsid w:val="0072655E"/>
    <w:rsid w:val="00782612"/>
    <w:rsid w:val="007D472F"/>
    <w:rsid w:val="007E0781"/>
    <w:rsid w:val="008227A7"/>
    <w:rsid w:val="00835A97"/>
    <w:rsid w:val="00836A3B"/>
    <w:rsid w:val="00890069"/>
    <w:rsid w:val="008A3D01"/>
    <w:rsid w:val="008B68DB"/>
    <w:rsid w:val="009246BB"/>
    <w:rsid w:val="00A02420"/>
    <w:rsid w:val="00A2443A"/>
    <w:rsid w:val="00A35F3E"/>
    <w:rsid w:val="00A44B1D"/>
    <w:rsid w:val="00A51011"/>
    <w:rsid w:val="00A54DDB"/>
    <w:rsid w:val="00A72966"/>
    <w:rsid w:val="00A917F7"/>
    <w:rsid w:val="00AC4A00"/>
    <w:rsid w:val="00AD76C5"/>
    <w:rsid w:val="00B639CA"/>
    <w:rsid w:val="00B87817"/>
    <w:rsid w:val="00BA7A66"/>
    <w:rsid w:val="00BB0EFA"/>
    <w:rsid w:val="00BB708E"/>
    <w:rsid w:val="00BE2629"/>
    <w:rsid w:val="00BE43CE"/>
    <w:rsid w:val="00C04FA8"/>
    <w:rsid w:val="00C1212C"/>
    <w:rsid w:val="00C56F8B"/>
    <w:rsid w:val="00C66C8C"/>
    <w:rsid w:val="00C7043A"/>
    <w:rsid w:val="00C7609A"/>
    <w:rsid w:val="00C80791"/>
    <w:rsid w:val="00C86B35"/>
    <w:rsid w:val="00C95ED4"/>
    <w:rsid w:val="00CA5D11"/>
    <w:rsid w:val="00CA7B6F"/>
    <w:rsid w:val="00CA7CD3"/>
    <w:rsid w:val="00CE5868"/>
    <w:rsid w:val="00D53338"/>
    <w:rsid w:val="00D64E77"/>
    <w:rsid w:val="00DA6E48"/>
    <w:rsid w:val="00DB700D"/>
    <w:rsid w:val="00DC10F8"/>
    <w:rsid w:val="00DC2E79"/>
    <w:rsid w:val="00DD73F1"/>
    <w:rsid w:val="00DE600A"/>
    <w:rsid w:val="00E174EC"/>
    <w:rsid w:val="00E57AE4"/>
    <w:rsid w:val="00EA7FBB"/>
    <w:rsid w:val="00ED2066"/>
    <w:rsid w:val="00EF7189"/>
    <w:rsid w:val="00F165E4"/>
    <w:rsid w:val="00F40C7F"/>
    <w:rsid w:val="00F92416"/>
    <w:rsid w:val="00FE0E4B"/>
    <w:rsid w:val="098F2F8D"/>
    <w:rsid w:val="0B7D32E8"/>
    <w:rsid w:val="0C1C2AD1"/>
    <w:rsid w:val="0EED3B05"/>
    <w:rsid w:val="10316E9A"/>
    <w:rsid w:val="110E70E5"/>
    <w:rsid w:val="125C5800"/>
    <w:rsid w:val="12697031"/>
    <w:rsid w:val="12E45196"/>
    <w:rsid w:val="18297BAC"/>
    <w:rsid w:val="1E6068DF"/>
    <w:rsid w:val="203C044A"/>
    <w:rsid w:val="209373BF"/>
    <w:rsid w:val="25C8281E"/>
    <w:rsid w:val="2B7F28A2"/>
    <w:rsid w:val="35351E85"/>
    <w:rsid w:val="37295540"/>
    <w:rsid w:val="37C62C76"/>
    <w:rsid w:val="39300481"/>
    <w:rsid w:val="39FB1437"/>
    <w:rsid w:val="3A857A22"/>
    <w:rsid w:val="3F6F01DD"/>
    <w:rsid w:val="444634B8"/>
    <w:rsid w:val="47767C80"/>
    <w:rsid w:val="49CA188A"/>
    <w:rsid w:val="4BC967E8"/>
    <w:rsid w:val="4C8002E8"/>
    <w:rsid w:val="4D0309AC"/>
    <w:rsid w:val="53FD2C93"/>
    <w:rsid w:val="58BD39CB"/>
    <w:rsid w:val="5E915C63"/>
    <w:rsid w:val="60C10F03"/>
    <w:rsid w:val="610959C5"/>
    <w:rsid w:val="6778594B"/>
    <w:rsid w:val="72850C1D"/>
    <w:rsid w:val="7780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53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3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3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D533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D533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3338"/>
    <w:rPr>
      <w:sz w:val="18"/>
      <w:szCs w:val="18"/>
    </w:rPr>
  </w:style>
  <w:style w:type="character" w:customStyle="1" w:styleId="fontstyle01">
    <w:name w:val="fontstyle01"/>
    <w:basedOn w:val="a0"/>
    <w:qFormat/>
    <w:rsid w:val="00D53338"/>
    <w:rPr>
      <w:rFonts w:ascii="宋体" w:eastAsia="宋体" w:hAnsi="宋体" w:hint="eastAsia"/>
      <w:color w:val="333333"/>
      <w:sz w:val="30"/>
      <w:szCs w:val="30"/>
    </w:rPr>
  </w:style>
  <w:style w:type="character" w:customStyle="1" w:styleId="fontstyle21">
    <w:name w:val="fontstyle21"/>
    <w:basedOn w:val="a0"/>
    <w:qFormat/>
    <w:rsid w:val="00D53338"/>
    <w:rPr>
      <w:rFonts w:ascii="Verdana" w:hAnsi="Verdana" w:hint="default"/>
      <w:color w:val="333333"/>
      <w:sz w:val="30"/>
      <w:szCs w:val="30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53338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3338"/>
    <w:rPr>
      <w:sz w:val="18"/>
      <w:szCs w:val="18"/>
    </w:rPr>
  </w:style>
  <w:style w:type="character" w:customStyle="1" w:styleId="fund-name">
    <w:name w:val="fund-name"/>
    <w:basedOn w:val="a0"/>
    <w:qFormat/>
    <w:rsid w:val="00D53338"/>
  </w:style>
  <w:style w:type="paragraph" w:customStyle="1" w:styleId="1">
    <w:name w:val="列出段落1"/>
    <w:basedOn w:val="a"/>
    <w:uiPriority w:val="34"/>
    <w:qFormat/>
    <w:rsid w:val="00D533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62B3-4C07-49EA-A9F7-B91FD037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1486</Characters>
  <Application>Microsoft Office Word</Application>
  <DocSecurity>4</DocSecurity>
  <Lines>12</Lines>
  <Paragraphs>3</Paragraphs>
  <ScaleCrop>false</ScaleCrop>
  <Company>CNSTOCK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</dc:creator>
  <cp:lastModifiedBy>ZHONGM</cp:lastModifiedBy>
  <cp:revision>2</cp:revision>
  <cp:lastPrinted>2023-10-23T05:28:00Z</cp:lastPrinted>
  <dcterms:created xsi:type="dcterms:W3CDTF">2024-10-23T16:03:00Z</dcterms:created>
  <dcterms:modified xsi:type="dcterms:W3CDTF">2024-10-23T16:03:00Z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commondata">
    <vt:lpwstr>eyJoZGlkIjoiMzE1MjE2Yzk0YWFlZDcwYWNmMzc4NjFhZjA1NjJkOWUifQ==</vt:lpwstr>
  </property>
  <property fmtid="{D5CDD505-2E9C-101B-9397-08002B2CF9AE}" pid="4" name="ICV">
    <vt:lpwstr>E4A7A3AB7E4246AE9A1E1F7A8C100739_13</vt:lpwstr>
  </property>
</Properties>
</file>