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D5" w:rsidRDefault="009A1368">
      <w:pPr>
        <w:pStyle w:val="a8"/>
      </w:pPr>
      <w:r>
        <w:rPr>
          <w:rFonts w:hint="eastAsia"/>
        </w:rPr>
        <w:t>华泰柏瑞基金管理有限公司关于旗下基金投资关联方</w:t>
      </w:r>
    </w:p>
    <w:p w:rsidR="00E532D5" w:rsidRDefault="009A1368">
      <w:pPr>
        <w:pStyle w:val="a8"/>
      </w:pPr>
      <w:r>
        <w:rPr>
          <w:rFonts w:hint="eastAsia"/>
        </w:rPr>
        <w:t>承销期内</w:t>
      </w:r>
      <w:r w:rsidR="00F22D3A">
        <w:rPr>
          <w:rFonts w:hint="eastAsia"/>
        </w:rPr>
        <w:t>承销</w:t>
      </w:r>
      <w:r>
        <w:rPr>
          <w:rFonts w:hint="eastAsia"/>
        </w:rPr>
        <w:t>证券的公告</w:t>
      </w:r>
    </w:p>
    <w:p w:rsidR="00E532D5" w:rsidRDefault="00E532D5">
      <w:pPr>
        <w:spacing w:line="360" w:lineRule="auto"/>
        <w:ind w:firstLineChars="177" w:firstLine="425"/>
        <w:rPr>
          <w:sz w:val="24"/>
          <w:szCs w:val="24"/>
        </w:rPr>
      </w:pPr>
    </w:p>
    <w:p w:rsidR="00E532D5" w:rsidRDefault="009A1368" w:rsidP="0044017C">
      <w:pPr>
        <w:spacing w:line="360" w:lineRule="auto"/>
        <w:ind w:firstLineChars="177" w:firstLine="425"/>
        <w:rPr>
          <w:sz w:val="24"/>
          <w:szCs w:val="24"/>
        </w:rPr>
      </w:pPr>
      <w:r>
        <w:rPr>
          <w:rFonts w:hint="eastAsia"/>
          <w:sz w:val="24"/>
          <w:szCs w:val="24"/>
        </w:rPr>
        <w:t>根据《公开募集证券投资基金运作管理办法》、《公开募集证券投资基金信息披露管理办法》及相关法律法规、各基金基金合同及招募说明书等规定，在履行规定审批程序并经基金托管人同意后，华泰柏瑞基金管理有限公司（以下简称“本公司”）旗下部分基金参与了</w:t>
      </w:r>
      <w:r w:rsidR="0067778C" w:rsidRPr="0067778C">
        <w:rPr>
          <w:rFonts w:hint="eastAsia"/>
          <w:sz w:val="24"/>
          <w:szCs w:val="24"/>
        </w:rPr>
        <w:t>拉普拉斯新能源科技股份有限公司</w:t>
      </w:r>
      <w:r>
        <w:rPr>
          <w:rFonts w:hint="eastAsia"/>
          <w:sz w:val="24"/>
          <w:szCs w:val="24"/>
        </w:rPr>
        <w:t>（以下简称“</w:t>
      </w:r>
      <w:r w:rsidR="0067778C" w:rsidRPr="0067778C">
        <w:rPr>
          <w:rFonts w:hint="eastAsia"/>
          <w:sz w:val="24"/>
          <w:szCs w:val="24"/>
        </w:rPr>
        <w:t>拉普拉斯</w:t>
      </w:r>
      <w:r w:rsidR="00C82E4B" w:rsidRPr="00C82E4B">
        <w:rPr>
          <w:rFonts w:hint="eastAsia"/>
          <w:sz w:val="24"/>
          <w:szCs w:val="24"/>
        </w:rPr>
        <w:t>”</w:t>
      </w:r>
      <w:r>
        <w:rPr>
          <w:rFonts w:hint="eastAsia"/>
          <w:sz w:val="24"/>
          <w:szCs w:val="24"/>
        </w:rPr>
        <w:t>）首次公开发行</w:t>
      </w:r>
      <w:r w:rsidR="00CB4742">
        <w:rPr>
          <w:rFonts w:hint="eastAsia"/>
          <w:sz w:val="24"/>
          <w:szCs w:val="24"/>
        </w:rPr>
        <w:t>股票</w:t>
      </w:r>
      <w:r w:rsidR="00843AA9" w:rsidRPr="00843AA9">
        <w:rPr>
          <w:rFonts w:hint="eastAsia"/>
          <w:sz w:val="24"/>
          <w:szCs w:val="24"/>
        </w:rPr>
        <w:t>并在</w:t>
      </w:r>
      <w:r w:rsidR="001267BC" w:rsidRPr="001267BC">
        <w:rPr>
          <w:rFonts w:hint="eastAsia"/>
          <w:sz w:val="24"/>
          <w:szCs w:val="24"/>
        </w:rPr>
        <w:t>科创板</w:t>
      </w:r>
      <w:r w:rsidR="00843AA9" w:rsidRPr="00843AA9">
        <w:rPr>
          <w:rFonts w:hint="eastAsia"/>
          <w:sz w:val="24"/>
          <w:szCs w:val="24"/>
        </w:rPr>
        <w:t>上市</w:t>
      </w:r>
      <w:r>
        <w:rPr>
          <w:rFonts w:hint="eastAsia"/>
          <w:sz w:val="24"/>
          <w:szCs w:val="24"/>
        </w:rPr>
        <w:t>的申购。</w:t>
      </w:r>
      <w:r w:rsidR="0067778C" w:rsidRPr="0067778C">
        <w:rPr>
          <w:rFonts w:hint="eastAsia"/>
          <w:sz w:val="24"/>
          <w:szCs w:val="24"/>
        </w:rPr>
        <w:t>拉普拉斯</w:t>
      </w:r>
      <w:r w:rsidR="00557F44">
        <w:rPr>
          <w:rFonts w:hint="eastAsia"/>
          <w:sz w:val="24"/>
          <w:szCs w:val="24"/>
        </w:rPr>
        <w:t>的</w:t>
      </w:r>
      <w:r w:rsidR="0044017C" w:rsidRPr="0044017C">
        <w:rPr>
          <w:rFonts w:hint="eastAsia"/>
          <w:sz w:val="24"/>
          <w:szCs w:val="24"/>
        </w:rPr>
        <w:t>保荐人（主承销商）</w:t>
      </w:r>
      <w:r>
        <w:rPr>
          <w:rFonts w:hint="eastAsia"/>
          <w:sz w:val="24"/>
          <w:szCs w:val="24"/>
        </w:rPr>
        <w:t>华泰联合证券有限责任公司为本公司关联方。本次发行价格为</w:t>
      </w:r>
      <w:r w:rsidR="001267BC" w:rsidRPr="001267BC">
        <w:rPr>
          <w:sz w:val="24"/>
          <w:szCs w:val="24"/>
        </w:rPr>
        <w:t>17.58</w:t>
      </w:r>
      <w:r>
        <w:rPr>
          <w:rFonts w:hint="eastAsia"/>
          <w:sz w:val="24"/>
          <w:szCs w:val="24"/>
        </w:rPr>
        <w:t>元</w:t>
      </w:r>
      <w:r>
        <w:rPr>
          <w:rFonts w:hint="eastAsia"/>
          <w:sz w:val="24"/>
          <w:szCs w:val="24"/>
        </w:rPr>
        <w:t>/</w:t>
      </w:r>
      <w:r>
        <w:rPr>
          <w:rFonts w:hint="eastAsia"/>
          <w:sz w:val="24"/>
          <w:szCs w:val="24"/>
        </w:rPr>
        <w:t>股，由发行人</w:t>
      </w:r>
      <w:r w:rsidR="000C50B7">
        <w:rPr>
          <w:rFonts w:hint="eastAsia"/>
          <w:sz w:val="24"/>
          <w:szCs w:val="24"/>
        </w:rPr>
        <w:t>和</w:t>
      </w:r>
      <w:r w:rsidR="0044017C" w:rsidRPr="0044017C">
        <w:rPr>
          <w:rFonts w:hint="eastAsia"/>
          <w:sz w:val="24"/>
          <w:szCs w:val="24"/>
        </w:rPr>
        <w:t>保荐人（主承销商）</w:t>
      </w:r>
      <w:r>
        <w:rPr>
          <w:rFonts w:hint="eastAsia"/>
          <w:sz w:val="24"/>
          <w:szCs w:val="24"/>
        </w:rPr>
        <w:t>根据初步询价结果，综合考虑发行人基本面、市场情况、同行业上市公司估值水平、募集资金需求及承销风险等因素后协商确定。</w:t>
      </w:r>
    </w:p>
    <w:p w:rsidR="00E532D5" w:rsidRPr="00162C90" w:rsidRDefault="009A1368" w:rsidP="001267BC">
      <w:pPr>
        <w:spacing w:line="360" w:lineRule="auto"/>
        <w:ind w:firstLineChars="177" w:firstLine="425"/>
        <w:rPr>
          <w:rFonts w:asciiTheme="minorEastAsia" w:hAnsiTheme="minorEastAsia"/>
          <w:sz w:val="24"/>
          <w:szCs w:val="24"/>
        </w:rPr>
      </w:pPr>
      <w:r>
        <w:rPr>
          <w:rFonts w:hint="eastAsia"/>
          <w:sz w:val="24"/>
          <w:szCs w:val="24"/>
        </w:rPr>
        <w:t>根据法律法规、基金合同及</w:t>
      </w:r>
      <w:r w:rsidR="001267BC" w:rsidRPr="001267BC">
        <w:rPr>
          <w:rFonts w:hint="eastAsia"/>
          <w:sz w:val="24"/>
          <w:szCs w:val="24"/>
        </w:rPr>
        <w:t>拉普拉斯</w:t>
      </w:r>
      <w:r>
        <w:rPr>
          <w:rFonts w:hint="eastAsia"/>
          <w:sz w:val="24"/>
          <w:szCs w:val="24"/>
        </w:rPr>
        <w:t>于</w:t>
      </w:r>
      <w:r w:rsidR="001267BC">
        <w:rPr>
          <w:rFonts w:hint="eastAsia"/>
          <w:sz w:val="24"/>
          <w:szCs w:val="24"/>
        </w:rPr>
        <w:t>202</w:t>
      </w:r>
      <w:r w:rsidR="001267BC">
        <w:rPr>
          <w:sz w:val="24"/>
          <w:szCs w:val="24"/>
        </w:rPr>
        <w:t>4</w:t>
      </w:r>
      <w:r w:rsidR="001267BC">
        <w:rPr>
          <w:rFonts w:hint="eastAsia"/>
          <w:sz w:val="24"/>
          <w:szCs w:val="24"/>
        </w:rPr>
        <w:t>年</w:t>
      </w:r>
      <w:r w:rsidR="001267BC">
        <w:rPr>
          <w:sz w:val="24"/>
          <w:szCs w:val="24"/>
        </w:rPr>
        <w:t>10</w:t>
      </w:r>
      <w:r w:rsidR="008B67D8">
        <w:rPr>
          <w:rFonts w:hint="eastAsia"/>
          <w:sz w:val="24"/>
          <w:szCs w:val="24"/>
        </w:rPr>
        <w:t>月</w:t>
      </w:r>
      <w:r w:rsidR="001267BC">
        <w:rPr>
          <w:sz w:val="24"/>
          <w:szCs w:val="24"/>
        </w:rPr>
        <w:t>22</w:t>
      </w:r>
      <w:r>
        <w:rPr>
          <w:rFonts w:hint="eastAsia"/>
          <w:sz w:val="24"/>
          <w:szCs w:val="24"/>
        </w:rPr>
        <w:t>日发布的《</w:t>
      </w:r>
      <w:r w:rsidR="001267BC" w:rsidRPr="001267BC">
        <w:rPr>
          <w:rFonts w:asciiTheme="minorEastAsia" w:hAnsiTheme="minorEastAsia" w:hint="eastAsia"/>
          <w:sz w:val="24"/>
          <w:szCs w:val="24"/>
        </w:rPr>
        <w:t>拉普拉斯新能源科技股份有限公司首次公开发行股票并在科创板上市网下初步配售结果及网上中签结果公告</w:t>
      </w:r>
      <w:r>
        <w:rPr>
          <w:rFonts w:hint="eastAsia"/>
          <w:sz w:val="24"/>
          <w:szCs w:val="24"/>
        </w:rPr>
        <w:t>》，现将本公司旗下基金获配信息公告如下：</w:t>
      </w:r>
    </w:p>
    <w:p w:rsidR="00E532D5" w:rsidRPr="00A14804" w:rsidRDefault="00E532D5">
      <w:pPr>
        <w:spacing w:line="360" w:lineRule="auto"/>
        <w:ind w:firstLineChars="177" w:firstLine="425"/>
        <w:rPr>
          <w:sz w:val="24"/>
          <w:szCs w:val="24"/>
        </w:rPr>
      </w:pPr>
    </w:p>
    <w:tbl>
      <w:tblPr>
        <w:tblStyle w:val="a5"/>
        <w:tblW w:w="0" w:type="auto"/>
        <w:tblInd w:w="108" w:type="dxa"/>
        <w:tblLayout w:type="fixed"/>
        <w:tblLook w:val="04A0"/>
      </w:tblPr>
      <w:tblGrid>
        <w:gridCol w:w="4565"/>
        <w:gridCol w:w="1843"/>
        <w:gridCol w:w="1780"/>
      </w:tblGrid>
      <w:tr w:rsidR="00E532D5" w:rsidTr="00235075">
        <w:tc>
          <w:tcPr>
            <w:tcW w:w="4565" w:type="dxa"/>
            <w:vAlign w:val="center"/>
          </w:tcPr>
          <w:p w:rsidR="00E532D5" w:rsidRDefault="009A1368">
            <w:pPr>
              <w:spacing w:line="360" w:lineRule="auto"/>
              <w:jc w:val="center"/>
              <w:rPr>
                <w:rFonts w:cstheme="minorHAnsi"/>
                <w:color w:val="333333"/>
                <w:sz w:val="24"/>
                <w:szCs w:val="24"/>
              </w:rPr>
            </w:pPr>
            <w:r>
              <w:rPr>
                <w:rFonts w:cstheme="minorHAnsi"/>
                <w:b/>
                <w:color w:val="333333"/>
                <w:kern w:val="0"/>
                <w:sz w:val="24"/>
                <w:szCs w:val="24"/>
              </w:rPr>
              <w:t>基金名称</w:t>
            </w:r>
          </w:p>
        </w:tc>
        <w:tc>
          <w:tcPr>
            <w:tcW w:w="1843" w:type="dxa"/>
            <w:vAlign w:val="center"/>
          </w:tcPr>
          <w:p w:rsidR="00E532D5" w:rsidRDefault="009A1368">
            <w:pPr>
              <w:spacing w:line="360" w:lineRule="auto"/>
              <w:jc w:val="center"/>
              <w:rPr>
                <w:rFonts w:cstheme="minorHAnsi"/>
                <w:color w:val="333333"/>
                <w:sz w:val="24"/>
                <w:szCs w:val="24"/>
              </w:rPr>
            </w:pPr>
            <w:r>
              <w:rPr>
                <w:rFonts w:cstheme="minorHAnsi"/>
                <w:b/>
                <w:color w:val="333333"/>
                <w:kern w:val="0"/>
                <w:sz w:val="24"/>
                <w:szCs w:val="24"/>
              </w:rPr>
              <w:t>获配数量（股）</w:t>
            </w:r>
          </w:p>
        </w:tc>
        <w:tc>
          <w:tcPr>
            <w:tcW w:w="1780" w:type="dxa"/>
            <w:vAlign w:val="center"/>
          </w:tcPr>
          <w:p w:rsidR="00E532D5" w:rsidRDefault="009A1368">
            <w:pPr>
              <w:spacing w:line="360" w:lineRule="auto"/>
              <w:jc w:val="center"/>
              <w:rPr>
                <w:rFonts w:cstheme="minorHAnsi"/>
                <w:color w:val="333333"/>
                <w:sz w:val="24"/>
                <w:szCs w:val="24"/>
              </w:rPr>
            </w:pPr>
            <w:r>
              <w:rPr>
                <w:rFonts w:cstheme="minorHAnsi"/>
                <w:b/>
                <w:color w:val="333333"/>
                <w:kern w:val="0"/>
                <w:sz w:val="24"/>
                <w:szCs w:val="24"/>
              </w:rPr>
              <w:t>获配金额（元）</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华泰柏瑞量化增强混合型证券投资基金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华泰柏瑞创新升级混合型证券投资基金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华泰柏瑞量化优选灵活配置混合型证券投资基金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ind w:right="40"/>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华泰柏瑞量化驱动灵活配置混合型证券投资基金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华泰柏瑞积极优选股票型证券投资基金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华泰柏瑞量化智慧灵活配置混合型证券投资基金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华泰柏瑞新利灵活配置混合型证券投资基金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lastRenderedPageBreak/>
              <w:t>华泰柏瑞激励动力灵活配置混合型证券投资基金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7828</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137616.24</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华泰柏瑞多策略灵活配置混合型证券投资基金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华泰柏瑞鼎利灵活配置混合型证券投资基金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华泰柏瑞富利灵活配置混合型证券投资基金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color w:val="333333"/>
                <w:szCs w:val="21"/>
              </w:rPr>
            </w:pPr>
            <w:r w:rsidRPr="00D6429B">
              <w:rPr>
                <w:rFonts w:ascii="Arial" w:hAnsi="Arial" w:cs="Arial"/>
                <w:szCs w:val="20"/>
              </w:rPr>
              <w:t>华泰柏瑞生物医药灵活配置混合型证券投资基金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华泰柏瑞量化阿尔法灵活配置混合型证券投资基金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6097</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107185.26</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华泰柏瑞医疗健康混合型证券投资基金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华泰柏瑞研究精选混合型证券投资基金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华泰柏瑞景气优选混合型证券投资基金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华泰柏瑞品质优选混合型证券投资基金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华泰柏瑞量化创享混合型证券投资基金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7452</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131006.16</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华泰柏瑞成长智选混合型证券投资基金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7753</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136297.74</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华泰柏瑞质量领先混合型证券投资基金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华泰柏瑞品质成长混合型证券投资基金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华泰柏瑞景气成长混合型证券投资基金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5871</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103212.18</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华泰柏瑞景气汇选三年持有期混合型证券投资基金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华泰柏瑞景气驱动混合型证券投资基金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7828</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137616.24</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华泰柏瑞轮动精选混合型证券投资基金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华泰柏瑞招享</w:t>
            </w:r>
            <w:r w:rsidRPr="00D6429B">
              <w:rPr>
                <w:rFonts w:ascii="Arial" w:hAnsi="Arial" w:cs="Arial"/>
                <w:szCs w:val="20"/>
              </w:rPr>
              <w:t>6</w:t>
            </w:r>
            <w:r w:rsidRPr="00D6429B">
              <w:rPr>
                <w:rFonts w:ascii="Arial" w:hAnsi="Arial" w:cs="Arial"/>
                <w:szCs w:val="20"/>
              </w:rPr>
              <w:t>个月持有期混合型证券投资基金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华泰柏瑞中证</w:t>
            </w:r>
            <w:r w:rsidRPr="00D6429B">
              <w:rPr>
                <w:rFonts w:ascii="Arial" w:hAnsi="Arial" w:cs="Arial"/>
                <w:szCs w:val="20"/>
              </w:rPr>
              <w:t>1000</w:t>
            </w:r>
            <w:r w:rsidRPr="00D6429B">
              <w:rPr>
                <w:rFonts w:ascii="Arial" w:hAnsi="Arial" w:cs="Arial"/>
                <w:szCs w:val="20"/>
              </w:rPr>
              <w:t>指数增强型证券投资基金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7979</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140270.82</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华泰柏瑞盛世中国混合型证券投资基金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华泰柏瑞积极成长混合型证券投资基金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华泰柏瑞价值增长混合型证券投资基金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333982" w:rsidTr="006E2D80">
        <w:tc>
          <w:tcPr>
            <w:tcW w:w="4565" w:type="dxa"/>
            <w:vAlign w:val="bottom"/>
          </w:tcPr>
          <w:p w:rsidR="00333982" w:rsidRPr="00333982" w:rsidRDefault="00333982" w:rsidP="00333982">
            <w:pPr>
              <w:spacing w:line="360" w:lineRule="auto"/>
              <w:rPr>
                <w:rFonts w:ascii="宋体" w:eastAsia="宋体" w:hAnsi="宋体" w:cs="Times New Roman"/>
                <w:szCs w:val="21"/>
              </w:rPr>
            </w:pPr>
            <w:r w:rsidRPr="00D6429B">
              <w:rPr>
                <w:rFonts w:ascii="Arial" w:hAnsi="Arial" w:cs="Arial"/>
                <w:szCs w:val="20"/>
              </w:rPr>
              <w:t>华泰柏瑞量化先行混合型证券投资基金</w:t>
            </w:r>
          </w:p>
        </w:tc>
        <w:tc>
          <w:tcPr>
            <w:tcW w:w="1843"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9785</w:t>
            </w:r>
          </w:p>
        </w:tc>
        <w:tc>
          <w:tcPr>
            <w:tcW w:w="1780" w:type="dxa"/>
            <w:vAlign w:val="bottom"/>
          </w:tcPr>
          <w:p w:rsidR="00333982" w:rsidRPr="00333982" w:rsidRDefault="00333982" w:rsidP="00333982">
            <w:pPr>
              <w:spacing w:line="360" w:lineRule="auto"/>
              <w:jc w:val="right"/>
              <w:rPr>
                <w:rFonts w:eastAsia="宋体" w:cstheme="minorHAnsi"/>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lastRenderedPageBreak/>
              <w:t>华泰柏瑞沪深</w:t>
            </w:r>
            <w:r w:rsidRPr="00D6429B">
              <w:rPr>
                <w:rFonts w:ascii="Arial" w:hAnsi="Arial" w:cs="Arial"/>
                <w:szCs w:val="20"/>
              </w:rPr>
              <w:t>300</w:t>
            </w:r>
            <w:r w:rsidRPr="00D6429B">
              <w:rPr>
                <w:rFonts w:ascii="Arial" w:hAnsi="Arial" w:cs="Arial"/>
                <w:szCs w:val="20"/>
              </w:rPr>
              <w:t>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ind w:right="10"/>
              <w:jc w:val="right"/>
              <w:rPr>
                <w:rFonts w:eastAsia="宋体"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t>上证红利交易型开放式指数证券投资基金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t>华泰柏瑞中证</w:t>
            </w:r>
            <w:r w:rsidRPr="00D6429B">
              <w:rPr>
                <w:rFonts w:ascii="Arial" w:hAnsi="Arial" w:cs="Arial"/>
                <w:szCs w:val="20"/>
              </w:rPr>
              <w:t>500</w:t>
            </w:r>
            <w:r w:rsidRPr="00D6429B">
              <w:rPr>
                <w:rFonts w:ascii="Arial" w:hAnsi="Arial" w:cs="Arial"/>
                <w:szCs w:val="20"/>
              </w:rPr>
              <w:t>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t>华泰柏瑞中证韩交所中韩半导体交易型开放式指数证券投资基金</w:t>
            </w:r>
            <w:r w:rsidRPr="00D6429B">
              <w:rPr>
                <w:rFonts w:ascii="Arial" w:hAnsi="Arial" w:cs="Arial"/>
                <w:szCs w:val="20"/>
              </w:rPr>
              <w:t>(QDII)</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t>华泰柏瑞中证科技</w:t>
            </w:r>
            <w:r w:rsidRPr="00D6429B">
              <w:rPr>
                <w:rFonts w:ascii="Arial" w:hAnsi="Arial" w:cs="Arial"/>
                <w:szCs w:val="20"/>
              </w:rPr>
              <w:t>100</w:t>
            </w:r>
            <w:r w:rsidRPr="00D6429B">
              <w:rPr>
                <w:rFonts w:ascii="Arial" w:hAnsi="Arial" w:cs="Arial"/>
                <w:szCs w:val="20"/>
              </w:rPr>
              <w:t>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t>华泰柏瑞中证光伏产业交易型开放式指数证券投资基金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t>华泰柏瑞中证</w:t>
            </w:r>
            <w:r w:rsidRPr="00D6429B">
              <w:rPr>
                <w:rFonts w:ascii="Arial" w:hAnsi="Arial" w:cs="Arial"/>
                <w:szCs w:val="20"/>
              </w:rPr>
              <w:t>1000</w:t>
            </w:r>
            <w:r w:rsidRPr="00D6429B">
              <w:rPr>
                <w:rFonts w:ascii="Arial" w:hAnsi="Arial" w:cs="Arial"/>
                <w:szCs w:val="20"/>
              </w:rPr>
              <w:t>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7527</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132324.66</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t>华泰柏瑞中证智能汽车主题交易型开放式指数证券投资基金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7903</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138934.74</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t>华泰柏瑞中证稀土产业交易型开放式指数证券投资基金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s="Times New Roman"/>
                <w:szCs w:val="21"/>
              </w:rPr>
            </w:pPr>
            <w:r w:rsidRPr="00D6429B">
              <w:rPr>
                <w:rFonts w:ascii="Arial" w:hAnsi="Arial" w:cs="Arial"/>
                <w:szCs w:val="20"/>
              </w:rPr>
              <w:t>华泰柏瑞中证沪港深创新药产业交易型开放式指数证券投资基金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olor w:val="333333"/>
                <w:szCs w:val="21"/>
              </w:rPr>
            </w:pPr>
            <w:r w:rsidRPr="00D6429B">
              <w:rPr>
                <w:rFonts w:ascii="Arial" w:hAnsi="Arial" w:cs="Arial"/>
                <w:szCs w:val="20"/>
              </w:rPr>
              <w:t>华泰柏瑞中证</w:t>
            </w:r>
            <w:r w:rsidRPr="00D6429B">
              <w:rPr>
                <w:rFonts w:ascii="Arial" w:hAnsi="Arial" w:cs="Arial"/>
                <w:szCs w:val="20"/>
              </w:rPr>
              <w:t>500</w:t>
            </w:r>
            <w:r w:rsidRPr="00D6429B">
              <w:rPr>
                <w:rFonts w:ascii="Arial" w:hAnsi="Arial" w:cs="Arial"/>
                <w:szCs w:val="20"/>
              </w:rPr>
              <w:t>增强策略交易型开放式指数证券投资基金</w:t>
            </w:r>
          </w:p>
        </w:tc>
        <w:tc>
          <w:tcPr>
            <w:tcW w:w="1843"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宋体"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olor w:val="333333"/>
                <w:szCs w:val="21"/>
              </w:rPr>
            </w:pPr>
            <w:r w:rsidRPr="00D6429B">
              <w:rPr>
                <w:rFonts w:ascii="Arial" w:hAnsi="Arial" w:cs="Arial"/>
                <w:szCs w:val="20"/>
              </w:rPr>
              <w:t>华泰柏瑞中证中央企业红利交易型开放式指数证券投资基金</w:t>
            </w:r>
          </w:p>
        </w:tc>
        <w:tc>
          <w:tcPr>
            <w:tcW w:w="1843"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olor w:val="333333"/>
                <w:szCs w:val="21"/>
              </w:rPr>
            </w:pPr>
            <w:r w:rsidRPr="00D6429B">
              <w:rPr>
                <w:rFonts w:ascii="Arial" w:hAnsi="Arial" w:cs="Arial"/>
                <w:szCs w:val="20"/>
              </w:rPr>
              <w:t>华泰柏瑞中证</w:t>
            </w:r>
            <w:r w:rsidRPr="00D6429B">
              <w:rPr>
                <w:rFonts w:ascii="Arial" w:hAnsi="Arial" w:cs="Arial"/>
                <w:szCs w:val="20"/>
              </w:rPr>
              <w:t>2000</w:t>
            </w:r>
            <w:r w:rsidRPr="00D6429B">
              <w:rPr>
                <w:rFonts w:ascii="Arial" w:hAnsi="Arial" w:cs="Arial"/>
                <w:szCs w:val="20"/>
              </w:rPr>
              <w:t>交易型开放式指数证券投资基金</w:t>
            </w:r>
          </w:p>
        </w:tc>
        <w:tc>
          <w:tcPr>
            <w:tcW w:w="1843"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olor w:val="333333"/>
                <w:szCs w:val="21"/>
              </w:rPr>
            </w:pPr>
            <w:r w:rsidRPr="00D6429B">
              <w:rPr>
                <w:rFonts w:ascii="Arial" w:hAnsi="Arial" w:cs="Arial"/>
                <w:szCs w:val="20"/>
              </w:rPr>
              <w:t>华泰柏瑞中证</w:t>
            </w:r>
            <w:r w:rsidRPr="00D6429B">
              <w:rPr>
                <w:rFonts w:ascii="Arial" w:hAnsi="Arial" w:cs="Arial"/>
                <w:szCs w:val="20"/>
              </w:rPr>
              <w:t>A50</w:t>
            </w:r>
            <w:r w:rsidRPr="00D6429B">
              <w:rPr>
                <w:rFonts w:ascii="Arial" w:hAnsi="Arial" w:cs="Arial"/>
                <w:szCs w:val="20"/>
              </w:rPr>
              <w:t>交易型开放式指数证券投资基金</w:t>
            </w:r>
          </w:p>
        </w:tc>
        <w:tc>
          <w:tcPr>
            <w:tcW w:w="1843"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olor w:val="333333"/>
                <w:szCs w:val="21"/>
              </w:rPr>
            </w:pPr>
            <w:r w:rsidRPr="00D6429B">
              <w:rPr>
                <w:rFonts w:ascii="Arial" w:hAnsi="Arial" w:cs="Arial"/>
                <w:szCs w:val="20"/>
              </w:rPr>
              <w:t>华泰柏瑞上证科创板</w:t>
            </w:r>
            <w:r w:rsidRPr="00D6429B">
              <w:rPr>
                <w:rFonts w:ascii="Arial" w:hAnsi="Arial" w:cs="Arial"/>
                <w:szCs w:val="20"/>
              </w:rPr>
              <w:t>50</w:t>
            </w:r>
            <w:r w:rsidRPr="00D6429B">
              <w:rPr>
                <w:rFonts w:ascii="Arial" w:hAnsi="Arial" w:cs="Arial"/>
                <w:szCs w:val="20"/>
              </w:rPr>
              <w:t>成份交易型开放式指数证券投资基金</w:t>
            </w:r>
          </w:p>
        </w:tc>
        <w:tc>
          <w:tcPr>
            <w:tcW w:w="1843"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172020.30</w:t>
            </w:r>
          </w:p>
        </w:tc>
      </w:tr>
      <w:tr w:rsidR="00ED363E" w:rsidTr="006E2D80">
        <w:tc>
          <w:tcPr>
            <w:tcW w:w="4565" w:type="dxa"/>
            <w:vAlign w:val="bottom"/>
          </w:tcPr>
          <w:p w:rsidR="00ED363E" w:rsidRPr="00ED363E" w:rsidRDefault="00ED363E" w:rsidP="00ED363E">
            <w:pPr>
              <w:spacing w:line="360" w:lineRule="auto"/>
              <w:rPr>
                <w:rFonts w:ascii="宋体" w:eastAsia="宋体" w:hAnsi="宋体"/>
                <w:color w:val="333333"/>
                <w:szCs w:val="21"/>
              </w:rPr>
            </w:pPr>
            <w:r w:rsidRPr="00D6429B">
              <w:rPr>
                <w:rFonts w:ascii="Arial" w:hAnsi="Arial" w:cs="Arial"/>
                <w:szCs w:val="20"/>
              </w:rPr>
              <w:t>华泰柏瑞上证科创板</w:t>
            </w:r>
            <w:r w:rsidRPr="00D6429B">
              <w:rPr>
                <w:rFonts w:ascii="Arial" w:hAnsi="Arial" w:cs="Arial"/>
                <w:szCs w:val="20"/>
              </w:rPr>
              <w:t>100</w:t>
            </w:r>
            <w:r w:rsidRPr="00D6429B">
              <w:rPr>
                <w:rFonts w:ascii="Arial" w:hAnsi="Arial" w:cs="Arial"/>
                <w:szCs w:val="20"/>
              </w:rPr>
              <w:t>交易型开放式指数证券投资基金</w:t>
            </w:r>
          </w:p>
        </w:tc>
        <w:tc>
          <w:tcPr>
            <w:tcW w:w="1843"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9785</w:t>
            </w:r>
          </w:p>
        </w:tc>
        <w:tc>
          <w:tcPr>
            <w:tcW w:w="1780" w:type="dxa"/>
            <w:vAlign w:val="bottom"/>
          </w:tcPr>
          <w:p w:rsidR="00ED363E" w:rsidRPr="00ED363E" w:rsidRDefault="00ED363E" w:rsidP="00ED363E">
            <w:pPr>
              <w:spacing w:line="360" w:lineRule="auto"/>
              <w:jc w:val="right"/>
              <w:rPr>
                <w:rFonts w:eastAsia="微软雅黑" w:cstheme="minorHAnsi"/>
                <w:color w:val="333333"/>
                <w:sz w:val="18"/>
                <w:szCs w:val="21"/>
              </w:rPr>
            </w:pPr>
            <w:r w:rsidRPr="00D6429B">
              <w:rPr>
                <w:rFonts w:ascii="Arial" w:hAnsi="Arial" w:cs="Arial"/>
                <w:sz w:val="18"/>
                <w:szCs w:val="20"/>
              </w:rPr>
              <w:t>172020.30</w:t>
            </w:r>
          </w:p>
        </w:tc>
      </w:tr>
    </w:tbl>
    <w:p w:rsidR="00E532D5" w:rsidRPr="00995654" w:rsidRDefault="00E532D5">
      <w:pPr>
        <w:spacing w:line="360" w:lineRule="auto"/>
        <w:ind w:firstLineChars="177" w:firstLine="425"/>
        <w:rPr>
          <w:sz w:val="24"/>
          <w:szCs w:val="24"/>
        </w:rPr>
      </w:pPr>
    </w:p>
    <w:p w:rsidR="00E532D5" w:rsidRDefault="00E532D5">
      <w:pPr>
        <w:spacing w:line="360" w:lineRule="auto"/>
        <w:ind w:firstLineChars="177" w:firstLine="425"/>
        <w:rPr>
          <w:sz w:val="24"/>
          <w:szCs w:val="24"/>
        </w:rPr>
      </w:pPr>
    </w:p>
    <w:p w:rsidR="00E532D5" w:rsidRDefault="009A1368">
      <w:pPr>
        <w:spacing w:line="360" w:lineRule="auto"/>
        <w:ind w:firstLineChars="177" w:firstLine="425"/>
        <w:rPr>
          <w:sz w:val="24"/>
          <w:szCs w:val="24"/>
        </w:rPr>
      </w:pPr>
      <w:r>
        <w:rPr>
          <w:rFonts w:hint="eastAsia"/>
          <w:sz w:val="24"/>
          <w:szCs w:val="24"/>
        </w:rPr>
        <w:t>特此公告。</w:t>
      </w:r>
      <w:bookmarkStart w:id="0" w:name="_GoBack"/>
      <w:bookmarkEnd w:id="0"/>
    </w:p>
    <w:p w:rsidR="00E532D5" w:rsidRDefault="00E532D5">
      <w:pPr>
        <w:spacing w:line="360" w:lineRule="auto"/>
        <w:ind w:firstLineChars="177" w:firstLine="425"/>
        <w:rPr>
          <w:sz w:val="24"/>
          <w:szCs w:val="24"/>
        </w:rPr>
      </w:pPr>
    </w:p>
    <w:p w:rsidR="00E532D5" w:rsidRDefault="00E532D5">
      <w:pPr>
        <w:spacing w:line="360" w:lineRule="auto"/>
        <w:ind w:firstLineChars="177" w:firstLine="425"/>
        <w:rPr>
          <w:sz w:val="24"/>
          <w:szCs w:val="24"/>
        </w:rPr>
      </w:pPr>
    </w:p>
    <w:p w:rsidR="00E532D5" w:rsidRDefault="009A1368">
      <w:pPr>
        <w:spacing w:line="360" w:lineRule="auto"/>
        <w:ind w:firstLineChars="177" w:firstLine="425"/>
        <w:jc w:val="right"/>
        <w:rPr>
          <w:sz w:val="24"/>
          <w:szCs w:val="24"/>
        </w:rPr>
      </w:pPr>
      <w:r>
        <w:rPr>
          <w:rFonts w:hint="eastAsia"/>
          <w:sz w:val="24"/>
          <w:szCs w:val="24"/>
        </w:rPr>
        <w:t>华泰柏瑞基金管理有限公司</w:t>
      </w:r>
    </w:p>
    <w:p w:rsidR="00E532D5" w:rsidRDefault="001267BC">
      <w:pPr>
        <w:spacing w:line="360" w:lineRule="auto"/>
        <w:ind w:firstLineChars="177" w:firstLine="425"/>
        <w:jc w:val="right"/>
        <w:rPr>
          <w:sz w:val="24"/>
          <w:szCs w:val="24"/>
        </w:rPr>
      </w:pPr>
      <w:r>
        <w:rPr>
          <w:rFonts w:hint="eastAsia"/>
          <w:sz w:val="24"/>
          <w:szCs w:val="24"/>
        </w:rPr>
        <w:t>202</w:t>
      </w:r>
      <w:r>
        <w:rPr>
          <w:sz w:val="24"/>
          <w:szCs w:val="24"/>
        </w:rPr>
        <w:t>4</w:t>
      </w:r>
      <w:r>
        <w:rPr>
          <w:rFonts w:hint="eastAsia"/>
          <w:sz w:val="24"/>
          <w:szCs w:val="24"/>
        </w:rPr>
        <w:t>年</w:t>
      </w:r>
      <w:r>
        <w:rPr>
          <w:sz w:val="24"/>
          <w:szCs w:val="24"/>
        </w:rPr>
        <w:t>10</w:t>
      </w:r>
      <w:r w:rsidR="008C440B">
        <w:rPr>
          <w:rFonts w:hint="eastAsia"/>
          <w:sz w:val="24"/>
          <w:szCs w:val="24"/>
        </w:rPr>
        <w:t>月</w:t>
      </w:r>
      <w:r>
        <w:rPr>
          <w:sz w:val="24"/>
          <w:szCs w:val="24"/>
        </w:rPr>
        <w:t>24</w:t>
      </w:r>
      <w:r w:rsidR="009A1368">
        <w:rPr>
          <w:rFonts w:hint="eastAsia"/>
          <w:sz w:val="24"/>
          <w:szCs w:val="24"/>
        </w:rPr>
        <w:t>日</w:t>
      </w:r>
    </w:p>
    <w:sectPr w:rsidR="00E532D5" w:rsidSect="00893D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245" w:rsidRDefault="00085245">
      <w:r>
        <w:separator/>
      </w:r>
    </w:p>
  </w:endnote>
  <w:endnote w:type="continuationSeparator" w:id="0">
    <w:p w:rsidR="00085245" w:rsidRDefault="000852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微软雅黑"/>
    <w:panose1 w:val="02010609030101010101"/>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245" w:rsidRDefault="00085245">
      <w:r>
        <w:separator/>
      </w:r>
    </w:p>
  </w:footnote>
  <w:footnote w:type="continuationSeparator" w:id="0">
    <w:p w:rsidR="00085245" w:rsidRDefault="000852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32D5"/>
    <w:rsid w:val="0003593E"/>
    <w:rsid w:val="00041F5A"/>
    <w:rsid w:val="000608A8"/>
    <w:rsid w:val="000654DB"/>
    <w:rsid w:val="00085245"/>
    <w:rsid w:val="000A2EDA"/>
    <w:rsid w:val="000C2A4D"/>
    <w:rsid w:val="000C50B7"/>
    <w:rsid w:val="000C5F6E"/>
    <w:rsid w:val="000C7C79"/>
    <w:rsid w:val="000E13A1"/>
    <w:rsid w:val="0010560A"/>
    <w:rsid w:val="0011168C"/>
    <w:rsid w:val="001267BC"/>
    <w:rsid w:val="00127D12"/>
    <w:rsid w:val="00135457"/>
    <w:rsid w:val="0013574D"/>
    <w:rsid w:val="00162C90"/>
    <w:rsid w:val="001731B8"/>
    <w:rsid w:val="00173E82"/>
    <w:rsid w:val="00175182"/>
    <w:rsid w:val="001B58C2"/>
    <w:rsid w:val="001C24D2"/>
    <w:rsid w:val="001D70FD"/>
    <w:rsid w:val="001F4107"/>
    <w:rsid w:val="001F48DB"/>
    <w:rsid w:val="001F754D"/>
    <w:rsid w:val="00200CC7"/>
    <w:rsid w:val="00206A64"/>
    <w:rsid w:val="002204FC"/>
    <w:rsid w:val="00235075"/>
    <w:rsid w:val="00245EE2"/>
    <w:rsid w:val="002551AC"/>
    <w:rsid w:val="002E1EA7"/>
    <w:rsid w:val="002F057F"/>
    <w:rsid w:val="002F2B25"/>
    <w:rsid w:val="00302653"/>
    <w:rsid w:val="00305EF6"/>
    <w:rsid w:val="003206A5"/>
    <w:rsid w:val="00333982"/>
    <w:rsid w:val="00341740"/>
    <w:rsid w:val="003464F5"/>
    <w:rsid w:val="003567A1"/>
    <w:rsid w:val="003605FC"/>
    <w:rsid w:val="003644B1"/>
    <w:rsid w:val="003A7F59"/>
    <w:rsid w:val="003B6AB7"/>
    <w:rsid w:val="003D422A"/>
    <w:rsid w:val="0041789D"/>
    <w:rsid w:val="004230CA"/>
    <w:rsid w:val="0044017C"/>
    <w:rsid w:val="00444D6E"/>
    <w:rsid w:val="00456D71"/>
    <w:rsid w:val="00466E78"/>
    <w:rsid w:val="00482097"/>
    <w:rsid w:val="0049160F"/>
    <w:rsid w:val="004C6F5E"/>
    <w:rsid w:val="004C7B03"/>
    <w:rsid w:val="004D2E12"/>
    <w:rsid w:val="004D3F83"/>
    <w:rsid w:val="004E0CBC"/>
    <w:rsid w:val="004E3180"/>
    <w:rsid w:val="00500EE6"/>
    <w:rsid w:val="00537CE9"/>
    <w:rsid w:val="00545A75"/>
    <w:rsid w:val="00554C44"/>
    <w:rsid w:val="00557F44"/>
    <w:rsid w:val="0058051F"/>
    <w:rsid w:val="00591B49"/>
    <w:rsid w:val="005A5810"/>
    <w:rsid w:val="005B4157"/>
    <w:rsid w:val="005E465E"/>
    <w:rsid w:val="00613D8A"/>
    <w:rsid w:val="00623DEF"/>
    <w:rsid w:val="00631ACF"/>
    <w:rsid w:val="00640F4D"/>
    <w:rsid w:val="0064280C"/>
    <w:rsid w:val="0067778C"/>
    <w:rsid w:val="006870B3"/>
    <w:rsid w:val="006B1435"/>
    <w:rsid w:val="006E2180"/>
    <w:rsid w:val="006E2295"/>
    <w:rsid w:val="006E24B6"/>
    <w:rsid w:val="006E2D80"/>
    <w:rsid w:val="006E3EAF"/>
    <w:rsid w:val="006F37E9"/>
    <w:rsid w:val="00700CB7"/>
    <w:rsid w:val="00706204"/>
    <w:rsid w:val="00746EBF"/>
    <w:rsid w:val="00755909"/>
    <w:rsid w:val="007650BD"/>
    <w:rsid w:val="00790871"/>
    <w:rsid w:val="007A7735"/>
    <w:rsid w:val="007C52DD"/>
    <w:rsid w:val="007D140A"/>
    <w:rsid w:val="007E0A79"/>
    <w:rsid w:val="007E5891"/>
    <w:rsid w:val="007E650D"/>
    <w:rsid w:val="007F0811"/>
    <w:rsid w:val="0082493C"/>
    <w:rsid w:val="0083223E"/>
    <w:rsid w:val="008430CA"/>
    <w:rsid w:val="00843AA9"/>
    <w:rsid w:val="00843DC9"/>
    <w:rsid w:val="00844991"/>
    <w:rsid w:val="00856E6D"/>
    <w:rsid w:val="00891E9D"/>
    <w:rsid w:val="00893D2A"/>
    <w:rsid w:val="008B67D8"/>
    <w:rsid w:val="008C440B"/>
    <w:rsid w:val="008C535E"/>
    <w:rsid w:val="008D4673"/>
    <w:rsid w:val="008D76D1"/>
    <w:rsid w:val="00921BFE"/>
    <w:rsid w:val="00936C58"/>
    <w:rsid w:val="00957A82"/>
    <w:rsid w:val="009650D2"/>
    <w:rsid w:val="00995654"/>
    <w:rsid w:val="009A1368"/>
    <w:rsid w:val="009A3751"/>
    <w:rsid w:val="009F67E0"/>
    <w:rsid w:val="00A14804"/>
    <w:rsid w:val="00A24912"/>
    <w:rsid w:val="00A422F1"/>
    <w:rsid w:val="00A476BC"/>
    <w:rsid w:val="00A55A2B"/>
    <w:rsid w:val="00A57391"/>
    <w:rsid w:val="00A625D7"/>
    <w:rsid w:val="00A677A0"/>
    <w:rsid w:val="00A72120"/>
    <w:rsid w:val="00AA13BB"/>
    <w:rsid w:val="00AC3EC7"/>
    <w:rsid w:val="00AC6E3B"/>
    <w:rsid w:val="00AE2637"/>
    <w:rsid w:val="00AF01C3"/>
    <w:rsid w:val="00AF2137"/>
    <w:rsid w:val="00AF446D"/>
    <w:rsid w:val="00AF49D6"/>
    <w:rsid w:val="00AF7D00"/>
    <w:rsid w:val="00B054C3"/>
    <w:rsid w:val="00B2030D"/>
    <w:rsid w:val="00B47362"/>
    <w:rsid w:val="00B50F26"/>
    <w:rsid w:val="00B6705A"/>
    <w:rsid w:val="00B86BEF"/>
    <w:rsid w:val="00BC3F42"/>
    <w:rsid w:val="00BC7A6C"/>
    <w:rsid w:val="00BD0621"/>
    <w:rsid w:val="00BD0BA6"/>
    <w:rsid w:val="00BD5FE2"/>
    <w:rsid w:val="00BE13C8"/>
    <w:rsid w:val="00BE56D9"/>
    <w:rsid w:val="00BF7A30"/>
    <w:rsid w:val="00C222A8"/>
    <w:rsid w:val="00C24B6B"/>
    <w:rsid w:val="00C82E4B"/>
    <w:rsid w:val="00CA3090"/>
    <w:rsid w:val="00CA3748"/>
    <w:rsid w:val="00CB4742"/>
    <w:rsid w:val="00CF2F12"/>
    <w:rsid w:val="00D26DF6"/>
    <w:rsid w:val="00D32F50"/>
    <w:rsid w:val="00D4308C"/>
    <w:rsid w:val="00D5780B"/>
    <w:rsid w:val="00D6429B"/>
    <w:rsid w:val="00D77064"/>
    <w:rsid w:val="00D91025"/>
    <w:rsid w:val="00DC5DA3"/>
    <w:rsid w:val="00DE63D4"/>
    <w:rsid w:val="00DF4151"/>
    <w:rsid w:val="00E06BAF"/>
    <w:rsid w:val="00E1206D"/>
    <w:rsid w:val="00E12FE8"/>
    <w:rsid w:val="00E22DE2"/>
    <w:rsid w:val="00E26843"/>
    <w:rsid w:val="00E27F40"/>
    <w:rsid w:val="00E30B4A"/>
    <w:rsid w:val="00E529D0"/>
    <w:rsid w:val="00E532D5"/>
    <w:rsid w:val="00E722B9"/>
    <w:rsid w:val="00E7383B"/>
    <w:rsid w:val="00E829C6"/>
    <w:rsid w:val="00E92C42"/>
    <w:rsid w:val="00E92EFB"/>
    <w:rsid w:val="00ED363E"/>
    <w:rsid w:val="00ED6C30"/>
    <w:rsid w:val="00F063C4"/>
    <w:rsid w:val="00F22D3A"/>
    <w:rsid w:val="00F336DB"/>
    <w:rsid w:val="00F70FF7"/>
    <w:rsid w:val="00F9427D"/>
    <w:rsid w:val="00FA4B20"/>
    <w:rsid w:val="00FC4DE7"/>
    <w:rsid w:val="00FE1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3D2A"/>
    <w:rPr>
      <w:sz w:val="18"/>
      <w:szCs w:val="18"/>
    </w:rPr>
  </w:style>
  <w:style w:type="paragraph" w:styleId="a4">
    <w:name w:val="footer"/>
    <w:basedOn w:val="a"/>
    <w:link w:val="Char0"/>
    <w:uiPriority w:val="99"/>
    <w:unhideWhenUsed/>
    <w:rsid w:val="00893D2A"/>
    <w:pPr>
      <w:tabs>
        <w:tab w:val="center" w:pos="4153"/>
        <w:tab w:val="right" w:pos="8306"/>
      </w:tabs>
      <w:snapToGrid w:val="0"/>
      <w:jc w:val="left"/>
    </w:pPr>
    <w:rPr>
      <w:sz w:val="18"/>
      <w:szCs w:val="18"/>
    </w:rPr>
  </w:style>
  <w:style w:type="character" w:customStyle="1" w:styleId="Char0">
    <w:name w:val="页脚 Char"/>
    <w:basedOn w:val="a0"/>
    <w:link w:val="a4"/>
    <w:uiPriority w:val="99"/>
    <w:rsid w:val="00893D2A"/>
    <w:rPr>
      <w:sz w:val="18"/>
      <w:szCs w:val="18"/>
    </w:rPr>
  </w:style>
  <w:style w:type="table" w:styleId="a5">
    <w:name w:val="Table Grid"/>
    <w:basedOn w:val="a1"/>
    <w:uiPriority w:val="59"/>
    <w:rsid w:val="00893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893D2A"/>
    <w:rPr>
      <w:rFonts w:ascii="楷体_GB2312" w:eastAsia="楷体_GB2312" w:hint="eastAsia"/>
      <w:b w:val="0"/>
      <w:bCs w:val="0"/>
      <w:i w:val="0"/>
      <w:iCs w:val="0"/>
      <w:color w:val="000000"/>
      <w:sz w:val="24"/>
      <w:szCs w:val="24"/>
    </w:rPr>
  </w:style>
  <w:style w:type="paragraph" w:styleId="a6">
    <w:name w:val="Balloon Text"/>
    <w:basedOn w:val="a"/>
    <w:link w:val="Char1"/>
    <w:uiPriority w:val="99"/>
    <w:semiHidden/>
    <w:unhideWhenUsed/>
    <w:rsid w:val="00893D2A"/>
    <w:rPr>
      <w:sz w:val="18"/>
      <w:szCs w:val="18"/>
    </w:rPr>
  </w:style>
  <w:style w:type="character" w:customStyle="1" w:styleId="Char1">
    <w:name w:val="批注框文本 Char"/>
    <w:basedOn w:val="a0"/>
    <w:link w:val="a6"/>
    <w:uiPriority w:val="99"/>
    <w:semiHidden/>
    <w:rsid w:val="00893D2A"/>
    <w:rPr>
      <w:sz w:val="18"/>
      <w:szCs w:val="18"/>
    </w:rPr>
  </w:style>
  <w:style w:type="paragraph" w:styleId="a7">
    <w:name w:val="Revision"/>
    <w:hidden/>
    <w:uiPriority w:val="99"/>
    <w:semiHidden/>
    <w:rsid w:val="00893D2A"/>
  </w:style>
  <w:style w:type="paragraph" w:styleId="a8">
    <w:name w:val="Title"/>
    <w:basedOn w:val="a"/>
    <w:next w:val="a"/>
    <w:link w:val="Char2"/>
    <w:uiPriority w:val="10"/>
    <w:qFormat/>
    <w:rsid w:val="00893D2A"/>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8"/>
    <w:uiPriority w:val="10"/>
    <w:rsid w:val="00893D2A"/>
    <w:rPr>
      <w:rFonts w:asciiTheme="majorHAnsi" w:eastAsia="宋体" w:hAnsiTheme="majorHAnsi" w:cstheme="majorBidi"/>
      <w:b/>
      <w:bCs/>
      <w:sz w:val="32"/>
      <w:szCs w:val="32"/>
    </w:rPr>
  </w:style>
  <w:style w:type="character" w:customStyle="1" w:styleId="highlight">
    <w:name w:val="highlight"/>
    <w:basedOn w:val="a0"/>
    <w:rsid w:val="00BD0621"/>
  </w:style>
  <w:style w:type="character" w:styleId="a9">
    <w:name w:val="annotation reference"/>
    <w:basedOn w:val="a0"/>
    <w:uiPriority w:val="99"/>
    <w:semiHidden/>
    <w:unhideWhenUsed/>
    <w:rsid w:val="007C52DD"/>
    <w:rPr>
      <w:sz w:val="21"/>
      <w:szCs w:val="21"/>
    </w:rPr>
  </w:style>
  <w:style w:type="paragraph" w:styleId="aa">
    <w:name w:val="annotation text"/>
    <w:basedOn w:val="a"/>
    <w:link w:val="Char3"/>
    <w:uiPriority w:val="99"/>
    <w:semiHidden/>
    <w:unhideWhenUsed/>
    <w:rsid w:val="007C52DD"/>
    <w:pPr>
      <w:jc w:val="left"/>
    </w:pPr>
  </w:style>
  <w:style w:type="character" w:customStyle="1" w:styleId="Char3">
    <w:name w:val="批注文字 Char"/>
    <w:basedOn w:val="a0"/>
    <w:link w:val="aa"/>
    <w:uiPriority w:val="99"/>
    <w:semiHidden/>
    <w:rsid w:val="007C52DD"/>
  </w:style>
  <w:style w:type="paragraph" w:styleId="ab">
    <w:name w:val="annotation subject"/>
    <w:basedOn w:val="aa"/>
    <w:next w:val="aa"/>
    <w:link w:val="Char4"/>
    <w:uiPriority w:val="99"/>
    <w:semiHidden/>
    <w:unhideWhenUsed/>
    <w:rsid w:val="007C52DD"/>
    <w:rPr>
      <w:b/>
      <w:bCs/>
    </w:rPr>
  </w:style>
  <w:style w:type="character" w:customStyle="1" w:styleId="Char4">
    <w:name w:val="批注主题 Char"/>
    <w:basedOn w:val="Char3"/>
    <w:link w:val="ab"/>
    <w:uiPriority w:val="99"/>
    <w:semiHidden/>
    <w:rsid w:val="007C52DD"/>
    <w:rPr>
      <w:b/>
      <w:bCs/>
    </w:rPr>
  </w:style>
</w:styles>
</file>

<file path=word/webSettings.xml><?xml version="1.0" encoding="utf-8"?>
<w:webSettings xmlns:r="http://schemas.openxmlformats.org/officeDocument/2006/relationships" xmlns:w="http://schemas.openxmlformats.org/wordprocessingml/2006/main">
  <w:divs>
    <w:div w:id="142502368">
      <w:bodyDiv w:val="1"/>
      <w:marLeft w:val="0"/>
      <w:marRight w:val="0"/>
      <w:marTop w:val="0"/>
      <w:marBottom w:val="0"/>
      <w:divBdr>
        <w:top w:val="none" w:sz="0" w:space="0" w:color="auto"/>
        <w:left w:val="none" w:sz="0" w:space="0" w:color="auto"/>
        <w:bottom w:val="none" w:sz="0" w:space="0" w:color="auto"/>
        <w:right w:val="none" w:sz="0" w:space="0" w:color="auto"/>
      </w:divBdr>
    </w:div>
    <w:div w:id="164368668">
      <w:bodyDiv w:val="1"/>
      <w:marLeft w:val="0"/>
      <w:marRight w:val="0"/>
      <w:marTop w:val="0"/>
      <w:marBottom w:val="0"/>
      <w:divBdr>
        <w:top w:val="none" w:sz="0" w:space="0" w:color="auto"/>
        <w:left w:val="none" w:sz="0" w:space="0" w:color="auto"/>
        <w:bottom w:val="none" w:sz="0" w:space="0" w:color="auto"/>
        <w:right w:val="none" w:sz="0" w:space="0" w:color="auto"/>
      </w:divBdr>
    </w:div>
    <w:div w:id="311369158">
      <w:bodyDiv w:val="1"/>
      <w:marLeft w:val="0"/>
      <w:marRight w:val="0"/>
      <w:marTop w:val="0"/>
      <w:marBottom w:val="0"/>
      <w:divBdr>
        <w:top w:val="none" w:sz="0" w:space="0" w:color="auto"/>
        <w:left w:val="none" w:sz="0" w:space="0" w:color="auto"/>
        <w:bottom w:val="none" w:sz="0" w:space="0" w:color="auto"/>
        <w:right w:val="none" w:sz="0" w:space="0" w:color="auto"/>
      </w:divBdr>
    </w:div>
    <w:div w:id="462624694">
      <w:bodyDiv w:val="1"/>
      <w:marLeft w:val="0"/>
      <w:marRight w:val="0"/>
      <w:marTop w:val="0"/>
      <w:marBottom w:val="0"/>
      <w:divBdr>
        <w:top w:val="none" w:sz="0" w:space="0" w:color="auto"/>
        <w:left w:val="none" w:sz="0" w:space="0" w:color="auto"/>
        <w:bottom w:val="none" w:sz="0" w:space="0" w:color="auto"/>
        <w:right w:val="none" w:sz="0" w:space="0" w:color="auto"/>
      </w:divBdr>
    </w:div>
    <w:div w:id="561139094">
      <w:bodyDiv w:val="1"/>
      <w:marLeft w:val="0"/>
      <w:marRight w:val="0"/>
      <w:marTop w:val="0"/>
      <w:marBottom w:val="0"/>
      <w:divBdr>
        <w:top w:val="none" w:sz="0" w:space="0" w:color="auto"/>
        <w:left w:val="none" w:sz="0" w:space="0" w:color="auto"/>
        <w:bottom w:val="none" w:sz="0" w:space="0" w:color="auto"/>
        <w:right w:val="none" w:sz="0" w:space="0" w:color="auto"/>
      </w:divBdr>
    </w:div>
    <w:div w:id="609243941">
      <w:bodyDiv w:val="1"/>
      <w:marLeft w:val="0"/>
      <w:marRight w:val="0"/>
      <w:marTop w:val="0"/>
      <w:marBottom w:val="0"/>
      <w:divBdr>
        <w:top w:val="none" w:sz="0" w:space="0" w:color="auto"/>
        <w:left w:val="none" w:sz="0" w:space="0" w:color="auto"/>
        <w:bottom w:val="none" w:sz="0" w:space="0" w:color="auto"/>
        <w:right w:val="none" w:sz="0" w:space="0" w:color="auto"/>
      </w:divBdr>
    </w:div>
    <w:div w:id="696538228">
      <w:bodyDiv w:val="1"/>
      <w:marLeft w:val="0"/>
      <w:marRight w:val="0"/>
      <w:marTop w:val="0"/>
      <w:marBottom w:val="0"/>
      <w:divBdr>
        <w:top w:val="none" w:sz="0" w:space="0" w:color="auto"/>
        <w:left w:val="none" w:sz="0" w:space="0" w:color="auto"/>
        <w:bottom w:val="none" w:sz="0" w:space="0" w:color="auto"/>
        <w:right w:val="none" w:sz="0" w:space="0" w:color="auto"/>
      </w:divBdr>
    </w:div>
    <w:div w:id="784347482">
      <w:bodyDiv w:val="1"/>
      <w:marLeft w:val="0"/>
      <w:marRight w:val="0"/>
      <w:marTop w:val="0"/>
      <w:marBottom w:val="0"/>
      <w:divBdr>
        <w:top w:val="none" w:sz="0" w:space="0" w:color="auto"/>
        <w:left w:val="none" w:sz="0" w:space="0" w:color="auto"/>
        <w:bottom w:val="none" w:sz="0" w:space="0" w:color="auto"/>
        <w:right w:val="none" w:sz="0" w:space="0" w:color="auto"/>
      </w:divBdr>
    </w:div>
    <w:div w:id="832986200">
      <w:bodyDiv w:val="1"/>
      <w:marLeft w:val="0"/>
      <w:marRight w:val="0"/>
      <w:marTop w:val="0"/>
      <w:marBottom w:val="0"/>
      <w:divBdr>
        <w:top w:val="none" w:sz="0" w:space="0" w:color="auto"/>
        <w:left w:val="none" w:sz="0" w:space="0" w:color="auto"/>
        <w:bottom w:val="none" w:sz="0" w:space="0" w:color="auto"/>
        <w:right w:val="none" w:sz="0" w:space="0" w:color="auto"/>
      </w:divBdr>
    </w:div>
    <w:div w:id="913927752">
      <w:bodyDiv w:val="1"/>
      <w:marLeft w:val="0"/>
      <w:marRight w:val="0"/>
      <w:marTop w:val="0"/>
      <w:marBottom w:val="0"/>
      <w:divBdr>
        <w:top w:val="none" w:sz="0" w:space="0" w:color="auto"/>
        <w:left w:val="none" w:sz="0" w:space="0" w:color="auto"/>
        <w:bottom w:val="none" w:sz="0" w:space="0" w:color="auto"/>
        <w:right w:val="none" w:sz="0" w:space="0" w:color="auto"/>
      </w:divBdr>
    </w:div>
    <w:div w:id="936134106">
      <w:bodyDiv w:val="1"/>
      <w:marLeft w:val="0"/>
      <w:marRight w:val="0"/>
      <w:marTop w:val="0"/>
      <w:marBottom w:val="0"/>
      <w:divBdr>
        <w:top w:val="none" w:sz="0" w:space="0" w:color="auto"/>
        <w:left w:val="none" w:sz="0" w:space="0" w:color="auto"/>
        <w:bottom w:val="none" w:sz="0" w:space="0" w:color="auto"/>
        <w:right w:val="none" w:sz="0" w:space="0" w:color="auto"/>
      </w:divBdr>
    </w:div>
    <w:div w:id="956910907">
      <w:bodyDiv w:val="1"/>
      <w:marLeft w:val="0"/>
      <w:marRight w:val="0"/>
      <w:marTop w:val="0"/>
      <w:marBottom w:val="0"/>
      <w:divBdr>
        <w:top w:val="none" w:sz="0" w:space="0" w:color="auto"/>
        <w:left w:val="none" w:sz="0" w:space="0" w:color="auto"/>
        <w:bottom w:val="none" w:sz="0" w:space="0" w:color="auto"/>
        <w:right w:val="none" w:sz="0" w:space="0" w:color="auto"/>
      </w:divBdr>
    </w:div>
    <w:div w:id="989479069">
      <w:bodyDiv w:val="1"/>
      <w:marLeft w:val="0"/>
      <w:marRight w:val="0"/>
      <w:marTop w:val="0"/>
      <w:marBottom w:val="0"/>
      <w:divBdr>
        <w:top w:val="none" w:sz="0" w:space="0" w:color="auto"/>
        <w:left w:val="none" w:sz="0" w:space="0" w:color="auto"/>
        <w:bottom w:val="none" w:sz="0" w:space="0" w:color="auto"/>
        <w:right w:val="none" w:sz="0" w:space="0" w:color="auto"/>
      </w:divBdr>
    </w:div>
    <w:div w:id="1229876844">
      <w:bodyDiv w:val="1"/>
      <w:marLeft w:val="0"/>
      <w:marRight w:val="0"/>
      <w:marTop w:val="0"/>
      <w:marBottom w:val="0"/>
      <w:divBdr>
        <w:top w:val="none" w:sz="0" w:space="0" w:color="auto"/>
        <w:left w:val="none" w:sz="0" w:space="0" w:color="auto"/>
        <w:bottom w:val="none" w:sz="0" w:space="0" w:color="auto"/>
        <w:right w:val="none" w:sz="0" w:space="0" w:color="auto"/>
      </w:divBdr>
    </w:div>
    <w:div w:id="1284072495">
      <w:bodyDiv w:val="1"/>
      <w:marLeft w:val="0"/>
      <w:marRight w:val="0"/>
      <w:marTop w:val="0"/>
      <w:marBottom w:val="0"/>
      <w:divBdr>
        <w:top w:val="none" w:sz="0" w:space="0" w:color="auto"/>
        <w:left w:val="none" w:sz="0" w:space="0" w:color="auto"/>
        <w:bottom w:val="none" w:sz="0" w:space="0" w:color="auto"/>
        <w:right w:val="none" w:sz="0" w:space="0" w:color="auto"/>
      </w:divBdr>
    </w:div>
    <w:div w:id="1446389774">
      <w:bodyDiv w:val="1"/>
      <w:marLeft w:val="0"/>
      <w:marRight w:val="0"/>
      <w:marTop w:val="0"/>
      <w:marBottom w:val="0"/>
      <w:divBdr>
        <w:top w:val="none" w:sz="0" w:space="0" w:color="auto"/>
        <w:left w:val="none" w:sz="0" w:space="0" w:color="auto"/>
        <w:bottom w:val="none" w:sz="0" w:space="0" w:color="auto"/>
        <w:right w:val="none" w:sz="0" w:space="0" w:color="auto"/>
      </w:divBdr>
    </w:div>
    <w:div w:id="1447575281">
      <w:bodyDiv w:val="1"/>
      <w:marLeft w:val="0"/>
      <w:marRight w:val="0"/>
      <w:marTop w:val="0"/>
      <w:marBottom w:val="0"/>
      <w:divBdr>
        <w:top w:val="none" w:sz="0" w:space="0" w:color="auto"/>
        <w:left w:val="none" w:sz="0" w:space="0" w:color="auto"/>
        <w:bottom w:val="none" w:sz="0" w:space="0" w:color="auto"/>
        <w:right w:val="none" w:sz="0" w:space="0" w:color="auto"/>
      </w:divBdr>
    </w:div>
    <w:div w:id="1579249970">
      <w:bodyDiv w:val="1"/>
      <w:marLeft w:val="0"/>
      <w:marRight w:val="0"/>
      <w:marTop w:val="0"/>
      <w:marBottom w:val="0"/>
      <w:divBdr>
        <w:top w:val="none" w:sz="0" w:space="0" w:color="auto"/>
        <w:left w:val="none" w:sz="0" w:space="0" w:color="auto"/>
        <w:bottom w:val="none" w:sz="0" w:space="0" w:color="auto"/>
        <w:right w:val="none" w:sz="0" w:space="0" w:color="auto"/>
      </w:divBdr>
    </w:div>
    <w:div w:id="1580824853">
      <w:bodyDiv w:val="1"/>
      <w:marLeft w:val="0"/>
      <w:marRight w:val="0"/>
      <w:marTop w:val="0"/>
      <w:marBottom w:val="0"/>
      <w:divBdr>
        <w:top w:val="none" w:sz="0" w:space="0" w:color="auto"/>
        <w:left w:val="none" w:sz="0" w:space="0" w:color="auto"/>
        <w:bottom w:val="none" w:sz="0" w:space="0" w:color="auto"/>
        <w:right w:val="none" w:sz="0" w:space="0" w:color="auto"/>
      </w:divBdr>
    </w:div>
    <w:div w:id="1585797875">
      <w:bodyDiv w:val="1"/>
      <w:marLeft w:val="0"/>
      <w:marRight w:val="0"/>
      <w:marTop w:val="0"/>
      <w:marBottom w:val="0"/>
      <w:divBdr>
        <w:top w:val="none" w:sz="0" w:space="0" w:color="auto"/>
        <w:left w:val="none" w:sz="0" w:space="0" w:color="auto"/>
        <w:bottom w:val="none" w:sz="0" w:space="0" w:color="auto"/>
        <w:right w:val="none" w:sz="0" w:space="0" w:color="auto"/>
      </w:divBdr>
    </w:div>
    <w:div w:id="1676492934">
      <w:bodyDiv w:val="1"/>
      <w:marLeft w:val="0"/>
      <w:marRight w:val="0"/>
      <w:marTop w:val="0"/>
      <w:marBottom w:val="0"/>
      <w:divBdr>
        <w:top w:val="none" w:sz="0" w:space="0" w:color="auto"/>
        <w:left w:val="none" w:sz="0" w:space="0" w:color="auto"/>
        <w:bottom w:val="none" w:sz="0" w:space="0" w:color="auto"/>
        <w:right w:val="none" w:sz="0" w:space="0" w:color="auto"/>
      </w:divBdr>
    </w:div>
    <w:div w:id="1833568619">
      <w:bodyDiv w:val="1"/>
      <w:marLeft w:val="0"/>
      <w:marRight w:val="0"/>
      <w:marTop w:val="0"/>
      <w:marBottom w:val="0"/>
      <w:divBdr>
        <w:top w:val="none" w:sz="0" w:space="0" w:color="auto"/>
        <w:left w:val="none" w:sz="0" w:space="0" w:color="auto"/>
        <w:bottom w:val="none" w:sz="0" w:space="0" w:color="auto"/>
        <w:right w:val="none" w:sz="0" w:space="0" w:color="auto"/>
      </w:divBdr>
    </w:div>
    <w:div w:id="1843012613">
      <w:bodyDiv w:val="1"/>
      <w:marLeft w:val="0"/>
      <w:marRight w:val="0"/>
      <w:marTop w:val="0"/>
      <w:marBottom w:val="0"/>
      <w:divBdr>
        <w:top w:val="none" w:sz="0" w:space="0" w:color="auto"/>
        <w:left w:val="none" w:sz="0" w:space="0" w:color="auto"/>
        <w:bottom w:val="none" w:sz="0" w:space="0" w:color="auto"/>
        <w:right w:val="none" w:sz="0" w:space="0" w:color="auto"/>
      </w:divBdr>
    </w:div>
    <w:div w:id="1852524928">
      <w:bodyDiv w:val="1"/>
      <w:marLeft w:val="0"/>
      <w:marRight w:val="0"/>
      <w:marTop w:val="0"/>
      <w:marBottom w:val="0"/>
      <w:divBdr>
        <w:top w:val="none" w:sz="0" w:space="0" w:color="auto"/>
        <w:left w:val="none" w:sz="0" w:space="0" w:color="auto"/>
        <w:bottom w:val="none" w:sz="0" w:space="0" w:color="auto"/>
        <w:right w:val="none" w:sz="0" w:space="0" w:color="auto"/>
      </w:divBdr>
    </w:div>
    <w:div w:id="2031832190">
      <w:bodyDiv w:val="1"/>
      <w:marLeft w:val="0"/>
      <w:marRight w:val="0"/>
      <w:marTop w:val="0"/>
      <w:marBottom w:val="0"/>
      <w:divBdr>
        <w:top w:val="none" w:sz="0" w:space="0" w:color="auto"/>
        <w:left w:val="none" w:sz="0" w:space="0" w:color="auto"/>
        <w:bottom w:val="none" w:sz="0" w:space="0" w:color="auto"/>
        <w:right w:val="none" w:sz="0" w:space="0" w:color="auto"/>
      </w:divBdr>
    </w:div>
    <w:div w:id="2058771355">
      <w:bodyDiv w:val="1"/>
      <w:marLeft w:val="0"/>
      <w:marRight w:val="0"/>
      <w:marTop w:val="0"/>
      <w:marBottom w:val="0"/>
      <w:divBdr>
        <w:top w:val="none" w:sz="0" w:space="0" w:color="auto"/>
        <w:left w:val="none" w:sz="0" w:space="0" w:color="auto"/>
        <w:bottom w:val="none" w:sz="0" w:space="0" w:color="auto"/>
        <w:right w:val="none" w:sz="0" w:space="0" w:color="auto"/>
      </w:divBdr>
    </w:div>
    <w:div w:id="2072534595">
      <w:bodyDiv w:val="1"/>
      <w:marLeft w:val="0"/>
      <w:marRight w:val="0"/>
      <w:marTop w:val="0"/>
      <w:marBottom w:val="0"/>
      <w:divBdr>
        <w:top w:val="none" w:sz="0" w:space="0" w:color="auto"/>
        <w:left w:val="none" w:sz="0" w:space="0" w:color="auto"/>
        <w:bottom w:val="none" w:sz="0" w:space="0" w:color="auto"/>
        <w:right w:val="none" w:sz="0" w:space="0" w:color="auto"/>
      </w:divBdr>
    </w:div>
    <w:div w:id="2093695723">
      <w:bodyDiv w:val="1"/>
      <w:marLeft w:val="0"/>
      <w:marRight w:val="0"/>
      <w:marTop w:val="0"/>
      <w:marBottom w:val="0"/>
      <w:divBdr>
        <w:top w:val="none" w:sz="0" w:space="0" w:color="auto"/>
        <w:left w:val="none" w:sz="0" w:space="0" w:color="auto"/>
        <w:bottom w:val="none" w:sz="0" w:space="0" w:color="auto"/>
        <w:right w:val="none" w:sz="0" w:space="0" w:color="auto"/>
      </w:divBdr>
    </w:div>
    <w:div w:id="2098940267">
      <w:bodyDiv w:val="1"/>
      <w:marLeft w:val="0"/>
      <w:marRight w:val="0"/>
      <w:marTop w:val="0"/>
      <w:marBottom w:val="0"/>
      <w:divBdr>
        <w:top w:val="none" w:sz="0" w:space="0" w:color="auto"/>
        <w:left w:val="none" w:sz="0" w:space="0" w:color="auto"/>
        <w:bottom w:val="none" w:sz="0" w:space="0" w:color="auto"/>
        <w:right w:val="none" w:sz="0" w:space="0" w:color="auto"/>
      </w:divBdr>
    </w:div>
    <w:div w:id="21091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F634-235C-4F83-BEAF-53FFDBD6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1920</Characters>
  <Application>Microsoft Office Word</Application>
  <DocSecurity>4</DocSecurity>
  <Lines>16</Lines>
  <Paragraphs>4</Paragraphs>
  <ScaleCrop>false</ScaleCrop>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张晙菂(Zhang Junde)</dc:creator>
  <cp:lastModifiedBy>ZHONGM</cp:lastModifiedBy>
  <cp:revision>2</cp:revision>
  <cp:lastPrinted>2020-12-30T08:56:00Z</cp:lastPrinted>
  <dcterms:created xsi:type="dcterms:W3CDTF">2024-10-23T16:00:00Z</dcterms:created>
  <dcterms:modified xsi:type="dcterms:W3CDTF">2024-10-23T16:00:00Z</dcterms:modified>
</cp:coreProperties>
</file>