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D7" w:rsidRPr="00337343" w:rsidRDefault="004F65D7" w:rsidP="004F65D7">
      <w:pPr>
        <w:spacing w:line="480" w:lineRule="exact"/>
        <w:jc w:val="center"/>
        <w:rPr>
          <w:rFonts w:ascii="宋体" w:hAnsi="宋体"/>
          <w:b/>
          <w:bCs/>
          <w:color w:val="000000"/>
          <w:sz w:val="28"/>
          <w:szCs w:val="28"/>
        </w:rPr>
      </w:pPr>
      <w:r w:rsidRPr="00337343">
        <w:rPr>
          <w:rFonts w:ascii="宋体" w:hAnsi="宋体" w:hint="eastAsia"/>
          <w:b/>
          <w:bCs/>
          <w:color w:val="000000"/>
          <w:sz w:val="28"/>
          <w:szCs w:val="28"/>
        </w:rPr>
        <w:t>睿远基金管理有限公司关于旗下</w:t>
      </w:r>
      <w:r w:rsidR="00A71EBD" w:rsidRPr="00337343">
        <w:rPr>
          <w:rFonts w:ascii="宋体" w:hAnsi="宋体" w:hint="eastAsia"/>
          <w:b/>
          <w:bCs/>
          <w:color w:val="000000"/>
          <w:sz w:val="28"/>
          <w:szCs w:val="28"/>
        </w:rPr>
        <w:t>公开募集</w:t>
      </w:r>
      <w:r w:rsidRPr="00337343">
        <w:rPr>
          <w:rFonts w:ascii="宋体" w:hAnsi="宋体" w:hint="eastAsia"/>
          <w:b/>
          <w:bCs/>
          <w:color w:val="000000"/>
          <w:sz w:val="28"/>
          <w:szCs w:val="28"/>
        </w:rPr>
        <w:t>证券投资基金开通同一基金不同类别份额转换业务的公告</w:t>
      </w:r>
    </w:p>
    <w:p w:rsidR="00A71EBD" w:rsidRPr="00337343" w:rsidRDefault="00A71EBD" w:rsidP="00AA797A">
      <w:pPr>
        <w:spacing w:before="240"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为满足广大投资者的理财需求，睿远基金管理有限公司（以下简称“本公司”）决定从2024年</w:t>
      </w:r>
      <w:r w:rsidR="00DC33E8" w:rsidRPr="00337343">
        <w:rPr>
          <w:rFonts w:ascii="宋体" w:hAnsi="宋体"/>
          <w:bCs/>
          <w:color w:val="000000"/>
          <w:sz w:val="24"/>
          <w:szCs w:val="28"/>
        </w:rPr>
        <w:t>10</w:t>
      </w:r>
      <w:r w:rsidRPr="00337343">
        <w:rPr>
          <w:rFonts w:ascii="宋体" w:hAnsi="宋体" w:hint="eastAsia"/>
          <w:bCs/>
          <w:color w:val="000000"/>
          <w:sz w:val="24"/>
          <w:szCs w:val="28"/>
        </w:rPr>
        <w:t>月</w:t>
      </w:r>
      <w:r w:rsidR="00DC33E8" w:rsidRPr="00337343">
        <w:rPr>
          <w:rFonts w:ascii="宋体" w:hAnsi="宋体"/>
          <w:bCs/>
          <w:color w:val="000000"/>
          <w:sz w:val="24"/>
          <w:szCs w:val="28"/>
        </w:rPr>
        <w:t>23</w:t>
      </w:r>
      <w:r w:rsidRPr="00337343">
        <w:rPr>
          <w:rFonts w:ascii="宋体" w:hAnsi="宋体" w:hint="eastAsia"/>
          <w:bCs/>
          <w:color w:val="000000"/>
          <w:sz w:val="24"/>
          <w:szCs w:val="28"/>
        </w:rPr>
        <w:t>日起，对本公司旗下公开募集证券投资基金开通同一基金不同类别基金份额之间的转换业务。现将有关事项公告如下：</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一、业务规则</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1、不同类别基金份额之间的转换业务（以下简称“本业务”）是指：</w:t>
      </w:r>
      <w:r w:rsidRPr="00337343">
        <w:rPr>
          <w:rFonts w:ascii="宋体" w:hAnsi="宋体"/>
          <w:b/>
          <w:bCs/>
          <w:color w:val="000000"/>
          <w:sz w:val="24"/>
          <w:szCs w:val="28"/>
        </w:rPr>
        <w:t>若投资者持有的某只基金产品具有两种或两种以上份额类别（基金代码不同），投资者可以将其持有的某一类份额转换成同只基金的另一类份额，转换规则遵从注册登记机构业务规则。</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2、转换费用的计算</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（1）基金转换业务需要收取一定的转换费。基金转换费用由转出基金份额的基金份额持有人承担，在基金份额持有人进行基金转换时收取。</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2）基金转换费用按照转出基金的赎回费用加上转出基金与转入基金申购费用补差的标准收取。当转出基金申购费率低于转入基金申购费率时，费用补差为基于转出基金金额计算的申购费用差额；当转出基金申购费率不低于转入基金申购费率时，不收取费用补差。具体公式如下：</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转出金额＝转出份额×转出基金当日该类基金份额净值</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转出基金赎回费用＝转出份额×转出基金当日该类基金份额净值×转出基金赎回手续费率</w:t>
      </w:r>
    </w:p>
    <w:p w:rsidR="00A71EBD" w:rsidRPr="00337343" w:rsidRDefault="008A0C7E" w:rsidP="00A71EBD">
      <w:pPr>
        <w:spacing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申购</w:t>
      </w:r>
      <w:r w:rsidR="00A71EBD" w:rsidRPr="00337343">
        <w:rPr>
          <w:rFonts w:ascii="宋体" w:hAnsi="宋体"/>
          <w:bCs/>
          <w:color w:val="000000"/>
          <w:sz w:val="24"/>
          <w:szCs w:val="28"/>
        </w:rPr>
        <w:t>补差费＝</w:t>
      </w:r>
      <w:r w:rsidRPr="00337343">
        <w:rPr>
          <w:rFonts w:ascii="宋体" w:hAnsi="宋体"/>
          <w:sz w:val="24"/>
          <w:szCs w:val="24"/>
        </w:rPr>
        <w:t>（转出金额-转出基金赎回费用）×转入基金申购费率/（1+转入基金申购费率）-（转出金额-转出基金赎回费用）×转出基金申购费率/（1+转出基金申购费率）</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转换费用＝转出基金赎回费用＋</w:t>
      </w:r>
      <w:r w:rsidR="008A0C7E" w:rsidRPr="00337343">
        <w:rPr>
          <w:rFonts w:ascii="宋体" w:hAnsi="宋体" w:hint="eastAsia"/>
          <w:bCs/>
          <w:color w:val="000000"/>
          <w:sz w:val="24"/>
          <w:szCs w:val="28"/>
        </w:rPr>
        <w:t>申购</w:t>
      </w:r>
      <w:r w:rsidRPr="00337343">
        <w:rPr>
          <w:rFonts w:ascii="宋体" w:hAnsi="宋体"/>
          <w:bCs/>
          <w:color w:val="000000"/>
          <w:sz w:val="24"/>
          <w:szCs w:val="28"/>
        </w:rPr>
        <w:t>补差费</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转入金额＝转出金额－转换费用</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转入份额＝转入金额/转入基金当日该类基金份额净值</w:t>
      </w:r>
    </w:p>
    <w:p w:rsidR="008A28E8" w:rsidRPr="00337343" w:rsidRDefault="008A28E8" w:rsidP="00A71EBD">
      <w:pPr>
        <w:spacing w:line="360" w:lineRule="auto"/>
        <w:ind w:firstLineChars="200" w:firstLine="482"/>
        <w:jc w:val="left"/>
        <w:rPr>
          <w:rFonts w:ascii="宋体" w:hAnsi="宋体"/>
          <w:b/>
          <w:bCs/>
          <w:color w:val="000000"/>
          <w:sz w:val="24"/>
          <w:szCs w:val="28"/>
        </w:rPr>
      </w:pPr>
      <w:r w:rsidRPr="00337343">
        <w:rPr>
          <w:rFonts w:ascii="宋体" w:hAnsi="宋体" w:hint="eastAsia"/>
          <w:b/>
          <w:bCs/>
          <w:color w:val="000000"/>
          <w:sz w:val="24"/>
          <w:szCs w:val="28"/>
        </w:rPr>
        <w:t>若投资者持有基金份额超过一年</w:t>
      </w:r>
      <w:r w:rsidR="001D3FAE" w:rsidRPr="00337343">
        <w:rPr>
          <w:rFonts w:ascii="宋体" w:hAnsi="宋体" w:hint="eastAsia"/>
          <w:b/>
          <w:bCs/>
          <w:color w:val="000000"/>
          <w:sz w:val="24"/>
          <w:szCs w:val="28"/>
        </w:rPr>
        <w:t>（365天）</w:t>
      </w:r>
      <w:r w:rsidRPr="00337343">
        <w:rPr>
          <w:rFonts w:ascii="宋体" w:hAnsi="宋体" w:hint="eastAsia"/>
          <w:b/>
          <w:bCs/>
          <w:color w:val="000000"/>
          <w:sz w:val="24"/>
          <w:szCs w:val="28"/>
        </w:rPr>
        <w:t>后进行转出，该部分转出份额免收申购补差</w:t>
      </w:r>
      <w:r w:rsidR="00B723CF" w:rsidRPr="00337343">
        <w:rPr>
          <w:rFonts w:ascii="宋体" w:hAnsi="宋体" w:hint="eastAsia"/>
          <w:b/>
          <w:bCs/>
          <w:color w:val="000000"/>
          <w:sz w:val="24"/>
          <w:szCs w:val="28"/>
        </w:rPr>
        <w:t>费</w:t>
      </w:r>
      <w:r w:rsidRPr="00337343">
        <w:rPr>
          <w:rFonts w:ascii="宋体" w:hAnsi="宋体" w:hint="eastAsia"/>
          <w:b/>
          <w:bCs/>
          <w:color w:val="000000"/>
          <w:sz w:val="24"/>
          <w:szCs w:val="28"/>
        </w:rPr>
        <w:t>。</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3、转换业务基本规则</w:t>
      </w:r>
    </w:p>
    <w:p w:rsidR="008A28E8" w:rsidRPr="00337343" w:rsidRDefault="00A71EBD" w:rsidP="00A71EBD">
      <w:pPr>
        <w:spacing w:line="360" w:lineRule="auto"/>
        <w:ind w:firstLineChars="200" w:firstLine="480"/>
        <w:jc w:val="left"/>
        <w:rPr>
          <w:rFonts w:ascii="宋体" w:hAnsi="宋体"/>
          <w:b/>
          <w:bCs/>
          <w:color w:val="000000"/>
          <w:sz w:val="24"/>
          <w:szCs w:val="28"/>
        </w:rPr>
      </w:pPr>
      <w:r w:rsidRPr="00337343">
        <w:rPr>
          <w:rFonts w:ascii="宋体" w:hAnsi="宋体"/>
          <w:bCs/>
          <w:color w:val="000000"/>
          <w:sz w:val="24"/>
          <w:szCs w:val="28"/>
        </w:rPr>
        <w:lastRenderedPageBreak/>
        <w:t>（1）基金转换只能在同一销售机构进行。</w:t>
      </w:r>
      <w:r w:rsidR="00BA5489" w:rsidRPr="00337343">
        <w:rPr>
          <w:rFonts w:ascii="宋体" w:hAnsi="宋体" w:hint="eastAsia"/>
          <w:b/>
          <w:bCs/>
          <w:color w:val="000000"/>
          <w:sz w:val="24"/>
          <w:szCs w:val="28"/>
        </w:rPr>
        <w:t>转换后，转入基金份额类别的持有时间将延续转出基金份额类别的持有时间。</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（2）基金转换以份额为单位进行申请。投资者同一天可以发起多次基金转换业务，基金转换费用按每笔申请单独计算，计算结果按照四舍五入方法，保留小数点后两位。</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（3）基金转换采取未知价法，即基金的转换价格以转换申请受理当日各转出、转入基金的份额净值为基准进行计算。</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（4）基金份额持有人可将其全部或部分基金份额转换成另一</w:t>
      </w:r>
      <w:r w:rsidR="00AA797A" w:rsidRPr="00337343">
        <w:rPr>
          <w:rFonts w:ascii="宋体" w:hAnsi="宋体" w:hint="eastAsia"/>
          <w:bCs/>
          <w:color w:val="000000"/>
          <w:sz w:val="24"/>
          <w:szCs w:val="28"/>
        </w:rPr>
        <w:t>类别</w:t>
      </w:r>
      <w:r w:rsidRPr="00337343">
        <w:rPr>
          <w:rFonts w:ascii="宋体" w:hAnsi="宋体"/>
          <w:bCs/>
          <w:color w:val="000000"/>
          <w:sz w:val="24"/>
          <w:szCs w:val="28"/>
        </w:rPr>
        <w:t>基金份额，每类基金份额单笔转出申请不得少于</w:t>
      </w:r>
      <w:r w:rsidR="008A28E8" w:rsidRPr="00337343">
        <w:rPr>
          <w:rFonts w:ascii="宋体" w:hAnsi="宋体"/>
          <w:bCs/>
          <w:color w:val="000000"/>
          <w:sz w:val="24"/>
          <w:szCs w:val="28"/>
        </w:rPr>
        <w:t>1</w:t>
      </w:r>
      <w:r w:rsidRPr="00337343">
        <w:rPr>
          <w:rFonts w:ascii="宋体" w:hAnsi="宋体"/>
          <w:bCs/>
          <w:color w:val="000000"/>
          <w:sz w:val="24"/>
          <w:szCs w:val="28"/>
        </w:rPr>
        <w:t>份（如该账户在该销售机构托管的该类基金份额余额不足1份，则必须一次性转出该类基金全部份额）；若某笔转换导致投资者在该销售机构托管的该类基金份额余额低于该类基金份额在《招募说明书》（含更新）或相关公告中约定的最低保有份额时，本公司有权将投资者在该销售机构托管的该类基金剩余份额一次性全部赎回。</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（5）</w:t>
      </w:r>
      <w:r w:rsidRPr="00337343">
        <w:rPr>
          <w:rFonts w:ascii="宋体" w:hAnsi="宋体"/>
          <w:b/>
          <w:bCs/>
          <w:color w:val="000000"/>
          <w:sz w:val="24"/>
          <w:szCs w:val="28"/>
        </w:rPr>
        <w:t>投资者办理基金转换业务时，转出方的基金必须处于可赎回状态，转入方的基金必须处于可申购状态。</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（6）转换结果以注册登记机构的记录为准，转入份额的计算结果保留位数依照转入基金的《招募说明书》（含更新）的规定。由此误差产生的损失由基金财产承担，产生的收益归基金财产所有。</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（7）本公司旗下各基金的转换业务的解释权归本公司，本公司可以根据市场情况在不违反有关法律法规和基金合同的规定之前提下调整上述转换的业务规则及有关限制。</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二、适用销售渠道</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自2024年</w:t>
      </w:r>
      <w:r w:rsidR="00734F6F" w:rsidRPr="00337343">
        <w:rPr>
          <w:rFonts w:ascii="宋体" w:hAnsi="宋体"/>
          <w:bCs/>
          <w:color w:val="000000"/>
          <w:sz w:val="24"/>
          <w:szCs w:val="28"/>
        </w:rPr>
        <w:t>10</w:t>
      </w:r>
      <w:r w:rsidRPr="00337343">
        <w:rPr>
          <w:rFonts w:ascii="宋体" w:hAnsi="宋体"/>
          <w:bCs/>
          <w:color w:val="000000"/>
          <w:sz w:val="24"/>
          <w:szCs w:val="28"/>
        </w:rPr>
        <w:t>月</w:t>
      </w:r>
      <w:r w:rsidR="00734F6F" w:rsidRPr="00337343">
        <w:rPr>
          <w:rFonts w:ascii="宋体" w:hAnsi="宋体"/>
          <w:bCs/>
          <w:color w:val="000000"/>
          <w:sz w:val="24"/>
          <w:szCs w:val="28"/>
        </w:rPr>
        <w:t>23</w:t>
      </w:r>
      <w:r w:rsidRPr="00337343">
        <w:rPr>
          <w:rFonts w:ascii="宋体" w:hAnsi="宋体"/>
          <w:bCs/>
          <w:color w:val="000000"/>
          <w:sz w:val="24"/>
          <w:szCs w:val="28"/>
        </w:rPr>
        <w:t>日起，</w:t>
      </w:r>
      <w:r w:rsidRPr="00337343">
        <w:rPr>
          <w:rFonts w:ascii="宋体" w:hAnsi="宋体"/>
          <w:b/>
          <w:bCs/>
          <w:color w:val="000000"/>
          <w:sz w:val="24"/>
          <w:szCs w:val="28"/>
        </w:rPr>
        <w:t>投资者可以通过本基金管理人的直销</w:t>
      </w:r>
      <w:r w:rsidR="008A28E8" w:rsidRPr="00337343">
        <w:rPr>
          <w:rFonts w:ascii="宋体" w:hAnsi="宋体" w:hint="eastAsia"/>
          <w:b/>
          <w:bCs/>
          <w:color w:val="000000"/>
          <w:sz w:val="24"/>
          <w:szCs w:val="28"/>
        </w:rPr>
        <w:t>渠道</w:t>
      </w:r>
      <w:r w:rsidRPr="00337343">
        <w:rPr>
          <w:rFonts w:ascii="宋体" w:hAnsi="宋体"/>
          <w:b/>
          <w:bCs/>
          <w:color w:val="000000"/>
          <w:sz w:val="24"/>
          <w:szCs w:val="28"/>
        </w:rPr>
        <w:t>办理本业务，其他销售机构也可以参照执行，具体执行规则以各销售机构的相关规则为准。</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三、适用基金及基金份额类别范围</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本业务适用于本公司旗下</w:t>
      </w:r>
      <w:r w:rsidR="008A28E8" w:rsidRPr="00337343">
        <w:rPr>
          <w:rFonts w:ascii="宋体" w:hAnsi="宋体" w:hint="eastAsia"/>
          <w:bCs/>
          <w:color w:val="000000"/>
          <w:sz w:val="24"/>
          <w:szCs w:val="28"/>
        </w:rPr>
        <w:t>全部公开募集证券投资基金</w:t>
      </w:r>
      <w:r w:rsidRPr="00337343">
        <w:rPr>
          <w:rFonts w:ascii="宋体" w:hAnsi="宋体"/>
          <w:bCs/>
          <w:color w:val="000000"/>
          <w:sz w:val="24"/>
          <w:szCs w:val="28"/>
        </w:rPr>
        <w:t>（名单如下），本公司今后募集管理的</w:t>
      </w:r>
      <w:r w:rsidR="008A28E8" w:rsidRPr="00337343">
        <w:rPr>
          <w:rFonts w:ascii="宋体" w:hAnsi="宋体" w:hint="eastAsia"/>
          <w:bCs/>
          <w:color w:val="000000"/>
          <w:sz w:val="24"/>
          <w:szCs w:val="28"/>
        </w:rPr>
        <w:t>公开募集证券投资基金</w:t>
      </w:r>
      <w:r w:rsidRPr="00337343">
        <w:rPr>
          <w:rFonts w:ascii="宋体" w:hAnsi="宋体"/>
          <w:bCs/>
          <w:color w:val="000000"/>
          <w:sz w:val="24"/>
          <w:szCs w:val="28"/>
        </w:rPr>
        <w:t>将根据具体情况确定是否适用本业务，具体情况以相关公告为准。</w:t>
      </w:r>
    </w:p>
    <w:tbl>
      <w:tblPr>
        <w:tblStyle w:val="a3"/>
        <w:tblW w:w="0" w:type="auto"/>
        <w:tblLook w:val="04A0"/>
      </w:tblPr>
      <w:tblGrid>
        <w:gridCol w:w="846"/>
        <w:gridCol w:w="3969"/>
        <w:gridCol w:w="3481"/>
      </w:tblGrid>
      <w:tr w:rsidR="00A71EBD" w:rsidRPr="00337343" w:rsidTr="00BA5489">
        <w:tc>
          <w:tcPr>
            <w:tcW w:w="846"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lastRenderedPageBreak/>
              <w:t>序号</w:t>
            </w:r>
          </w:p>
        </w:tc>
        <w:tc>
          <w:tcPr>
            <w:tcW w:w="3969"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t>基金名称</w:t>
            </w:r>
          </w:p>
        </w:tc>
        <w:tc>
          <w:tcPr>
            <w:tcW w:w="3481"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t>基金代码</w:t>
            </w:r>
          </w:p>
        </w:tc>
      </w:tr>
      <w:tr w:rsidR="00A71EBD" w:rsidRPr="00337343" w:rsidTr="00BA5489">
        <w:tc>
          <w:tcPr>
            <w:tcW w:w="846" w:type="dxa"/>
          </w:tcPr>
          <w:p w:rsidR="00A71EBD"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1</w:t>
            </w:r>
          </w:p>
        </w:tc>
        <w:tc>
          <w:tcPr>
            <w:tcW w:w="3969" w:type="dxa"/>
          </w:tcPr>
          <w:p w:rsidR="00A71EBD"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睿远成长价值混合型证券投资基金</w:t>
            </w:r>
          </w:p>
        </w:tc>
        <w:tc>
          <w:tcPr>
            <w:tcW w:w="3481" w:type="dxa"/>
          </w:tcPr>
          <w:p w:rsidR="00A71EBD"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07119</w:t>
            </w:r>
            <w:r w:rsidRPr="00337343">
              <w:rPr>
                <w:rFonts w:ascii="宋体" w:hAnsi="宋体" w:hint="eastAsia"/>
                <w:bCs/>
                <w:color w:val="000000"/>
                <w:sz w:val="24"/>
                <w:szCs w:val="28"/>
              </w:rPr>
              <w:t>；C类：0</w:t>
            </w:r>
            <w:r w:rsidRPr="00337343">
              <w:rPr>
                <w:rFonts w:ascii="宋体" w:hAnsi="宋体"/>
                <w:bCs/>
                <w:color w:val="000000"/>
                <w:sz w:val="24"/>
                <w:szCs w:val="28"/>
              </w:rPr>
              <w:t>07120</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2</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睿远均衡价值三年持有期混合型证券投资基金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08969</w:t>
            </w:r>
            <w:r w:rsidRPr="00337343">
              <w:rPr>
                <w:rFonts w:ascii="宋体" w:hAnsi="宋体" w:hint="eastAsia"/>
                <w:bCs/>
                <w:color w:val="000000"/>
                <w:sz w:val="24"/>
                <w:szCs w:val="28"/>
              </w:rPr>
              <w:t>；C类：0</w:t>
            </w:r>
            <w:r w:rsidRPr="00337343">
              <w:rPr>
                <w:rFonts w:ascii="宋体" w:hAnsi="宋体"/>
                <w:bCs/>
                <w:color w:val="000000"/>
                <w:sz w:val="24"/>
                <w:szCs w:val="28"/>
              </w:rPr>
              <w:t>08970</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3</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睿远稳进配置两年持有期混合型证券投资基金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14362</w:t>
            </w:r>
            <w:r w:rsidRPr="00337343">
              <w:rPr>
                <w:rFonts w:ascii="宋体" w:hAnsi="宋体" w:hint="eastAsia"/>
                <w:bCs/>
                <w:color w:val="000000"/>
                <w:sz w:val="24"/>
                <w:szCs w:val="28"/>
              </w:rPr>
              <w:t>；C类：0</w:t>
            </w:r>
            <w:r w:rsidRPr="00337343">
              <w:rPr>
                <w:rFonts w:ascii="宋体" w:hAnsi="宋体"/>
                <w:bCs/>
                <w:color w:val="000000"/>
                <w:sz w:val="24"/>
                <w:szCs w:val="28"/>
              </w:rPr>
              <w:t>14363</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4</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睿远稳益增强3</w:t>
            </w:r>
            <w:r w:rsidRPr="00337343">
              <w:rPr>
                <w:rFonts w:ascii="宋体" w:hAnsi="宋体"/>
                <w:bCs/>
                <w:color w:val="000000"/>
                <w:sz w:val="24"/>
                <w:szCs w:val="28"/>
              </w:rPr>
              <w:t>0</w:t>
            </w:r>
            <w:r w:rsidRPr="00337343">
              <w:rPr>
                <w:rFonts w:ascii="宋体" w:hAnsi="宋体" w:hint="eastAsia"/>
                <w:bCs/>
                <w:color w:val="000000"/>
                <w:sz w:val="24"/>
                <w:szCs w:val="28"/>
              </w:rPr>
              <w:t>天持有期债券型证券投资基金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18756</w:t>
            </w:r>
            <w:r w:rsidRPr="00337343">
              <w:rPr>
                <w:rFonts w:ascii="宋体" w:hAnsi="宋体" w:hint="eastAsia"/>
                <w:bCs/>
                <w:color w:val="000000"/>
                <w:sz w:val="24"/>
                <w:szCs w:val="28"/>
              </w:rPr>
              <w:t>；C类：0</w:t>
            </w:r>
            <w:r w:rsidRPr="00337343">
              <w:rPr>
                <w:rFonts w:ascii="宋体" w:hAnsi="宋体"/>
                <w:bCs/>
                <w:color w:val="000000"/>
                <w:sz w:val="24"/>
                <w:szCs w:val="28"/>
              </w:rPr>
              <w:t>18757</w:t>
            </w:r>
          </w:p>
        </w:tc>
      </w:tr>
    </w:tbl>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注：基金份额暂停申购时转换转入同时也暂停。</w:t>
      </w:r>
      <w:r w:rsidR="001D3FAE" w:rsidRPr="00337343">
        <w:rPr>
          <w:rFonts w:ascii="宋体" w:hAnsi="宋体" w:hint="eastAsia"/>
          <w:b/>
          <w:bCs/>
          <w:color w:val="000000"/>
          <w:sz w:val="24"/>
          <w:szCs w:val="28"/>
        </w:rPr>
        <w:t>同一基金不同类别</w:t>
      </w:r>
      <w:r w:rsidR="009D491C" w:rsidRPr="00337343">
        <w:rPr>
          <w:rFonts w:ascii="宋体" w:hAnsi="宋体" w:hint="eastAsia"/>
          <w:b/>
          <w:bCs/>
          <w:color w:val="000000"/>
          <w:sz w:val="24"/>
          <w:szCs w:val="28"/>
        </w:rPr>
        <w:t>份额</w:t>
      </w:r>
      <w:r w:rsidR="001D3FAE" w:rsidRPr="00337343">
        <w:rPr>
          <w:rFonts w:ascii="宋体" w:hAnsi="宋体" w:hint="eastAsia"/>
          <w:b/>
          <w:bCs/>
          <w:color w:val="000000"/>
          <w:sz w:val="24"/>
          <w:szCs w:val="28"/>
        </w:rPr>
        <w:t>的转换申请不受基金的大额申购限制。</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四、重要提示</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1、</w:t>
      </w:r>
      <w:r w:rsidR="008A28E8" w:rsidRPr="00337343">
        <w:rPr>
          <w:rFonts w:ascii="宋体" w:hAnsi="宋体"/>
          <w:bCs/>
          <w:color w:val="000000"/>
          <w:sz w:val="24"/>
          <w:szCs w:val="28"/>
        </w:rPr>
        <w:t>上述业务的解释权归</w:t>
      </w:r>
      <w:r w:rsidR="008A28E8" w:rsidRPr="00337343">
        <w:rPr>
          <w:rFonts w:ascii="宋体" w:hAnsi="宋体" w:hint="eastAsia"/>
          <w:bCs/>
          <w:color w:val="000000"/>
          <w:sz w:val="24"/>
          <w:szCs w:val="28"/>
        </w:rPr>
        <w:t>睿远</w:t>
      </w:r>
      <w:r w:rsidRPr="00337343">
        <w:rPr>
          <w:rFonts w:ascii="宋体" w:hAnsi="宋体"/>
          <w:bCs/>
          <w:color w:val="000000"/>
          <w:sz w:val="24"/>
          <w:szCs w:val="28"/>
        </w:rPr>
        <w:t>基金管理有限公司。</w:t>
      </w:r>
    </w:p>
    <w:p w:rsidR="00973D11" w:rsidRPr="00337343" w:rsidRDefault="00A71EBD" w:rsidP="00973D11">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2、</w:t>
      </w:r>
      <w:r w:rsidR="008A28E8" w:rsidRPr="00337343">
        <w:rPr>
          <w:rFonts w:ascii="宋体" w:hAnsi="宋体" w:hint="eastAsia"/>
          <w:bCs/>
          <w:color w:val="000000"/>
          <w:sz w:val="24"/>
          <w:szCs w:val="28"/>
        </w:rPr>
        <w:t>投资者可以登录本公司网站（www.foresightfund.com）查询或者拨打本公司的客户服务电话(400-920-1000)垂询相关事宜。</w:t>
      </w:r>
    </w:p>
    <w:p w:rsidR="00973D11" w:rsidRPr="00337343" w:rsidRDefault="00973D11" w:rsidP="00973D11">
      <w:pPr>
        <w:spacing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风险提示：本公司承诺以诚实信用、勤勉尽责的原则管理和运用基金资产，但不保证基金一定盈利，不保证最低收益，也不保证本金不受损失。基金的过往业绩不预示其未来业绩表现，基金管理人管理的其他基金的业绩也不构成对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者自行负担。敬请投资者于投资前认真阅读基金的《基金合同》、最新的《招募说明书》及最新的《基金产品资料概要》等法律文件，了解基金的风险收益特征，并根据自身的投资目的、投资期限、投资经验、资产状况等判断基金是否和投资人的风险承受能力相适应，注意投资风险。</w:t>
      </w:r>
    </w:p>
    <w:p w:rsidR="00973D11" w:rsidRPr="00337343" w:rsidRDefault="00973D11" w:rsidP="00973D11">
      <w:pPr>
        <w:spacing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特此公告。</w:t>
      </w:r>
    </w:p>
    <w:p w:rsidR="00973D11" w:rsidRPr="00337343" w:rsidRDefault="00973D11" w:rsidP="00973D11">
      <w:pPr>
        <w:spacing w:line="360" w:lineRule="auto"/>
        <w:ind w:firstLineChars="200" w:firstLine="480"/>
        <w:jc w:val="left"/>
        <w:rPr>
          <w:rFonts w:ascii="宋体" w:hAnsi="宋体"/>
          <w:bCs/>
          <w:color w:val="000000"/>
          <w:sz w:val="24"/>
          <w:szCs w:val="28"/>
        </w:rPr>
      </w:pPr>
    </w:p>
    <w:p w:rsidR="00973D11" w:rsidRPr="00337343" w:rsidRDefault="00973D11" w:rsidP="00973D11">
      <w:pPr>
        <w:spacing w:line="360" w:lineRule="auto"/>
        <w:ind w:firstLineChars="200" w:firstLine="480"/>
        <w:jc w:val="right"/>
        <w:rPr>
          <w:rFonts w:ascii="宋体" w:hAnsi="宋体"/>
          <w:bCs/>
          <w:color w:val="000000"/>
          <w:sz w:val="24"/>
          <w:szCs w:val="28"/>
        </w:rPr>
      </w:pPr>
      <w:r w:rsidRPr="00337343">
        <w:rPr>
          <w:rFonts w:ascii="宋体" w:hAnsi="宋体" w:hint="eastAsia"/>
          <w:bCs/>
          <w:color w:val="000000"/>
          <w:sz w:val="24"/>
          <w:szCs w:val="28"/>
        </w:rPr>
        <w:t>睿远基金管理有限公司</w:t>
      </w:r>
    </w:p>
    <w:p w:rsidR="00A71EBD" w:rsidRPr="00A71EBD" w:rsidRDefault="00973D11" w:rsidP="00973D11">
      <w:pPr>
        <w:spacing w:line="360" w:lineRule="auto"/>
        <w:ind w:firstLineChars="200" w:firstLine="480"/>
        <w:jc w:val="right"/>
        <w:rPr>
          <w:rFonts w:ascii="宋体" w:hAnsi="宋体"/>
          <w:bCs/>
          <w:color w:val="000000"/>
          <w:sz w:val="24"/>
          <w:szCs w:val="28"/>
        </w:rPr>
      </w:pPr>
      <w:r w:rsidRPr="00337343">
        <w:rPr>
          <w:rFonts w:ascii="宋体" w:hAnsi="宋体" w:hint="eastAsia"/>
          <w:bCs/>
          <w:color w:val="000000"/>
          <w:sz w:val="24"/>
          <w:szCs w:val="28"/>
        </w:rPr>
        <w:t>202</w:t>
      </w:r>
      <w:r w:rsidRPr="00337343">
        <w:rPr>
          <w:rFonts w:ascii="宋体" w:hAnsi="宋体"/>
          <w:bCs/>
          <w:color w:val="000000"/>
          <w:sz w:val="24"/>
          <w:szCs w:val="28"/>
        </w:rPr>
        <w:t>4</w:t>
      </w:r>
      <w:r w:rsidRPr="00337343">
        <w:rPr>
          <w:rFonts w:ascii="宋体" w:hAnsi="宋体" w:hint="eastAsia"/>
          <w:bCs/>
          <w:color w:val="000000"/>
          <w:sz w:val="24"/>
          <w:szCs w:val="28"/>
        </w:rPr>
        <w:t>年</w:t>
      </w:r>
      <w:r w:rsidR="00DC33E8" w:rsidRPr="00337343">
        <w:rPr>
          <w:rFonts w:ascii="宋体" w:hAnsi="宋体"/>
          <w:bCs/>
          <w:color w:val="000000"/>
          <w:sz w:val="24"/>
          <w:szCs w:val="28"/>
        </w:rPr>
        <w:t>10</w:t>
      </w:r>
      <w:r w:rsidRPr="00337343">
        <w:rPr>
          <w:rFonts w:ascii="宋体" w:hAnsi="宋体" w:hint="eastAsia"/>
          <w:bCs/>
          <w:color w:val="000000"/>
          <w:sz w:val="24"/>
          <w:szCs w:val="28"/>
        </w:rPr>
        <w:t>月</w:t>
      </w:r>
      <w:r w:rsidR="00DC33E8" w:rsidRPr="00337343">
        <w:rPr>
          <w:rFonts w:ascii="宋体" w:hAnsi="宋体"/>
          <w:bCs/>
          <w:color w:val="000000"/>
          <w:sz w:val="24"/>
          <w:szCs w:val="28"/>
        </w:rPr>
        <w:t>22</w:t>
      </w:r>
      <w:r w:rsidRPr="00337343">
        <w:rPr>
          <w:rFonts w:ascii="宋体" w:hAnsi="宋体" w:hint="eastAsia"/>
          <w:bCs/>
          <w:color w:val="000000"/>
          <w:sz w:val="24"/>
          <w:szCs w:val="28"/>
        </w:rPr>
        <w:t>日</w:t>
      </w:r>
      <w:bookmarkStart w:id="0" w:name="_GoBack"/>
      <w:bookmarkEnd w:id="0"/>
    </w:p>
    <w:sectPr w:rsidR="00A71EBD" w:rsidRPr="00A71EBD" w:rsidSect="00E12D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5D7"/>
    <w:rsid w:val="001D3FAE"/>
    <w:rsid w:val="00243AF1"/>
    <w:rsid w:val="00337343"/>
    <w:rsid w:val="00447467"/>
    <w:rsid w:val="004F65D7"/>
    <w:rsid w:val="005F4EE1"/>
    <w:rsid w:val="00644984"/>
    <w:rsid w:val="006563E9"/>
    <w:rsid w:val="006D3F86"/>
    <w:rsid w:val="00734F6F"/>
    <w:rsid w:val="007A3A59"/>
    <w:rsid w:val="008A0C7E"/>
    <w:rsid w:val="008A28E8"/>
    <w:rsid w:val="00973D11"/>
    <w:rsid w:val="009B76AB"/>
    <w:rsid w:val="009D491C"/>
    <w:rsid w:val="00A53D4C"/>
    <w:rsid w:val="00A71EBD"/>
    <w:rsid w:val="00AA797A"/>
    <w:rsid w:val="00B30E6C"/>
    <w:rsid w:val="00B723CF"/>
    <w:rsid w:val="00B95A0B"/>
    <w:rsid w:val="00BA5489"/>
    <w:rsid w:val="00C02DA9"/>
    <w:rsid w:val="00C545DE"/>
    <w:rsid w:val="00C54688"/>
    <w:rsid w:val="00DC33E8"/>
    <w:rsid w:val="00E12D06"/>
    <w:rsid w:val="00E6703D"/>
    <w:rsid w:val="00FB4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1EBD"/>
    <w:rPr>
      <w:rFonts w:ascii="宋体" w:eastAsia="宋体" w:hAnsi="宋体" w:hint="eastAsia"/>
      <w:b w:val="0"/>
      <w:bCs w:val="0"/>
      <w:i w:val="0"/>
      <w:iCs w:val="0"/>
      <w:color w:val="000000"/>
      <w:sz w:val="22"/>
      <w:szCs w:val="22"/>
    </w:rPr>
  </w:style>
  <w:style w:type="character" w:customStyle="1" w:styleId="fontstyle21">
    <w:name w:val="fontstyle21"/>
    <w:basedOn w:val="a0"/>
    <w:rsid w:val="00A71EBD"/>
    <w:rPr>
      <w:rFonts w:ascii="Calibri" w:hAnsi="Calibri" w:cs="Calibri" w:hint="default"/>
      <w:b w:val="0"/>
      <w:bCs w:val="0"/>
      <w:i w:val="0"/>
      <w:iCs w:val="0"/>
      <w:color w:val="000000"/>
      <w:sz w:val="22"/>
      <w:szCs w:val="22"/>
    </w:rPr>
  </w:style>
  <w:style w:type="character" w:customStyle="1" w:styleId="fontstyle11">
    <w:name w:val="fontstyle11"/>
    <w:basedOn w:val="a0"/>
    <w:rsid w:val="00A71EBD"/>
    <w:rPr>
      <w:rFonts w:ascii="Calibri" w:hAnsi="Calibri" w:cs="Calibri" w:hint="default"/>
      <w:b w:val="0"/>
      <w:bCs w:val="0"/>
      <w:i w:val="0"/>
      <w:iCs w:val="0"/>
      <w:color w:val="000000"/>
      <w:sz w:val="22"/>
      <w:szCs w:val="22"/>
    </w:rPr>
  </w:style>
  <w:style w:type="table" w:styleId="a3">
    <w:name w:val="Table Grid"/>
    <w:basedOn w:val="a1"/>
    <w:uiPriority w:val="39"/>
    <w:rsid w:val="00A71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53D4C"/>
    <w:rPr>
      <w:sz w:val="21"/>
      <w:szCs w:val="21"/>
    </w:rPr>
  </w:style>
  <w:style w:type="paragraph" w:styleId="a5">
    <w:name w:val="annotation text"/>
    <w:basedOn w:val="a"/>
    <w:link w:val="Char"/>
    <w:uiPriority w:val="99"/>
    <w:semiHidden/>
    <w:unhideWhenUsed/>
    <w:rsid w:val="00A53D4C"/>
    <w:pPr>
      <w:jc w:val="left"/>
    </w:pPr>
  </w:style>
  <w:style w:type="character" w:customStyle="1" w:styleId="Char">
    <w:name w:val="批注文字 Char"/>
    <w:basedOn w:val="a0"/>
    <w:link w:val="a5"/>
    <w:uiPriority w:val="99"/>
    <w:semiHidden/>
    <w:rsid w:val="00A53D4C"/>
    <w:rPr>
      <w:rFonts w:ascii="Calibri" w:eastAsia="宋体" w:hAnsi="Calibri" w:cs="Times New Roman"/>
    </w:rPr>
  </w:style>
  <w:style w:type="paragraph" w:styleId="a6">
    <w:name w:val="annotation subject"/>
    <w:basedOn w:val="a5"/>
    <w:next w:val="a5"/>
    <w:link w:val="Char0"/>
    <w:uiPriority w:val="99"/>
    <w:semiHidden/>
    <w:unhideWhenUsed/>
    <w:rsid w:val="00A53D4C"/>
    <w:rPr>
      <w:b/>
      <w:bCs/>
    </w:rPr>
  </w:style>
  <w:style w:type="character" w:customStyle="1" w:styleId="Char0">
    <w:name w:val="批注主题 Char"/>
    <w:basedOn w:val="Char"/>
    <w:link w:val="a6"/>
    <w:uiPriority w:val="99"/>
    <w:semiHidden/>
    <w:rsid w:val="00A53D4C"/>
    <w:rPr>
      <w:rFonts w:ascii="Calibri" w:eastAsia="宋体" w:hAnsi="Calibri" w:cs="Times New Roman"/>
      <w:b/>
      <w:bCs/>
    </w:rPr>
  </w:style>
  <w:style w:type="paragraph" w:styleId="a7">
    <w:name w:val="Balloon Text"/>
    <w:basedOn w:val="a"/>
    <w:link w:val="Char1"/>
    <w:uiPriority w:val="99"/>
    <w:semiHidden/>
    <w:unhideWhenUsed/>
    <w:rsid w:val="00A53D4C"/>
    <w:rPr>
      <w:sz w:val="18"/>
      <w:szCs w:val="18"/>
    </w:rPr>
  </w:style>
  <w:style w:type="character" w:customStyle="1" w:styleId="Char1">
    <w:name w:val="批注框文本 Char"/>
    <w:basedOn w:val="a0"/>
    <w:link w:val="a7"/>
    <w:uiPriority w:val="99"/>
    <w:semiHidden/>
    <w:rsid w:val="00A53D4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5105-0EE0-4687-8F08-82E0E913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1877</Characters>
  <Application>Microsoft Office Word</Application>
  <DocSecurity>4</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李鹏飞</dc:creator>
  <cp:keywords/>
  <dc:description/>
  <cp:lastModifiedBy>ZHONGM</cp:lastModifiedBy>
  <cp:revision>2</cp:revision>
  <dcterms:created xsi:type="dcterms:W3CDTF">2024-10-21T16:00:00Z</dcterms:created>
  <dcterms:modified xsi:type="dcterms:W3CDTF">2024-10-21T16:00:00Z</dcterms:modified>
</cp:coreProperties>
</file>