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40" w:rsidRDefault="00D419BA" w:rsidP="00AB39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419BA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富荣中证500指数增强型证券投资基金</w:t>
      </w:r>
    </w:p>
    <w:p w:rsidR="00BB3501" w:rsidRDefault="00653545" w:rsidP="00AB39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53545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419BA" w:rsidP="006535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419BA">
        <w:rPr>
          <w:rFonts w:ascii="仿宋" w:eastAsia="仿宋" w:hAnsi="仿宋" w:hint="eastAsia"/>
          <w:color w:val="000000" w:themeColor="text1"/>
          <w:sz w:val="32"/>
          <w:szCs w:val="32"/>
        </w:rPr>
        <w:t>富荣中证500指数增强型证券投资基金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07388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 w:rsidR="00C26310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5354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2631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674A3C" w:rsidRPr="007B27B7">
        <w:rPr>
          <w:rStyle w:val="a7"/>
          <w:rFonts w:ascii="仿宋" w:eastAsia="仿宋" w:hAnsi="仿宋"/>
          <w:sz w:val="32"/>
          <w:szCs w:val="32"/>
        </w:rPr>
        <w:t>http://www.furamc.com.cn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664F0" w:rsidRPr="002664F0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2664F0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2664F0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202</w:t>
      </w:r>
      <w:r w:rsidR="00907388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26310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5354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2631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674A3C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674A3C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CD" w:rsidRDefault="006A21CD" w:rsidP="009A149B">
      <w:r>
        <w:separator/>
      </w:r>
    </w:p>
  </w:endnote>
  <w:endnote w:type="continuationSeparator" w:id="0">
    <w:p w:rsidR="006A21CD" w:rsidRDefault="006A21C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702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702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399B" w:rsidRPr="00AB399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CD" w:rsidRDefault="006A21CD" w:rsidP="009A149B">
      <w:r>
        <w:separator/>
      </w:r>
    </w:p>
  </w:footnote>
  <w:footnote w:type="continuationSeparator" w:id="0">
    <w:p w:rsidR="006A21CD" w:rsidRDefault="006A21C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035"/>
    <w:rsid w:val="001D04AB"/>
    <w:rsid w:val="001D2521"/>
    <w:rsid w:val="001D74AE"/>
    <w:rsid w:val="001E7CAD"/>
    <w:rsid w:val="001F125D"/>
    <w:rsid w:val="001F15CB"/>
    <w:rsid w:val="001F533E"/>
    <w:rsid w:val="0021172E"/>
    <w:rsid w:val="0021725C"/>
    <w:rsid w:val="00221DE2"/>
    <w:rsid w:val="00234298"/>
    <w:rsid w:val="002471D4"/>
    <w:rsid w:val="00253326"/>
    <w:rsid w:val="00261CDE"/>
    <w:rsid w:val="0026276F"/>
    <w:rsid w:val="002664F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2F49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2A15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1854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3545"/>
    <w:rsid w:val="00655229"/>
    <w:rsid w:val="00656B0C"/>
    <w:rsid w:val="0066309A"/>
    <w:rsid w:val="0066627D"/>
    <w:rsid w:val="00674A3C"/>
    <w:rsid w:val="006832A2"/>
    <w:rsid w:val="00684A20"/>
    <w:rsid w:val="00690EC4"/>
    <w:rsid w:val="006962CB"/>
    <w:rsid w:val="006A0BB0"/>
    <w:rsid w:val="006A21CD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27B7"/>
    <w:rsid w:val="007B3A14"/>
    <w:rsid w:val="007B4EC6"/>
    <w:rsid w:val="007B549A"/>
    <w:rsid w:val="007B5745"/>
    <w:rsid w:val="007B6893"/>
    <w:rsid w:val="007C3F2C"/>
    <w:rsid w:val="007C51E4"/>
    <w:rsid w:val="007D0940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07388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D1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399B"/>
    <w:rsid w:val="00AB49A1"/>
    <w:rsid w:val="00AC1161"/>
    <w:rsid w:val="00AD18DD"/>
    <w:rsid w:val="00AD562B"/>
    <w:rsid w:val="00AE3F47"/>
    <w:rsid w:val="00AE5860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31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2A4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9B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111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C6D1-425C-4EF8-8167-42E8250F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4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2024-10-21T16:00:00Z</dcterms:created>
  <dcterms:modified xsi:type="dcterms:W3CDTF">2024-10-21T16:00:00Z</dcterms:modified>
</cp:coreProperties>
</file>