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szCs w:val="21"/>
        </w:rPr>
      </w:pPr>
      <w:bookmarkStart w:id="0" w:name="_Toc361324840"/>
    </w:p>
    <w:p>
      <w:pPr>
        <w:spacing w:line="360" w:lineRule="auto"/>
        <w:jc w:val="center"/>
        <w:rPr>
          <w:rFonts w:ascii="宋体" w:hAnsi="宋体"/>
          <w:b/>
          <w:szCs w:val="21"/>
        </w:rPr>
      </w:pPr>
    </w:p>
    <w:bookmarkEnd w:id="0"/>
    <w:p>
      <w:pPr>
        <w:spacing w:line="360" w:lineRule="auto"/>
        <w:jc w:val="center"/>
        <w:rPr>
          <w:rFonts w:ascii="宋体" w:hAnsi="宋体"/>
          <w:b/>
          <w:sz w:val="52"/>
          <w:szCs w:val="52"/>
        </w:rPr>
      </w:pPr>
      <w:bookmarkStart w:id="1" w:name="_Toc361324841"/>
      <w:r>
        <w:rPr>
          <w:rFonts w:hint="eastAsia" w:ascii="宋体" w:hAnsi="宋体"/>
          <w:b/>
          <w:sz w:val="52"/>
          <w:szCs w:val="52"/>
        </w:rPr>
        <w:t>博时养老目标日期2045五年持有期混合型发起式基金中基金（FOF）清算</w:t>
      </w:r>
      <w:r>
        <w:rPr>
          <w:rFonts w:ascii="宋体" w:hAnsi="宋体"/>
          <w:b/>
          <w:sz w:val="52"/>
          <w:szCs w:val="52"/>
        </w:rPr>
        <w:t>报告</w:t>
      </w:r>
      <w:bookmarkEnd w:id="1"/>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spacing w:line="360" w:lineRule="auto"/>
        <w:jc w:val="center"/>
        <w:rPr>
          <w:rFonts w:ascii="宋体" w:hAnsi="宋体"/>
          <w:b/>
          <w:color w:val="000000"/>
          <w:sz w:val="36"/>
          <w:szCs w:val="36"/>
        </w:rPr>
      </w:pPr>
      <w:r>
        <w:rPr>
          <w:rFonts w:ascii="宋体" w:hAnsi="宋体"/>
          <w:b/>
          <w:color w:val="000000"/>
          <w:sz w:val="36"/>
          <w:szCs w:val="36"/>
        </w:rPr>
        <w:t>基金管理人：博时基金管理有限公司</w:t>
      </w:r>
    </w:p>
    <w:p>
      <w:pPr>
        <w:spacing w:line="360" w:lineRule="auto"/>
        <w:jc w:val="center"/>
        <w:rPr>
          <w:rFonts w:ascii="宋体" w:hAnsi="宋体"/>
          <w:b/>
          <w:color w:val="000000"/>
          <w:sz w:val="36"/>
          <w:szCs w:val="36"/>
        </w:rPr>
      </w:pPr>
      <w:r>
        <w:rPr>
          <w:rFonts w:ascii="宋体" w:hAnsi="宋体"/>
          <w:b/>
          <w:color w:val="000000"/>
          <w:sz w:val="36"/>
          <w:szCs w:val="36"/>
        </w:rPr>
        <w:t>基金托管人：招商银行股份有限公司</w:t>
      </w:r>
    </w:p>
    <w:p>
      <w:pPr>
        <w:spacing w:line="360" w:lineRule="auto"/>
        <w:jc w:val="center"/>
        <w:rPr>
          <w:rFonts w:ascii="宋体" w:hAnsi="宋体"/>
          <w:b/>
          <w:color w:val="000000"/>
          <w:sz w:val="36"/>
          <w:szCs w:val="36"/>
        </w:rPr>
      </w:pPr>
      <w:r>
        <w:rPr>
          <w:rFonts w:ascii="宋体" w:hAnsi="宋体"/>
          <w:b/>
          <w:color w:val="000000"/>
          <w:sz w:val="36"/>
          <w:szCs w:val="36"/>
        </w:rPr>
        <w:t>报告</w:t>
      </w:r>
      <w:r>
        <w:rPr>
          <w:rFonts w:hint="eastAsia" w:ascii="宋体" w:hAnsi="宋体"/>
          <w:b/>
          <w:color w:val="000000"/>
          <w:sz w:val="36"/>
          <w:szCs w:val="36"/>
        </w:rPr>
        <w:t>出具</w:t>
      </w:r>
      <w:r>
        <w:rPr>
          <w:rFonts w:ascii="宋体" w:hAnsi="宋体"/>
          <w:b/>
          <w:color w:val="000000"/>
          <w:sz w:val="36"/>
          <w:szCs w:val="36"/>
        </w:rPr>
        <w:t>日期：二〇</w:t>
      </w:r>
      <w:r>
        <w:rPr>
          <w:rFonts w:hint="eastAsia" w:ascii="宋体" w:hAnsi="宋体"/>
          <w:b/>
          <w:color w:val="000000"/>
          <w:sz w:val="36"/>
          <w:szCs w:val="36"/>
        </w:rPr>
        <w:t>二</w:t>
      </w:r>
      <w:r>
        <w:rPr>
          <w:rFonts w:hint="eastAsia" w:ascii="宋体" w:hAnsi="宋体"/>
          <w:b/>
          <w:color w:val="000000"/>
          <w:sz w:val="36"/>
          <w:szCs w:val="36"/>
          <w:lang w:val="en-US" w:eastAsia="zh-CN"/>
        </w:rPr>
        <w:t>四</w:t>
      </w:r>
      <w:r>
        <w:rPr>
          <w:rFonts w:ascii="宋体" w:hAnsi="宋体"/>
          <w:b/>
          <w:color w:val="000000"/>
          <w:sz w:val="36"/>
          <w:szCs w:val="36"/>
        </w:rPr>
        <w:t>年</w:t>
      </w:r>
      <w:r>
        <w:rPr>
          <w:rFonts w:hint="eastAsia" w:ascii="宋体" w:hAnsi="宋体"/>
          <w:b/>
          <w:color w:val="000000"/>
          <w:sz w:val="36"/>
          <w:szCs w:val="36"/>
          <w:lang w:val="en-US" w:eastAsia="zh-CN"/>
        </w:rPr>
        <w:t>九</w:t>
      </w:r>
      <w:r>
        <w:rPr>
          <w:rFonts w:ascii="宋体" w:hAnsi="宋体"/>
          <w:b/>
          <w:color w:val="000000"/>
          <w:sz w:val="36"/>
          <w:szCs w:val="36"/>
        </w:rPr>
        <w:t>月</w:t>
      </w:r>
      <w:r>
        <w:rPr>
          <w:rFonts w:hint="eastAsia" w:ascii="宋体" w:hAnsi="宋体"/>
          <w:b/>
          <w:color w:val="000000"/>
          <w:sz w:val="36"/>
          <w:szCs w:val="36"/>
          <w:lang w:val="en-US" w:eastAsia="zh-CN"/>
        </w:rPr>
        <w:t>二十四</w:t>
      </w:r>
      <w:r>
        <w:rPr>
          <w:rFonts w:hint="eastAsia" w:ascii="宋体" w:hAnsi="宋体"/>
          <w:b/>
          <w:color w:val="000000"/>
          <w:sz w:val="36"/>
          <w:szCs w:val="36"/>
        </w:rPr>
        <w:t>日</w:t>
      </w:r>
    </w:p>
    <w:p>
      <w:pPr>
        <w:spacing w:line="360" w:lineRule="auto"/>
        <w:jc w:val="center"/>
        <w:rPr>
          <w:rFonts w:ascii="宋体" w:hAnsi="宋体"/>
          <w:b/>
          <w:color w:val="000000"/>
          <w:sz w:val="36"/>
          <w:szCs w:val="36"/>
        </w:rPr>
      </w:pPr>
      <w:r>
        <w:rPr>
          <w:rFonts w:hint="eastAsia" w:ascii="宋体" w:hAnsi="宋体"/>
          <w:b/>
          <w:color w:val="000000"/>
          <w:sz w:val="36"/>
          <w:szCs w:val="36"/>
        </w:rPr>
        <w:t>报告公告日期：二〇二</w:t>
      </w:r>
      <w:r>
        <w:rPr>
          <w:rFonts w:hint="eastAsia" w:ascii="宋体" w:hAnsi="宋体"/>
          <w:b/>
          <w:color w:val="000000"/>
          <w:sz w:val="36"/>
          <w:szCs w:val="36"/>
          <w:lang w:val="en-US" w:eastAsia="zh-CN"/>
        </w:rPr>
        <w:t>四</w:t>
      </w:r>
      <w:r>
        <w:rPr>
          <w:rFonts w:hint="eastAsia" w:ascii="宋体" w:hAnsi="宋体"/>
          <w:b/>
          <w:color w:val="000000"/>
          <w:sz w:val="36"/>
          <w:szCs w:val="36"/>
        </w:rPr>
        <w:t>年</w:t>
      </w:r>
      <w:r>
        <w:rPr>
          <w:rFonts w:hint="eastAsia" w:ascii="宋体" w:hAnsi="宋体"/>
          <w:b/>
          <w:color w:val="000000"/>
          <w:sz w:val="36"/>
          <w:szCs w:val="36"/>
          <w:lang w:val="en-US" w:eastAsia="zh-CN"/>
        </w:rPr>
        <w:t>十</w:t>
      </w:r>
      <w:r>
        <w:rPr>
          <w:rFonts w:hint="eastAsia" w:ascii="宋体" w:hAnsi="宋体"/>
          <w:b/>
          <w:color w:val="000000"/>
          <w:sz w:val="36"/>
          <w:szCs w:val="36"/>
        </w:rPr>
        <w:t>月</w:t>
      </w:r>
      <w:r>
        <w:rPr>
          <w:rFonts w:hint="eastAsia" w:ascii="宋体" w:hAnsi="宋体"/>
          <w:b/>
          <w:color w:val="000000"/>
          <w:sz w:val="36"/>
          <w:szCs w:val="36"/>
          <w:lang w:val="en-US" w:eastAsia="zh-CN"/>
        </w:rPr>
        <w:t>十九</w:t>
      </w:r>
      <w:r>
        <w:rPr>
          <w:rFonts w:hint="eastAsia" w:ascii="宋体" w:hAnsi="宋体"/>
          <w:b/>
          <w:color w:val="000000"/>
          <w:sz w:val="36"/>
          <w:szCs w:val="36"/>
        </w:rPr>
        <w:t>日</w:t>
      </w:r>
    </w:p>
    <w:p>
      <w:pPr>
        <w:spacing w:line="360" w:lineRule="auto"/>
        <w:jc w:val="center"/>
        <w:rPr>
          <w:rFonts w:ascii="宋体" w:hAnsi="宋体"/>
          <w:b/>
          <w:color w:val="000000"/>
          <w:sz w:val="36"/>
          <w:szCs w:val="36"/>
        </w:rPr>
      </w:pPr>
    </w:p>
    <w:p>
      <w:pPr>
        <w:spacing w:line="360" w:lineRule="auto"/>
        <w:ind w:firstLine="1265" w:firstLineChars="350"/>
        <w:rPr>
          <w:rFonts w:ascii="宋体" w:hAnsi="宋体"/>
          <w:b/>
          <w:color w:val="000000"/>
          <w:sz w:val="36"/>
          <w:szCs w:val="36"/>
        </w:rPr>
        <w:sectPr>
          <w:headerReference r:id="rId3" w:type="default"/>
          <w:footerReference r:id="rId4" w:type="default"/>
          <w:pgSz w:w="11926" w:h="15840"/>
          <w:pgMar w:top="1418" w:right="1418" w:bottom="851" w:left="1418" w:header="851" w:footer="992" w:gutter="0"/>
          <w:pgNumType w:start="1"/>
          <w:cols w:space="720" w:num="1"/>
          <w:titlePg/>
          <w:docGrid w:linePitch="286" w:charSpace="0"/>
        </w:sectPr>
      </w:pPr>
    </w:p>
    <w:sdt>
      <w:sdtPr>
        <w:rPr>
          <w:rFonts w:ascii="Times New Roman" w:hAnsi="Times New Roman" w:eastAsia="宋体" w:cs="Times New Roman"/>
          <w:b w:val="0"/>
          <w:bCs w:val="0"/>
          <w:color w:val="auto"/>
          <w:kern w:val="2"/>
          <w:sz w:val="21"/>
          <w:szCs w:val="24"/>
          <w:lang w:val="zh-CN"/>
        </w:rPr>
        <w:id w:val="542722309"/>
        <w:docPartObj>
          <w:docPartGallery w:val="Table of Contents"/>
          <w:docPartUnique/>
        </w:docPartObj>
      </w:sdtPr>
      <w:sdtEndPr>
        <w:rPr>
          <w:rFonts w:ascii="Times New Roman" w:hAnsi="Times New Roman" w:eastAsia="宋体" w:cs="Times New Roman"/>
          <w:b w:val="0"/>
          <w:bCs w:val="0"/>
          <w:color w:val="auto"/>
          <w:kern w:val="2"/>
          <w:sz w:val="21"/>
          <w:szCs w:val="24"/>
          <w:lang w:val="zh-CN"/>
        </w:rPr>
      </w:sdtEndPr>
      <w:sdtContent>
        <w:p>
          <w:pPr>
            <w:pStyle w:val="32"/>
            <w:jc w:val="center"/>
          </w:pPr>
          <w:bookmarkStart w:id="2" w:name="_Toc484769794"/>
          <w:r>
            <w:rPr>
              <w:lang w:val="zh-CN"/>
            </w:rPr>
            <w:t>目录</w:t>
          </w:r>
        </w:p>
        <w:p>
          <w:pPr>
            <w:pStyle w:val="9"/>
            <w:tabs>
              <w:tab w:val="right" w:leader="dot" w:pos="8296"/>
            </w:tabs>
            <w:rPr>
              <w:rFonts w:asciiTheme="minorHAnsi" w:hAnsiTheme="minorHAnsi" w:eastAsiaTheme="minorEastAsia" w:cstheme="minorBidi"/>
              <w:szCs w:val="22"/>
            </w:rPr>
          </w:pPr>
          <w:r>
            <w:fldChar w:fldCharType="begin"/>
          </w:r>
          <w:r>
            <w:instrText xml:space="preserve"> TOC \o "1-3" \h \z \u </w:instrText>
          </w:r>
          <w:r>
            <w:fldChar w:fldCharType="separate"/>
          </w:r>
          <w:r>
            <w:fldChar w:fldCharType="begin"/>
          </w:r>
          <w:r>
            <w:instrText xml:space="preserve"> HYPERLINK \l "_Toc145339088" </w:instrText>
          </w:r>
          <w:r>
            <w:fldChar w:fldCharType="separate"/>
          </w:r>
          <w:r>
            <w:rPr>
              <w:rStyle w:val="15"/>
              <w:rFonts w:ascii="宋体" w:hAnsi="宋体"/>
              <w:b/>
            </w:rPr>
            <w:t>1、重要提示</w:t>
          </w:r>
          <w:r>
            <w:tab/>
          </w:r>
          <w:r>
            <w:fldChar w:fldCharType="begin"/>
          </w:r>
          <w:r>
            <w:instrText xml:space="preserve"> PAGEREF _Toc145339088 \h </w:instrText>
          </w:r>
          <w:r>
            <w:fldChar w:fldCharType="separate"/>
          </w:r>
          <w:r>
            <w:t>1</w:t>
          </w:r>
          <w:r>
            <w:fldChar w:fldCharType="end"/>
          </w:r>
          <w:r>
            <w:fldChar w:fldCharType="end"/>
          </w:r>
        </w:p>
        <w:p>
          <w:pPr>
            <w:pStyle w:val="10"/>
            <w:tabs>
              <w:tab w:val="right" w:leader="dot" w:pos="8296"/>
            </w:tabs>
            <w:rPr>
              <w:rFonts w:asciiTheme="minorHAnsi" w:hAnsiTheme="minorHAnsi" w:eastAsiaTheme="minorEastAsia" w:cstheme="minorBidi"/>
              <w:szCs w:val="22"/>
            </w:rPr>
          </w:pPr>
          <w:r>
            <w:fldChar w:fldCharType="begin"/>
          </w:r>
          <w:r>
            <w:instrText xml:space="preserve"> HYPERLINK \l "_Toc145339089" </w:instrText>
          </w:r>
          <w:r>
            <w:fldChar w:fldCharType="separate"/>
          </w:r>
          <w:r>
            <w:rPr>
              <w:rStyle w:val="15"/>
              <w:rFonts w:ascii="宋体" w:hAnsi="宋体"/>
              <w:kern w:val="0"/>
            </w:rPr>
            <w:t>1.1 重要提示</w:t>
          </w:r>
          <w:r>
            <w:tab/>
          </w:r>
          <w:r>
            <w:fldChar w:fldCharType="begin"/>
          </w:r>
          <w:r>
            <w:instrText xml:space="preserve"> PAGEREF _Toc145339089 \h </w:instrText>
          </w:r>
          <w:r>
            <w:fldChar w:fldCharType="separate"/>
          </w:r>
          <w:r>
            <w:t>1</w:t>
          </w:r>
          <w:r>
            <w:fldChar w:fldCharType="end"/>
          </w:r>
          <w:r>
            <w:fldChar w:fldCharType="end"/>
          </w:r>
        </w:p>
        <w:p>
          <w:pPr>
            <w:pStyle w:val="9"/>
            <w:tabs>
              <w:tab w:val="right" w:leader="dot" w:pos="8296"/>
            </w:tabs>
            <w:rPr>
              <w:rFonts w:asciiTheme="minorHAnsi" w:hAnsiTheme="minorHAnsi" w:eastAsiaTheme="minorEastAsia" w:cstheme="minorBidi"/>
              <w:szCs w:val="22"/>
            </w:rPr>
          </w:pPr>
          <w:r>
            <w:fldChar w:fldCharType="begin"/>
          </w:r>
          <w:r>
            <w:instrText xml:space="preserve"> HYPERLINK \l "_Toc145339090" </w:instrText>
          </w:r>
          <w:r>
            <w:fldChar w:fldCharType="separate"/>
          </w:r>
          <w:r>
            <w:rPr>
              <w:rStyle w:val="15"/>
              <w:rFonts w:ascii="宋体" w:hAnsi="宋体"/>
              <w:b/>
            </w:rPr>
            <w:t>2、基金概况</w:t>
          </w:r>
          <w:r>
            <w:tab/>
          </w:r>
          <w:r>
            <w:fldChar w:fldCharType="begin"/>
          </w:r>
          <w:r>
            <w:instrText xml:space="preserve"> PAGEREF _Toc145339090 \h </w:instrText>
          </w:r>
          <w:r>
            <w:fldChar w:fldCharType="separate"/>
          </w:r>
          <w:r>
            <w:t>1</w:t>
          </w:r>
          <w:r>
            <w:fldChar w:fldCharType="end"/>
          </w:r>
          <w:r>
            <w:fldChar w:fldCharType="end"/>
          </w:r>
        </w:p>
        <w:p>
          <w:pPr>
            <w:pStyle w:val="10"/>
            <w:tabs>
              <w:tab w:val="right" w:leader="dot" w:pos="8296"/>
            </w:tabs>
            <w:rPr>
              <w:rFonts w:asciiTheme="minorHAnsi" w:hAnsiTheme="minorHAnsi" w:eastAsiaTheme="minorEastAsia" w:cstheme="minorBidi"/>
              <w:szCs w:val="22"/>
            </w:rPr>
          </w:pPr>
          <w:r>
            <w:fldChar w:fldCharType="begin"/>
          </w:r>
          <w:r>
            <w:instrText xml:space="preserve"> HYPERLINK \l "_Toc145339091" </w:instrText>
          </w:r>
          <w:r>
            <w:fldChar w:fldCharType="separate"/>
          </w:r>
          <w:r>
            <w:rPr>
              <w:rStyle w:val="15"/>
              <w:rFonts w:ascii="宋体" w:hAnsi="宋体"/>
              <w:kern w:val="0"/>
            </w:rPr>
            <w:t>2.1 基金基本情况</w:t>
          </w:r>
          <w:r>
            <w:tab/>
          </w:r>
          <w:r>
            <w:fldChar w:fldCharType="begin"/>
          </w:r>
          <w:r>
            <w:instrText xml:space="preserve"> PAGEREF _Toc145339091 \h </w:instrText>
          </w:r>
          <w:r>
            <w:fldChar w:fldCharType="separate"/>
          </w:r>
          <w:r>
            <w:t>1</w:t>
          </w:r>
          <w:r>
            <w:fldChar w:fldCharType="end"/>
          </w:r>
          <w:r>
            <w:fldChar w:fldCharType="end"/>
          </w:r>
        </w:p>
        <w:p>
          <w:pPr>
            <w:pStyle w:val="10"/>
            <w:tabs>
              <w:tab w:val="right" w:leader="dot" w:pos="8296"/>
            </w:tabs>
            <w:rPr>
              <w:rFonts w:asciiTheme="minorHAnsi" w:hAnsiTheme="minorHAnsi" w:eastAsiaTheme="minorEastAsia" w:cstheme="minorBidi"/>
              <w:szCs w:val="22"/>
            </w:rPr>
          </w:pPr>
          <w:r>
            <w:fldChar w:fldCharType="begin"/>
          </w:r>
          <w:r>
            <w:instrText xml:space="preserve"> HYPERLINK \l "_Toc145339092" </w:instrText>
          </w:r>
          <w:r>
            <w:fldChar w:fldCharType="separate"/>
          </w:r>
          <w:r>
            <w:rPr>
              <w:rStyle w:val="15"/>
              <w:rFonts w:ascii="宋体" w:hAnsi="宋体"/>
            </w:rPr>
            <w:t>2.2 基金产品说明</w:t>
          </w:r>
          <w:r>
            <w:tab/>
          </w:r>
          <w:r>
            <w:fldChar w:fldCharType="begin"/>
          </w:r>
          <w:r>
            <w:instrText xml:space="preserve"> PAGEREF _Toc145339092 \h </w:instrText>
          </w:r>
          <w:r>
            <w:fldChar w:fldCharType="separate"/>
          </w:r>
          <w:r>
            <w:t>2</w:t>
          </w:r>
          <w:r>
            <w:fldChar w:fldCharType="end"/>
          </w:r>
          <w:r>
            <w:fldChar w:fldCharType="end"/>
          </w:r>
        </w:p>
        <w:p>
          <w:pPr>
            <w:pStyle w:val="9"/>
            <w:tabs>
              <w:tab w:val="right" w:leader="dot" w:pos="8296"/>
            </w:tabs>
            <w:rPr>
              <w:rFonts w:asciiTheme="minorHAnsi" w:hAnsiTheme="minorHAnsi" w:eastAsiaTheme="minorEastAsia" w:cstheme="minorBidi"/>
              <w:szCs w:val="22"/>
            </w:rPr>
          </w:pPr>
          <w:r>
            <w:fldChar w:fldCharType="begin"/>
          </w:r>
          <w:r>
            <w:instrText xml:space="preserve"> HYPERLINK \l "_Toc145339093" </w:instrText>
          </w:r>
          <w:r>
            <w:fldChar w:fldCharType="separate"/>
          </w:r>
          <w:r>
            <w:rPr>
              <w:rStyle w:val="15"/>
              <w:rFonts w:ascii="宋体" w:hAnsi="宋体"/>
              <w:b/>
            </w:rPr>
            <w:t>3、基金运作情况说明</w:t>
          </w:r>
          <w:r>
            <w:tab/>
          </w:r>
          <w:r>
            <w:fldChar w:fldCharType="begin"/>
          </w:r>
          <w:r>
            <w:instrText xml:space="preserve"> PAGEREF _Toc145339093 \h </w:instrText>
          </w:r>
          <w:r>
            <w:fldChar w:fldCharType="separate"/>
          </w:r>
          <w:r>
            <w:t>2</w:t>
          </w:r>
          <w:r>
            <w:fldChar w:fldCharType="end"/>
          </w:r>
          <w:r>
            <w:fldChar w:fldCharType="end"/>
          </w:r>
        </w:p>
        <w:p>
          <w:pPr>
            <w:pStyle w:val="9"/>
            <w:tabs>
              <w:tab w:val="right" w:leader="dot" w:pos="8296"/>
            </w:tabs>
            <w:rPr>
              <w:rFonts w:asciiTheme="minorHAnsi" w:hAnsiTheme="minorHAnsi" w:eastAsiaTheme="minorEastAsia" w:cstheme="minorBidi"/>
              <w:szCs w:val="22"/>
            </w:rPr>
          </w:pPr>
          <w:r>
            <w:fldChar w:fldCharType="begin"/>
          </w:r>
          <w:r>
            <w:instrText xml:space="preserve"> HYPERLINK \l "_Toc145339094" </w:instrText>
          </w:r>
          <w:r>
            <w:fldChar w:fldCharType="separate"/>
          </w:r>
          <w:r>
            <w:rPr>
              <w:rStyle w:val="15"/>
              <w:rFonts w:ascii="宋体" w:hAnsi="宋体"/>
              <w:b/>
            </w:rPr>
            <w:t>4、财务报告</w:t>
          </w:r>
          <w:r>
            <w:tab/>
          </w:r>
          <w:r>
            <w:fldChar w:fldCharType="begin"/>
          </w:r>
          <w:r>
            <w:instrText xml:space="preserve"> PAGEREF _Toc145339094 \h </w:instrText>
          </w:r>
          <w:r>
            <w:fldChar w:fldCharType="separate"/>
          </w:r>
          <w:r>
            <w:t>2</w:t>
          </w:r>
          <w:r>
            <w:fldChar w:fldCharType="end"/>
          </w:r>
          <w:r>
            <w:fldChar w:fldCharType="end"/>
          </w:r>
        </w:p>
        <w:p>
          <w:pPr>
            <w:pStyle w:val="10"/>
            <w:tabs>
              <w:tab w:val="right" w:leader="dot" w:pos="8296"/>
            </w:tabs>
            <w:rPr>
              <w:rFonts w:asciiTheme="minorHAnsi" w:hAnsiTheme="minorHAnsi" w:eastAsiaTheme="minorEastAsia" w:cstheme="minorBidi"/>
              <w:szCs w:val="22"/>
            </w:rPr>
          </w:pPr>
          <w:r>
            <w:fldChar w:fldCharType="begin"/>
          </w:r>
          <w:r>
            <w:instrText xml:space="preserve"> HYPERLINK \l "_Toc145339095" </w:instrText>
          </w:r>
          <w:r>
            <w:fldChar w:fldCharType="separate"/>
          </w:r>
          <w:r>
            <w:rPr>
              <w:rStyle w:val="15"/>
              <w:rFonts w:ascii="宋体" w:hAnsi="宋体"/>
              <w:kern w:val="0"/>
            </w:rPr>
            <w:t>4.1 资产负债表(已经审计)</w:t>
          </w:r>
          <w:r>
            <w:tab/>
          </w:r>
          <w:r>
            <w:fldChar w:fldCharType="begin"/>
          </w:r>
          <w:r>
            <w:instrText xml:space="preserve"> PAGEREF _Toc145339095 \h </w:instrText>
          </w:r>
          <w:r>
            <w:fldChar w:fldCharType="separate"/>
          </w:r>
          <w:r>
            <w:t>3</w:t>
          </w:r>
          <w:r>
            <w:fldChar w:fldCharType="end"/>
          </w:r>
          <w:r>
            <w:fldChar w:fldCharType="end"/>
          </w:r>
        </w:p>
        <w:p>
          <w:pPr>
            <w:pStyle w:val="10"/>
            <w:tabs>
              <w:tab w:val="right" w:leader="dot" w:pos="8296"/>
            </w:tabs>
            <w:rPr>
              <w:rFonts w:asciiTheme="minorHAnsi" w:hAnsiTheme="minorHAnsi" w:eastAsiaTheme="minorEastAsia" w:cstheme="minorBidi"/>
              <w:szCs w:val="22"/>
            </w:rPr>
          </w:pPr>
          <w:r>
            <w:fldChar w:fldCharType="begin"/>
          </w:r>
          <w:r>
            <w:instrText xml:space="preserve"> HYPERLINK \l "_Toc145339096" </w:instrText>
          </w:r>
          <w:r>
            <w:fldChar w:fldCharType="separate"/>
          </w:r>
          <w:r>
            <w:rPr>
              <w:rStyle w:val="15"/>
              <w:rFonts w:ascii="宋体" w:hAnsi="宋体"/>
              <w:kern w:val="0"/>
            </w:rPr>
            <w:t>4.2 清算损益表</w:t>
          </w:r>
          <w:r>
            <w:tab/>
          </w:r>
          <w:r>
            <w:fldChar w:fldCharType="begin"/>
          </w:r>
          <w:r>
            <w:instrText xml:space="preserve"> PAGEREF _Toc145339096 \h </w:instrText>
          </w:r>
          <w:r>
            <w:fldChar w:fldCharType="separate"/>
          </w:r>
          <w:r>
            <w:t>4</w:t>
          </w:r>
          <w:r>
            <w:fldChar w:fldCharType="end"/>
          </w:r>
          <w:r>
            <w:fldChar w:fldCharType="end"/>
          </w:r>
        </w:p>
        <w:p>
          <w:pPr>
            <w:pStyle w:val="10"/>
            <w:tabs>
              <w:tab w:val="right" w:leader="dot" w:pos="8296"/>
            </w:tabs>
            <w:rPr>
              <w:rFonts w:asciiTheme="minorHAnsi" w:hAnsiTheme="minorHAnsi" w:eastAsiaTheme="minorEastAsia" w:cstheme="minorBidi"/>
              <w:szCs w:val="22"/>
            </w:rPr>
          </w:pPr>
          <w:r>
            <w:fldChar w:fldCharType="begin"/>
          </w:r>
          <w:r>
            <w:instrText xml:space="preserve"> HYPERLINK \l "_Toc145339097" </w:instrText>
          </w:r>
          <w:r>
            <w:fldChar w:fldCharType="separate"/>
          </w:r>
          <w:r>
            <w:rPr>
              <w:rStyle w:val="15"/>
              <w:rFonts w:ascii="宋体" w:hAnsi="宋体"/>
              <w:kern w:val="0"/>
            </w:rPr>
            <w:t>4.3 报表附注</w:t>
          </w:r>
          <w:r>
            <w:tab/>
          </w:r>
          <w:r>
            <w:fldChar w:fldCharType="begin"/>
          </w:r>
          <w:r>
            <w:instrText xml:space="preserve"> PAGEREF _Toc145339097 \h </w:instrText>
          </w:r>
          <w:r>
            <w:fldChar w:fldCharType="separate"/>
          </w:r>
          <w:r>
            <w:t>4</w:t>
          </w:r>
          <w:r>
            <w:fldChar w:fldCharType="end"/>
          </w:r>
          <w:r>
            <w:fldChar w:fldCharType="end"/>
          </w:r>
        </w:p>
        <w:p>
          <w:pPr>
            <w:pStyle w:val="9"/>
            <w:tabs>
              <w:tab w:val="right" w:leader="dot" w:pos="8296"/>
            </w:tabs>
            <w:rPr>
              <w:rFonts w:asciiTheme="minorHAnsi" w:hAnsiTheme="minorHAnsi" w:eastAsiaTheme="minorEastAsia" w:cstheme="minorBidi"/>
              <w:szCs w:val="22"/>
            </w:rPr>
          </w:pPr>
          <w:r>
            <w:fldChar w:fldCharType="begin"/>
          </w:r>
          <w:r>
            <w:instrText xml:space="preserve"> HYPERLINK \l "_Toc145339098" </w:instrText>
          </w:r>
          <w:r>
            <w:fldChar w:fldCharType="separate"/>
          </w:r>
          <w:r>
            <w:rPr>
              <w:rStyle w:val="15"/>
              <w:rFonts w:ascii="宋体" w:hAnsi="宋体"/>
              <w:b/>
            </w:rPr>
            <w:t>5、清算情况</w:t>
          </w:r>
          <w:r>
            <w:tab/>
          </w:r>
          <w:r>
            <w:fldChar w:fldCharType="begin"/>
          </w:r>
          <w:r>
            <w:instrText xml:space="preserve"> PAGEREF _Toc145339098 \h </w:instrText>
          </w:r>
          <w:r>
            <w:fldChar w:fldCharType="separate"/>
          </w:r>
          <w:r>
            <w:t>8</w:t>
          </w:r>
          <w:r>
            <w:fldChar w:fldCharType="end"/>
          </w:r>
          <w:r>
            <w:fldChar w:fldCharType="end"/>
          </w:r>
        </w:p>
        <w:p>
          <w:pPr>
            <w:pStyle w:val="10"/>
            <w:tabs>
              <w:tab w:val="right" w:leader="dot" w:pos="8296"/>
            </w:tabs>
            <w:rPr>
              <w:rFonts w:asciiTheme="minorHAnsi" w:hAnsiTheme="minorHAnsi" w:eastAsiaTheme="minorEastAsia" w:cstheme="minorBidi"/>
              <w:szCs w:val="22"/>
            </w:rPr>
          </w:pPr>
          <w:r>
            <w:fldChar w:fldCharType="begin"/>
          </w:r>
          <w:r>
            <w:instrText xml:space="preserve"> HYPERLINK \l "_Toc145339099" </w:instrText>
          </w:r>
          <w:r>
            <w:fldChar w:fldCharType="separate"/>
          </w:r>
          <w:r>
            <w:rPr>
              <w:rStyle w:val="15"/>
              <w:rFonts w:ascii="宋体" w:hAnsi="宋体"/>
              <w:kern w:val="0"/>
            </w:rPr>
            <w:t>5.1 资产负债清算情况</w:t>
          </w:r>
          <w:r>
            <w:tab/>
          </w:r>
          <w:r>
            <w:fldChar w:fldCharType="begin"/>
          </w:r>
          <w:r>
            <w:instrText xml:space="preserve"> PAGEREF _Toc145339099 \h </w:instrText>
          </w:r>
          <w:r>
            <w:fldChar w:fldCharType="separate"/>
          </w:r>
          <w:r>
            <w:t>8</w:t>
          </w:r>
          <w:r>
            <w:fldChar w:fldCharType="end"/>
          </w:r>
          <w:r>
            <w:fldChar w:fldCharType="end"/>
          </w:r>
        </w:p>
        <w:p>
          <w:pPr>
            <w:pStyle w:val="10"/>
            <w:tabs>
              <w:tab w:val="right" w:leader="dot" w:pos="8296"/>
            </w:tabs>
            <w:rPr>
              <w:rFonts w:asciiTheme="minorHAnsi" w:hAnsiTheme="minorHAnsi" w:eastAsiaTheme="minorEastAsia" w:cstheme="minorBidi"/>
              <w:szCs w:val="22"/>
            </w:rPr>
          </w:pPr>
          <w:r>
            <w:fldChar w:fldCharType="begin"/>
          </w:r>
          <w:r>
            <w:instrText xml:space="preserve"> HYPERLINK \l "_Toc145339100" </w:instrText>
          </w:r>
          <w:r>
            <w:fldChar w:fldCharType="separate"/>
          </w:r>
          <w:r>
            <w:rPr>
              <w:rStyle w:val="15"/>
              <w:rFonts w:ascii="宋体" w:hAnsi="宋体"/>
              <w:kern w:val="0"/>
            </w:rPr>
            <w:t>5.2 截至本次清算期结束日的剩余财产情况及剩余财产分配安排</w:t>
          </w:r>
          <w:r>
            <w:tab/>
          </w:r>
          <w:r>
            <w:fldChar w:fldCharType="begin"/>
          </w:r>
          <w:r>
            <w:instrText xml:space="preserve"> PAGEREF _Toc145339100 \h </w:instrText>
          </w:r>
          <w:r>
            <w:fldChar w:fldCharType="separate"/>
          </w:r>
          <w:r>
            <w:t>9</w:t>
          </w:r>
          <w:r>
            <w:fldChar w:fldCharType="end"/>
          </w:r>
          <w:r>
            <w:fldChar w:fldCharType="end"/>
          </w:r>
        </w:p>
        <w:p>
          <w:pPr>
            <w:pStyle w:val="9"/>
            <w:tabs>
              <w:tab w:val="right" w:leader="dot" w:pos="8296"/>
            </w:tabs>
            <w:rPr>
              <w:rFonts w:asciiTheme="minorHAnsi" w:hAnsiTheme="minorHAnsi" w:eastAsiaTheme="minorEastAsia" w:cstheme="minorBidi"/>
              <w:szCs w:val="22"/>
            </w:rPr>
          </w:pPr>
          <w:r>
            <w:fldChar w:fldCharType="begin"/>
          </w:r>
          <w:r>
            <w:instrText xml:space="preserve"> HYPERLINK \l "_Toc145339101" </w:instrText>
          </w:r>
          <w:r>
            <w:fldChar w:fldCharType="separate"/>
          </w:r>
          <w:r>
            <w:rPr>
              <w:rStyle w:val="15"/>
              <w:rFonts w:ascii="宋体" w:hAnsi="宋体"/>
              <w:b/>
            </w:rPr>
            <w:t>6、备查文件目录</w:t>
          </w:r>
          <w:r>
            <w:tab/>
          </w:r>
          <w:r>
            <w:fldChar w:fldCharType="begin"/>
          </w:r>
          <w:r>
            <w:instrText xml:space="preserve"> PAGEREF _Toc145339101 \h </w:instrText>
          </w:r>
          <w:r>
            <w:fldChar w:fldCharType="separate"/>
          </w:r>
          <w:r>
            <w:t>9</w:t>
          </w:r>
          <w:r>
            <w:fldChar w:fldCharType="end"/>
          </w:r>
          <w:r>
            <w:fldChar w:fldCharType="end"/>
          </w:r>
        </w:p>
        <w:p>
          <w:pPr>
            <w:pStyle w:val="10"/>
            <w:tabs>
              <w:tab w:val="right" w:leader="dot" w:pos="8296"/>
            </w:tabs>
            <w:rPr>
              <w:rFonts w:asciiTheme="minorHAnsi" w:hAnsiTheme="minorHAnsi" w:eastAsiaTheme="minorEastAsia" w:cstheme="minorBidi"/>
              <w:szCs w:val="22"/>
            </w:rPr>
          </w:pPr>
          <w:r>
            <w:fldChar w:fldCharType="begin"/>
          </w:r>
          <w:r>
            <w:instrText xml:space="preserve"> HYPERLINK \l "_Toc145339102" </w:instrText>
          </w:r>
          <w:r>
            <w:fldChar w:fldCharType="separate"/>
          </w:r>
          <w:r>
            <w:rPr>
              <w:rStyle w:val="15"/>
              <w:rFonts w:ascii="宋体" w:hAnsi="宋体"/>
              <w:kern w:val="0"/>
            </w:rPr>
            <w:t>6.1 备查文件目录</w:t>
          </w:r>
          <w:r>
            <w:tab/>
          </w:r>
          <w:r>
            <w:fldChar w:fldCharType="begin"/>
          </w:r>
          <w:r>
            <w:instrText xml:space="preserve"> PAGEREF _Toc145339102 \h </w:instrText>
          </w:r>
          <w:r>
            <w:fldChar w:fldCharType="separate"/>
          </w:r>
          <w:r>
            <w:t>9</w:t>
          </w:r>
          <w:r>
            <w:fldChar w:fldCharType="end"/>
          </w:r>
          <w:r>
            <w:fldChar w:fldCharType="end"/>
          </w:r>
        </w:p>
        <w:p>
          <w:pPr>
            <w:pStyle w:val="10"/>
            <w:tabs>
              <w:tab w:val="right" w:leader="dot" w:pos="8296"/>
            </w:tabs>
            <w:rPr>
              <w:rFonts w:asciiTheme="minorHAnsi" w:hAnsiTheme="minorHAnsi" w:eastAsiaTheme="minorEastAsia" w:cstheme="minorBidi"/>
              <w:szCs w:val="22"/>
            </w:rPr>
          </w:pPr>
          <w:r>
            <w:fldChar w:fldCharType="begin"/>
          </w:r>
          <w:r>
            <w:instrText xml:space="preserve"> HYPERLINK \l "_Toc145339103" </w:instrText>
          </w:r>
          <w:r>
            <w:fldChar w:fldCharType="separate"/>
          </w:r>
          <w:r>
            <w:rPr>
              <w:rStyle w:val="15"/>
              <w:rFonts w:ascii="宋体" w:hAnsi="宋体"/>
              <w:kern w:val="0"/>
            </w:rPr>
            <w:t>6.2 存放地点</w:t>
          </w:r>
          <w:r>
            <w:tab/>
          </w:r>
          <w:r>
            <w:fldChar w:fldCharType="begin"/>
          </w:r>
          <w:r>
            <w:instrText xml:space="preserve"> PAGEREF _Toc145339103 \h </w:instrText>
          </w:r>
          <w:r>
            <w:fldChar w:fldCharType="separate"/>
          </w:r>
          <w:r>
            <w:t>10</w:t>
          </w:r>
          <w:r>
            <w:fldChar w:fldCharType="end"/>
          </w:r>
          <w:r>
            <w:fldChar w:fldCharType="end"/>
          </w:r>
        </w:p>
        <w:p>
          <w:pPr>
            <w:pStyle w:val="10"/>
            <w:tabs>
              <w:tab w:val="right" w:leader="dot" w:pos="8296"/>
            </w:tabs>
            <w:rPr>
              <w:rFonts w:asciiTheme="minorHAnsi" w:hAnsiTheme="minorHAnsi" w:eastAsiaTheme="minorEastAsia" w:cstheme="minorBidi"/>
              <w:szCs w:val="22"/>
            </w:rPr>
          </w:pPr>
          <w:r>
            <w:fldChar w:fldCharType="begin"/>
          </w:r>
          <w:r>
            <w:instrText xml:space="preserve"> HYPERLINK \l "_Toc145339104" </w:instrText>
          </w:r>
          <w:r>
            <w:fldChar w:fldCharType="separate"/>
          </w:r>
          <w:r>
            <w:rPr>
              <w:rStyle w:val="15"/>
              <w:rFonts w:ascii="宋体" w:hAnsi="宋体"/>
              <w:kern w:val="0"/>
            </w:rPr>
            <w:t>6.3 查阅方式</w:t>
          </w:r>
          <w:r>
            <w:tab/>
          </w:r>
          <w:r>
            <w:fldChar w:fldCharType="begin"/>
          </w:r>
          <w:r>
            <w:instrText xml:space="preserve"> PAGEREF _Toc145339104 \h </w:instrText>
          </w:r>
          <w:r>
            <w:fldChar w:fldCharType="separate"/>
          </w:r>
          <w:r>
            <w:t>10</w:t>
          </w:r>
          <w:r>
            <w:fldChar w:fldCharType="end"/>
          </w:r>
          <w:r>
            <w:fldChar w:fldCharType="end"/>
          </w:r>
        </w:p>
        <w:p>
          <w:r>
            <w:rPr>
              <w:b/>
              <w:bCs/>
              <w:lang w:val="zh-CN"/>
            </w:rPr>
            <w:fldChar w:fldCharType="end"/>
          </w:r>
        </w:p>
      </w:sdtContent>
    </w:sdt>
    <w:p>
      <w:pPr>
        <w:widowControl/>
        <w:jc w:val="left"/>
        <w:rPr>
          <w:rStyle w:val="20"/>
          <w:rFonts w:ascii="宋体" w:hAnsi="宋体"/>
        </w:rPr>
      </w:pPr>
      <w:r>
        <w:rPr>
          <w:rStyle w:val="20"/>
          <w:rFonts w:ascii="宋体" w:hAnsi="宋体"/>
        </w:rPr>
        <w:br w:type="page"/>
      </w:r>
    </w:p>
    <w:p>
      <w:pPr>
        <w:widowControl/>
        <w:jc w:val="center"/>
        <w:rPr>
          <w:rStyle w:val="20"/>
          <w:rFonts w:ascii="宋体" w:hAnsi="宋体"/>
        </w:rPr>
        <w:sectPr>
          <w:headerReference r:id="rId5" w:type="default"/>
          <w:pgSz w:w="11906" w:h="16838"/>
          <w:pgMar w:top="1440" w:right="1800" w:bottom="1440" w:left="1800" w:header="851" w:footer="992" w:gutter="0"/>
          <w:pgNumType w:start="1"/>
          <w:cols w:space="425" w:num="1"/>
          <w:docGrid w:type="lines" w:linePitch="312" w:charSpace="0"/>
        </w:sectPr>
      </w:pPr>
    </w:p>
    <w:p>
      <w:pPr>
        <w:pStyle w:val="2"/>
        <w:keepNext/>
        <w:keepLines/>
        <w:widowControl w:val="0"/>
        <w:spacing w:before="312" w:beforeLines="100" w:after="312" w:afterLines="100" w:line="360" w:lineRule="auto"/>
        <w:jc w:val="center"/>
        <w:rPr>
          <w:rStyle w:val="20"/>
          <w:rFonts w:ascii="宋体" w:hAnsi="宋体"/>
        </w:rPr>
      </w:pPr>
      <w:bookmarkStart w:id="3" w:name="_Toc145339088"/>
      <w:r>
        <w:rPr>
          <w:rStyle w:val="20"/>
          <w:rFonts w:hint="eastAsia" w:ascii="宋体" w:hAnsi="宋体"/>
        </w:rPr>
        <w:t>1、重要提示</w:t>
      </w:r>
      <w:bookmarkEnd w:id="2"/>
      <w:bookmarkEnd w:id="3"/>
    </w:p>
    <w:p>
      <w:pPr>
        <w:pStyle w:val="3"/>
        <w:spacing w:before="0" w:after="0"/>
        <w:rPr>
          <w:rFonts w:ascii="宋体" w:hAnsi="宋体" w:eastAsia="宋体"/>
          <w:kern w:val="0"/>
          <w:sz w:val="21"/>
          <w:szCs w:val="21"/>
        </w:rPr>
      </w:pPr>
      <w:bookmarkStart w:id="4" w:name="_Toc483396827"/>
      <w:bookmarkStart w:id="5" w:name="_Toc484607300"/>
      <w:bookmarkStart w:id="6" w:name="_Toc145339089"/>
      <w:bookmarkStart w:id="7" w:name="_Toc484769795"/>
      <w:r>
        <w:rPr>
          <w:rFonts w:hint="eastAsia" w:ascii="宋体" w:hAnsi="宋体" w:eastAsia="宋体"/>
          <w:kern w:val="0"/>
          <w:sz w:val="21"/>
          <w:szCs w:val="21"/>
        </w:rPr>
        <w:t>1</w:t>
      </w:r>
      <w:r>
        <w:rPr>
          <w:rFonts w:ascii="宋体" w:hAnsi="宋体" w:eastAsia="宋体"/>
          <w:kern w:val="0"/>
          <w:sz w:val="21"/>
          <w:szCs w:val="21"/>
        </w:rPr>
        <w:t>.1</w:t>
      </w:r>
      <w:r>
        <w:rPr>
          <w:rFonts w:hint="eastAsia" w:ascii="宋体" w:hAnsi="宋体" w:eastAsia="宋体"/>
          <w:kern w:val="0"/>
          <w:sz w:val="21"/>
          <w:szCs w:val="21"/>
        </w:rPr>
        <w:t xml:space="preserve"> 重要提示</w:t>
      </w:r>
      <w:bookmarkEnd w:id="4"/>
      <w:bookmarkEnd w:id="5"/>
      <w:bookmarkEnd w:id="6"/>
      <w:bookmarkEnd w:id="7"/>
    </w:p>
    <w:p>
      <w:pPr>
        <w:spacing w:line="360" w:lineRule="auto"/>
        <w:ind w:firstLine="420" w:firstLineChars="200"/>
        <w:rPr>
          <w:rFonts w:eastAsiaTheme="minorEastAsia"/>
        </w:rPr>
      </w:pPr>
      <w:r>
        <w:rPr>
          <w:rFonts w:hint="eastAsia"/>
          <w:szCs w:val="21"/>
          <w:lang w:eastAsia="zh-Hans"/>
        </w:rPr>
        <w:t>博时养老目标日期2045五年持有期混合型发起式基金中基金（FOF）</w:t>
      </w:r>
      <w:r>
        <w:rPr>
          <w:rFonts w:hint="eastAsia"/>
          <w:szCs w:val="21"/>
        </w:rPr>
        <w:t>(以下简称“本基金”)经中国证券监督管理委员会(以下简称“中国证监会”)证监许可</w:t>
      </w:r>
      <w:r>
        <w:rPr>
          <w:rFonts w:hint="eastAsia"/>
          <w:szCs w:val="21"/>
          <w:lang w:eastAsia="zh-Hans"/>
        </w:rPr>
        <w:t>[2021]2279</w:t>
      </w:r>
      <w:r>
        <w:rPr>
          <w:rFonts w:hint="eastAsia"/>
          <w:szCs w:val="21"/>
        </w:rPr>
        <w:t>号</w:t>
      </w:r>
      <w:r>
        <w:rPr>
          <w:rFonts w:hint="eastAsia"/>
          <w:szCs w:val="21"/>
          <w:lang w:eastAsia="zh-Hans"/>
        </w:rPr>
        <w:t>《关于准予博时养老目标日期2045五年持有期混合型发起式基金中基金（FOF）注册的批复》</w:t>
      </w:r>
      <w:r>
        <w:rPr>
          <w:rFonts w:hint="eastAsia" w:eastAsiaTheme="minorEastAsia"/>
        </w:rPr>
        <w:t>注册</w:t>
      </w:r>
      <w:r>
        <w:rPr>
          <w:rFonts w:eastAsiaTheme="minorEastAsia"/>
        </w:rPr>
        <w:t>，于</w:t>
      </w:r>
      <w:r>
        <w:rPr>
          <w:rFonts w:eastAsiaTheme="minorEastAsia"/>
          <w:lang w:eastAsia="zh-Hans"/>
        </w:rPr>
        <w:t>2021</w:t>
      </w:r>
      <w:r>
        <w:rPr>
          <w:rFonts w:hint="eastAsia" w:eastAsiaTheme="minorEastAsia"/>
          <w:lang w:eastAsia="zh-Hans"/>
        </w:rPr>
        <w:t>年</w:t>
      </w:r>
      <w:r>
        <w:rPr>
          <w:rFonts w:eastAsiaTheme="minorEastAsia"/>
          <w:lang w:eastAsia="zh-Hans"/>
        </w:rPr>
        <w:t>8</w:t>
      </w:r>
      <w:r>
        <w:rPr>
          <w:rFonts w:hint="eastAsia" w:eastAsiaTheme="minorEastAsia"/>
          <w:lang w:eastAsia="zh-Hans"/>
        </w:rPr>
        <w:t>月</w:t>
      </w:r>
      <w:r>
        <w:rPr>
          <w:rFonts w:eastAsiaTheme="minorEastAsia"/>
          <w:lang w:eastAsia="zh-Hans"/>
        </w:rPr>
        <w:t>30</w:t>
      </w:r>
      <w:r>
        <w:rPr>
          <w:rFonts w:hint="eastAsia" w:eastAsiaTheme="minorEastAsia"/>
          <w:lang w:eastAsia="zh-Hans"/>
        </w:rPr>
        <w:t>日</w:t>
      </w:r>
      <w:r>
        <w:rPr>
          <w:rFonts w:hint="eastAsia" w:eastAsiaTheme="minorEastAsia"/>
        </w:rPr>
        <w:t>成立并正式运作。</w:t>
      </w:r>
    </w:p>
    <w:p>
      <w:pPr>
        <w:spacing w:line="360" w:lineRule="auto"/>
        <w:ind w:firstLine="420" w:firstLineChars="200"/>
        <w:rPr>
          <w:rFonts w:hint="eastAsia"/>
          <w:szCs w:val="21"/>
          <w:lang w:eastAsia="zh-Hans"/>
        </w:rPr>
      </w:pPr>
      <w:r>
        <w:rPr>
          <w:rFonts w:hint="eastAsia"/>
          <w:szCs w:val="21"/>
          <w:lang w:eastAsia="zh-Hans"/>
        </w:rPr>
        <w:t>根据《中华人民共和国证券投资基金法》、《公开募集证券投资基金运作管理办法》的有关规定和《博时养老目标日期2045五年持有期混合型发起式基金中基金（FOF）基金合同》（以下简称“基金合同”或“《基金合同》”）的有关约定</w:t>
      </w:r>
      <w:r>
        <w:rPr>
          <w:rFonts w:hint="eastAsia"/>
          <w:szCs w:val="21"/>
          <w:lang w:eastAsia="zh-CN"/>
        </w:rPr>
        <w:t>：“本基金为发起式基金，本基金的基金合同生效之日起三年后的对应日，若基金资产净值低于两亿元的，本基金将根据基金合同的约定进行基金财产清算并终止，无需召开基金份额持有人大会审议，且不得通过召开基金份额持有人大会的方式延续。若届时的法律法规或中国证监会规定发生变化，上述终止规定被取消、更改或补充时，则本基金可以参照届时有效的法律法规或中国证监会规定执行。”本基金基金合同生效日为2021年</w:t>
      </w:r>
      <w:r>
        <w:rPr>
          <w:rFonts w:hint="eastAsia"/>
          <w:szCs w:val="21"/>
          <w:lang w:val="en-US" w:eastAsia="zh-CN"/>
        </w:rPr>
        <w:t>8</w:t>
      </w:r>
      <w:r>
        <w:rPr>
          <w:rFonts w:hint="eastAsia"/>
          <w:szCs w:val="21"/>
          <w:lang w:eastAsia="zh-CN"/>
        </w:rPr>
        <w:t>月</w:t>
      </w:r>
      <w:r>
        <w:rPr>
          <w:rFonts w:hint="eastAsia"/>
          <w:szCs w:val="21"/>
          <w:lang w:val="en-US" w:eastAsia="zh-CN"/>
        </w:rPr>
        <w:t>30</w:t>
      </w:r>
      <w:r>
        <w:rPr>
          <w:rFonts w:hint="eastAsia"/>
          <w:szCs w:val="21"/>
          <w:lang w:eastAsia="zh-CN"/>
        </w:rPr>
        <w:t>日，基金合同生效之日起三年后的对应日为2024年</w:t>
      </w:r>
      <w:r>
        <w:rPr>
          <w:rFonts w:hint="eastAsia"/>
          <w:szCs w:val="21"/>
          <w:lang w:val="en-US" w:eastAsia="zh-CN"/>
        </w:rPr>
        <w:t>8</w:t>
      </w:r>
      <w:r>
        <w:rPr>
          <w:rFonts w:hint="eastAsia"/>
          <w:szCs w:val="21"/>
          <w:lang w:eastAsia="zh-CN"/>
        </w:rPr>
        <w:t>月</w:t>
      </w:r>
      <w:r>
        <w:rPr>
          <w:rFonts w:hint="eastAsia"/>
          <w:szCs w:val="21"/>
          <w:lang w:val="en-US" w:eastAsia="zh-CN"/>
        </w:rPr>
        <w:t>30</w:t>
      </w:r>
      <w:r>
        <w:rPr>
          <w:rFonts w:hint="eastAsia"/>
          <w:szCs w:val="21"/>
          <w:lang w:eastAsia="zh-CN"/>
        </w:rPr>
        <w:t>日。截至2024年</w:t>
      </w:r>
      <w:r>
        <w:rPr>
          <w:rFonts w:hint="eastAsia"/>
          <w:szCs w:val="21"/>
          <w:lang w:val="en-US" w:eastAsia="zh-CN"/>
        </w:rPr>
        <w:t>8</w:t>
      </w:r>
      <w:r>
        <w:rPr>
          <w:rFonts w:hint="eastAsia"/>
          <w:szCs w:val="21"/>
          <w:lang w:eastAsia="zh-CN"/>
        </w:rPr>
        <w:t>月</w:t>
      </w:r>
      <w:r>
        <w:rPr>
          <w:rFonts w:hint="eastAsia"/>
          <w:szCs w:val="21"/>
          <w:lang w:val="en-US" w:eastAsia="zh-CN"/>
        </w:rPr>
        <w:t>30</w:t>
      </w:r>
      <w:r>
        <w:rPr>
          <w:rFonts w:hint="eastAsia"/>
          <w:szCs w:val="21"/>
          <w:lang w:eastAsia="zh-CN"/>
        </w:rPr>
        <w:t>日</w:t>
      </w:r>
      <w:r>
        <w:rPr>
          <w:rFonts w:hint="eastAsia"/>
          <w:szCs w:val="21"/>
          <w:lang w:val="en-US" w:eastAsia="zh-CN"/>
        </w:rPr>
        <w:t>日终</w:t>
      </w:r>
      <w:r>
        <w:rPr>
          <w:rFonts w:hint="eastAsia"/>
          <w:szCs w:val="21"/>
          <w:lang w:eastAsia="zh-CN"/>
        </w:rPr>
        <w:t>，本基金资产净值低于两亿元，已触发基金合同中约定的基金终止条款。根据《基金合同》有关约定，本基金将根据《基金合同》约定进入清算程序并终止，且无需召开基金份额持有人大会。</w:t>
      </w:r>
    </w:p>
    <w:p>
      <w:pPr>
        <w:spacing w:line="360" w:lineRule="auto"/>
        <w:ind w:firstLine="420" w:firstLineChars="200"/>
        <w:rPr>
          <w:rFonts w:hint="eastAsia"/>
          <w:szCs w:val="21"/>
          <w:lang w:eastAsia="zh-Hans"/>
        </w:rPr>
      </w:pPr>
      <w:r>
        <w:rPr>
          <w:rFonts w:hint="eastAsia"/>
          <w:szCs w:val="21"/>
          <w:lang w:eastAsia="zh-Hans"/>
        </w:rPr>
        <w:t>本基金自202</w:t>
      </w:r>
      <w:r>
        <w:rPr>
          <w:rFonts w:hint="eastAsia"/>
          <w:szCs w:val="21"/>
          <w:lang w:val="en-US" w:eastAsia="zh-CN"/>
        </w:rPr>
        <w:t>4</w:t>
      </w:r>
      <w:r>
        <w:rPr>
          <w:rFonts w:hint="eastAsia"/>
          <w:szCs w:val="21"/>
          <w:lang w:eastAsia="zh-Hans"/>
        </w:rPr>
        <w:t>年</w:t>
      </w:r>
      <w:r>
        <w:rPr>
          <w:rFonts w:hint="eastAsia"/>
          <w:szCs w:val="21"/>
          <w:lang w:val="en-US" w:eastAsia="zh-CN"/>
        </w:rPr>
        <w:t>8</w:t>
      </w:r>
      <w:r>
        <w:rPr>
          <w:rFonts w:hint="eastAsia"/>
          <w:szCs w:val="21"/>
          <w:lang w:eastAsia="zh-Hans"/>
        </w:rPr>
        <w:t>月</w:t>
      </w:r>
      <w:r>
        <w:rPr>
          <w:rFonts w:hint="eastAsia"/>
          <w:szCs w:val="21"/>
          <w:lang w:val="en-US" w:eastAsia="zh-CN"/>
        </w:rPr>
        <w:t>31</w:t>
      </w:r>
      <w:r>
        <w:rPr>
          <w:rFonts w:hint="eastAsia"/>
          <w:szCs w:val="21"/>
          <w:lang w:eastAsia="zh-Hans"/>
        </w:rPr>
        <w:t>日起，进入清算程序。</w:t>
      </w:r>
    </w:p>
    <w:p>
      <w:pPr>
        <w:spacing w:line="360" w:lineRule="auto"/>
        <w:ind w:firstLine="420" w:firstLineChars="200"/>
        <w:rPr>
          <w:rFonts w:hint="eastAsia"/>
          <w:szCs w:val="21"/>
          <w:lang w:eastAsia="zh-Hans"/>
        </w:rPr>
      </w:pPr>
      <w:r>
        <w:rPr>
          <w:rFonts w:hint="eastAsia"/>
          <w:szCs w:val="21"/>
          <w:lang w:eastAsia="zh-Hans"/>
        </w:rPr>
        <w:t>202</w:t>
      </w:r>
      <w:r>
        <w:rPr>
          <w:rFonts w:hint="eastAsia"/>
          <w:szCs w:val="21"/>
          <w:lang w:val="en-US" w:eastAsia="zh-CN"/>
        </w:rPr>
        <w:t>4</w:t>
      </w:r>
      <w:r>
        <w:rPr>
          <w:rFonts w:hint="eastAsia"/>
          <w:szCs w:val="21"/>
          <w:lang w:eastAsia="zh-Hans"/>
        </w:rPr>
        <w:t>年</w:t>
      </w:r>
      <w:r>
        <w:rPr>
          <w:rFonts w:hint="eastAsia"/>
          <w:szCs w:val="21"/>
          <w:lang w:val="en-US" w:eastAsia="zh-CN"/>
        </w:rPr>
        <w:t>9</w:t>
      </w:r>
      <w:r>
        <w:rPr>
          <w:rFonts w:hint="eastAsia"/>
          <w:szCs w:val="21"/>
          <w:lang w:eastAsia="zh-Hans"/>
        </w:rPr>
        <w:t>月</w:t>
      </w:r>
      <w:r>
        <w:rPr>
          <w:rFonts w:hint="eastAsia"/>
          <w:szCs w:val="21"/>
          <w:lang w:val="en-US" w:eastAsia="zh-CN"/>
        </w:rPr>
        <w:t>24</w:t>
      </w:r>
      <w:r>
        <w:rPr>
          <w:rFonts w:hint="eastAsia"/>
          <w:szCs w:val="21"/>
          <w:lang w:eastAsia="zh-Hans"/>
        </w:rPr>
        <w:t>日为本基金清算的最后一日，由本基金管理人博时基金管理有限公司、基金托管人招商银行股份有限公司、安永华明会计师事务所（特殊普通合伙）和上海市通力律师事务所组成基金财产清算小组履行基金财产清算程序，并由安永华明会计师事务所（特殊普通合伙）对本基金进行清算审计，上海市通力律师事务所律师对清算报告出具法律意见。</w:t>
      </w:r>
    </w:p>
    <w:p>
      <w:pPr>
        <w:pStyle w:val="2"/>
        <w:keepNext/>
        <w:keepLines/>
        <w:widowControl w:val="0"/>
        <w:spacing w:before="312" w:beforeLines="100" w:after="312" w:afterLines="100" w:line="360" w:lineRule="auto"/>
        <w:jc w:val="center"/>
        <w:rPr>
          <w:rStyle w:val="20"/>
          <w:rFonts w:ascii="宋体" w:hAnsi="宋体"/>
        </w:rPr>
      </w:pPr>
      <w:bookmarkStart w:id="8" w:name="_Toc484769796"/>
      <w:bookmarkStart w:id="9" w:name="_Toc145339090"/>
      <w:r>
        <w:rPr>
          <w:rStyle w:val="20"/>
          <w:rFonts w:ascii="宋体" w:hAnsi="宋体"/>
        </w:rPr>
        <w:t>2</w:t>
      </w:r>
      <w:r>
        <w:rPr>
          <w:rStyle w:val="20"/>
          <w:rFonts w:hint="eastAsia" w:ascii="宋体" w:hAnsi="宋体"/>
        </w:rPr>
        <w:t>、</w:t>
      </w:r>
      <w:r>
        <w:rPr>
          <w:rStyle w:val="20"/>
          <w:rFonts w:ascii="宋体" w:hAnsi="宋体"/>
        </w:rPr>
        <w:t>基金</w:t>
      </w:r>
      <w:r>
        <w:rPr>
          <w:rStyle w:val="20"/>
          <w:rFonts w:hint="eastAsia" w:ascii="宋体" w:hAnsi="宋体"/>
        </w:rPr>
        <w:t>概况</w:t>
      </w:r>
      <w:bookmarkEnd w:id="8"/>
      <w:bookmarkEnd w:id="9"/>
    </w:p>
    <w:p>
      <w:pPr>
        <w:pStyle w:val="3"/>
        <w:spacing w:before="0" w:after="0"/>
        <w:rPr>
          <w:rFonts w:ascii="宋体" w:hAnsi="宋体" w:eastAsia="宋体"/>
          <w:kern w:val="0"/>
          <w:sz w:val="21"/>
          <w:szCs w:val="21"/>
        </w:rPr>
      </w:pPr>
      <w:bookmarkStart w:id="10" w:name="_Toc483396829"/>
      <w:bookmarkStart w:id="11" w:name="_Toc409100044"/>
      <w:bookmarkStart w:id="12" w:name="_Toc145339091"/>
      <w:bookmarkStart w:id="13" w:name="_Toc476577246"/>
      <w:bookmarkStart w:id="14" w:name="_Toc484607302"/>
      <w:bookmarkStart w:id="15" w:name="_Toc409100407"/>
      <w:bookmarkStart w:id="16" w:name="_Toc484769797"/>
      <w:bookmarkStart w:id="17" w:name="_Toc361324845"/>
      <w:r>
        <w:rPr>
          <w:rFonts w:ascii="宋体" w:hAnsi="宋体" w:eastAsia="宋体"/>
          <w:kern w:val="0"/>
          <w:sz w:val="21"/>
          <w:szCs w:val="21"/>
        </w:rPr>
        <w:t>2.1</w:t>
      </w:r>
      <w:r>
        <w:rPr>
          <w:rFonts w:hint="eastAsia" w:ascii="宋体" w:hAnsi="宋体" w:eastAsia="宋体"/>
          <w:kern w:val="0"/>
          <w:sz w:val="21"/>
          <w:szCs w:val="21"/>
        </w:rPr>
        <w:t xml:space="preserve"> </w:t>
      </w:r>
      <w:r>
        <w:rPr>
          <w:rFonts w:ascii="宋体" w:hAnsi="宋体" w:eastAsia="宋体"/>
          <w:kern w:val="0"/>
          <w:sz w:val="21"/>
          <w:szCs w:val="21"/>
        </w:rPr>
        <w:t>基金基本情况</w:t>
      </w:r>
      <w:bookmarkEnd w:id="10"/>
      <w:bookmarkEnd w:id="11"/>
      <w:bookmarkEnd w:id="12"/>
      <w:bookmarkEnd w:id="13"/>
      <w:bookmarkEnd w:id="14"/>
      <w:bookmarkEnd w:id="15"/>
      <w:bookmarkEnd w:id="16"/>
      <w:bookmarkEnd w:id="17"/>
    </w:p>
    <w:tbl>
      <w:tblPr>
        <w:tblStyle w:val="13"/>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90"/>
        <w:gridCol w:w="54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3008" w:type="dxa"/>
            <w:vAlign w:val="center"/>
          </w:tcPr>
          <w:p>
            <w:pPr>
              <w:pStyle w:val="36"/>
              <w:rPr>
                <w:rFonts w:ascii="Times New Roman" w:hAnsi="Times New Roman" w:eastAsiaTheme="minorEastAsia"/>
              </w:rPr>
            </w:pPr>
            <w:bookmarkStart w:id="18" w:name="_Toc390421230"/>
            <w:bookmarkStart w:id="19" w:name="_Toc482092221"/>
            <w:bookmarkStart w:id="20" w:name="_Toc491184118"/>
            <w:r>
              <w:rPr>
                <w:rFonts w:ascii="Times New Roman" w:hAnsi="Times New Roman" w:eastAsiaTheme="minorEastAsia"/>
              </w:rPr>
              <w:t>基金名称</w:t>
            </w:r>
          </w:p>
        </w:tc>
        <w:tc>
          <w:tcPr>
            <w:tcW w:w="5288" w:type="dxa"/>
            <w:vAlign w:val="center"/>
          </w:tcPr>
          <w:p>
            <w:pPr>
              <w:pStyle w:val="36"/>
              <w:rPr>
                <w:rFonts w:ascii="Times New Roman" w:hAnsi="Times New Roman" w:eastAsiaTheme="minorEastAsia"/>
              </w:rPr>
            </w:pPr>
            <w:r>
              <w:rPr>
                <w:rFonts w:ascii="Times New Roman" w:hAnsi="Times New Roman" w:eastAsiaTheme="minorEastAsia"/>
              </w:rPr>
              <w:t>博时养老目标日期2045五年持有期混合型发起式基金中基金（FOF）</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3008" w:type="dxa"/>
            <w:vAlign w:val="center"/>
          </w:tcPr>
          <w:p>
            <w:pPr>
              <w:pStyle w:val="36"/>
              <w:rPr>
                <w:rFonts w:ascii="Times New Roman" w:hAnsi="Times New Roman" w:eastAsiaTheme="minorEastAsia"/>
              </w:rPr>
            </w:pPr>
            <w:r>
              <w:rPr>
                <w:rFonts w:ascii="Times New Roman" w:hAnsi="Times New Roman" w:eastAsiaTheme="minorEastAsia"/>
              </w:rPr>
              <w:t>基金简称</w:t>
            </w:r>
          </w:p>
        </w:tc>
        <w:tc>
          <w:tcPr>
            <w:tcW w:w="5288" w:type="dxa"/>
            <w:vAlign w:val="center"/>
          </w:tcPr>
          <w:p>
            <w:pPr>
              <w:pStyle w:val="36"/>
              <w:rPr>
                <w:rFonts w:ascii="Times New Roman" w:hAnsi="Times New Roman" w:eastAsiaTheme="minorEastAsia"/>
              </w:rPr>
            </w:pPr>
            <w:r>
              <w:rPr>
                <w:rFonts w:ascii="Times New Roman" w:hAnsi="Times New Roman" w:eastAsiaTheme="minorEastAsia"/>
              </w:rPr>
              <w:t>博时养老目标2045五年持有混合发起（FOF）</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3008" w:type="dxa"/>
            <w:vAlign w:val="center"/>
          </w:tcPr>
          <w:p>
            <w:pPr>
              <w:pStyle w:val="36"/>
              <w:rPr>
                <w:rFonts w:ascii="Times New Roman" w:hAnsi="Times New Roman" w:eastAsiaTheme="minorEastAsia"/>
              </w:rPr>
            </w:pPr>
            <w:r>
              <w:rPr>
                <w:rFonts w:ascii="Times New Roman" w:hAnsi="Times New Roman" w:eastAsiaTheme="minorEastAsia"/>
              </w:rPr>
              <w:t>基金主代码</w:t>
            </w:r>
          </w:p>
        </w:tc>
        <w:tc>
          <w:tcPr>
            <w:tcW w:w="5288" w:type="dxa"/>
            <w:vAlign w:val="center"/>
          </w:tcPr>
          <w:p>
            <w:pPr>
              <w:pStyle w:val="36"/>
              <w:rPr>
                <w:rFonts w:ascii="Times New Roman" w:hAnsi="Times New Roman" w:eastAsiaTheme="minorEastAsia"/>
              </w:rPr>
            </w:pPr>
            <w:r>
              <w:rPr>
                <w:rFonts w:ascii="Times New Roman" w:hAnsi="Times New Roman" w:eastAsiaTheme="minorEastAsia"/>
              </w:rPr>
              <w:t>013043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3008" w:type="dxa"/>
            <w:vAlign w:val="center"/>
          </w:tcPr>
          <w:p>
            <w:pPr>
              <w:pStyle w:val="36"/>
              <w:rPr>
                <w:rFonts w:ascii="Times New Roman" w:hAnsi="Times New Roman" w:eastAsiaTheme="minorEastAsia"/>
              </w:rPr>
            </w:pPr>
            <w:r>
              <w:rPr>
                <w:rFonts w:ascii="Times New Roman" w:hAnsi="Times New Roman" w:eastAsiaTheme="minorEastAsia"/>
              </w:rPr>
              <w:t>基金运作方式</w:t>
            </w:r>
          </w:p>
        </w:tc>
        <w:tc>
          <w:tcPr>
            <w:tcW w:w="5288" w:type="dxa"/>
            <w:vAlign w:val="center"/>
          </w:tcPr>
          <w:p>
            <w:pPr>
              <w:pStyle w:val="36"/>
              <w:rPr>
                <w:rFonts w:ascii="Times New Roman" w:hAnsi="Times New Roman" w:eastAsiaTheme="minorEastAsia"/>
              </w:rPr>
            </w:pPr>
            <w:r>
              <w:rPr>
                <w:rFonts w:hint="eastAsia" w:ascii="Times New Roman" w:hAnsi="Times New Roman" w:eastAsiaTheme="minorEastAsia"/>
              </w:rPr>
              <w:t>契约型开放式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3008" w:type="dxa"/>
            <w:vAlign w:val="center"/>
          </w:tcPr>
          <w:p>
            <w:pPr>
              <w:pStyle w:val="36"/>
              <w:rPr>
                <w:rFonts w:ascii="Times New Roman" w:hAnsi="Times New Roman" w:eastAsiaTheme="minorEastAsia"/>
              </w:rPr>
            </w:pPr>
            <w:r>
              <w:rPr>
                <w:rFonts w:ascii="Times New Roman" w:hAnsi="Times New Roman" w:eastAsiaTheme="minorEastAsia"/>
              </w:rPr>
              <w:t>基金合同生效日</w:t>
            </w:r>
          </w:p>
        </w:tc>
        <w:tc>
          <w:tcPr>
            <w:tcW w:w="5288" w:type="dxa"/>
            <w:vAlign w:val="center"/>
          </w:tcPr>
          <w:p>
            <w:pPr>
              <w:pStyle w:val="36"/>
              <w:rPr>
                <w:rFonts w:ascii="Times New Roman" w:hAnsi="Times New Roman" w:eastAsiaTheme="minorEastAsia"/>
              </w:rPr>
            </w:pPr>
            <w:r>
              <w:rPr>
                <w:rFonts w:ascii="Times New Roman" w:hAnsi="Times New Roman" w:eastAsiaTheme="minorEastAsia"/>
              </w:rPr>
              <w:t>2021年08月30日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3008" w:type="dxa"/>
            <w:vAlign w:val="center"/>
          </w:tcPr>
          <w:p>
            <w:pPr>
              <w:pStyle w:val="36"/>
              <w:rPr>
                <w:rFonts w:ascii="Times New Roman" w:hAnsi="Times New Roman" w:eastAsiaTheme="minorEastAsia"/>
              </w:rPr>
            </w:pPr>
            <w:r>
              <w:rPr>
                <w:rFonts w:ascii="Times New Roman" w:hAnsi="Times New Roman" w:eastAsiaTheme="minorEastAsia"/>
              </w:rPr>
              <w:t>基金管理人</w:t>
            </w:r>
          </w:p>
        </w:tc>
        <w:tc>
          <w:tcPr>
            <w:tcW w:w="5288" w:type="dxa"/>
            <w:vAlign w:val="center"/>
          </w:tcPr>
          <w:p>
            <w:pPr>
              <w:pStyle w:val="36"/>
              <w:rPr>
                <w:rFonts w:ascii="Times New Roman" w:hAnsi="Times New Roman" w:eastAsiaTheme="minorEastAsia"/>
              </w:rPr>
            </w:pPr>
            <w:r>
              <w:rPr>
                <w:rFonts w:ascii="Times New Roman" w:hAnsi="Times New Roman" w:eastAsiaTheme="minorEastAsia"/>
              </w:rPr>
              <w:t>博时基金管理有限公司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3008" w:type="dxa"/>
            <w:vAlign w:val="center"/>
          </w:tcPr>
          <w:p>
            <w:pPr>
              <w:pStyle w:val="36"/>
              <w:rPr>
                <w:rFonts w:ascii="Times New Roman" w:hAnsi="Times New Roman" w:eastAsiaTheme="minorEastAsia"/>
              </w:rPr>
            </w:pPr>
            <w:r>
              <w:rPr>
                <w:rFonts w:ascii="Times New Roman" w:hAnsi="Times New Roman" w:eastAsiaTheme="minorEastAsia"/>
              </w:rPr>
              <w:t>基金托管人</w:t>
            </w:r>
          </w:p>
        </w:tc>
        <w:tc>
          <w:tcPr>
            <w:tcW w:w="5288" w:type="dxa"/>
            <w:vAlign w:val="center"/>
          </w:tcPr>
          <w:p>
            <w:pPr>
              <w:pStyle w:val="36"/>
              <w:rPr>
                <w:rFonts w:ascii="Times New Roman" w:hAnsi="Times New Roman" w:eastAsiaTheme="minorEastAsia"/>
              </w:rPr>
            </w:pPr>
            <w:r>
              <w:rPr>
                <w:rFonts w:ascii="Times New Roman" w:hAnsi="Times New Roman" w:eastAsiaTheme="minorEastAsia"/>
              </w:rPr>
              <w:t>招商银行股份有限公司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3008" w:type="dxa"/>
            <w:vAlign w:val="center"/>
          </w:tcPr>
          <w:p>
            <w:pPr>
              <w:pStyle w:val="36"/>
              <w:rPr>
                <w:rFonts w:ascii="Times New Roman" w:hAnsi="Times New Roman" w:eastAsiaTheme="minorEastAsia"/>
              </w:rPr>
            </w:pPr>
            <w:r>
              <w:rPr>
                <w:rFonts w:hint="eastAsia" w:ascii="Times New Roman" w:hAnsi="Times New Roman" w:eastAsiaTheme="minorEastAsia"/>
              </w:rPr>
              <w:t>最后运作日</w:t>
            </w:r>
            <w:r>
              <w:rPr>
                <w:rFonts w:ascii="Times New Roman" w:hAnsi="Times New Roman" w:eastAsiaTheme="minorEastAsia"/>
              </w:rPr>
              <w:t>基金份额总额</w:t>
            </w:r>
          </w:p>
        </w:tc>
        <w:tc>
          <w:tcPr>
            <w:tcW w:w="5288" w:type="dxa"/>
            <w:vAlign w:val="center"/>
          </w:tcPr>
          <w:p>
            <w:pPr>
              <w:pStyle w:val="36"/>
              <w:rPr>
                <w:rFonts w:ascii="Times New Roman" w:hAnsi="Times New Roman" w:eastAsiaTheme="minorEastAsia"/>
              </w:rPr>
            </w:pPr>
            <w:r>
              <w:rPr>
                <w:rFonts w:hint="eastAsia" w:ascii="Times New Roman" w:hAnsi="Times New Roman" w:eastAsiaTheme="minorEastAsia"/>
              </w:rPr>
              <w:t>11,922,437.65份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3008" w:type="dxa"/>
            <w:vAlign w:val="center"/>
          </w:tcPr>
          <w:p>
            <w:pPr>
              <w:pStyle w:val="36"/>
              <w:rPr>
                <w:rFonts w:ascii="Times New Roman" w:hAnsi="Times New Roman" w:eastAsiaTheme="minorEastAsia"/>
              </w:rPr>
            </w:pPr>
            <w:r>
              <w:rPr>
                <w:rFonts w:ascii="Times New Roman" w:hAnsi="Times New Roman" w:eastAsiaTheme="minorEastAsia"/>
              </w:rPr>
              <w:t>基金合同存续期</w:t>
            </w:r>
          </w:p>
        </w:tc>
        <w:tc>
          <w:tcPr>
            <w:tcW w:w="5288" w:type="dxa"/>
            <w:vAlign w:val="center"/>
          </w:tcPr>
          <w:p>
            <w:pPr>
              <w:pStyle w:val="36"/>
              <w:rPr>
                <w:rFonts w:ascii="Times New Roman" w:hAnsi="Times New Roman" w:eastAsiaTheme="minorEastAsia"/>
              </w:rPr>
            </w:pPr>
            <w:r>
              <w:rPr>
                <w:rFonts w:ascii="Times New Roman" w:hAnsi="Times New Roman" w:eastAsiaTheme="minorEastAsia"/>
              </w:rPr>
              <w:t>不定期</w:t>
            </w:r>
          </w:p>
        </w:tc>
      </w:tr>
    </w:tbl>
    <w:p>
      <w:pPr>
        <w:pStyle w:val="22"/>
        <w:rPr>
          <w:rFonts w:ascii="宋体" w:hAnsi="宋体"/>
          <w:sz w:val="21"/>
          <w:szCs w:val="21"/>
        </w:rPr>
      </w:pPr>
      <w:bookmarkStart w:id="21" w:name="_Toc145339092"/>
      <w:r>
        <w:rPr>
          <w:rFonts w:ascii="宋体" w:hAnsi="宋体"/>
          <w:sz w:val="21"/>
          <w:szCs w:val="21"/>
        </w:rPr>
        <w:t>2.2 基金产品说明</w:t>
      </w:r>
      <w:bookmarkEnd w:id="18"/>
      <w:bookmarkEnd w:id="19"/>
      <w:bookmarkEnd w:id="20"/>
      <w:bookmarkEnd w:id="21"/>
    </w:p>
    <w:tbl>
      <w:tblPr>
        <w:tblStyle w:val="13"/>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31"/>
        <w:gridCol w:w="69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90" w:type="dxa"/>
            <w:vAlign w:val="center"/>
          </w:tcPr>
          <w:p>
            <w:pPr>
              <w:pStyle w:val="36"/>
              <w:rPr>
                <w:rFonts w:ascii="Times New Roman" w:hAnsi="Times New Roman" w:eastAsiaTheme="minorEastAsia"/>
              </w:rPr>
            </w:pPr>
            <w:bookmarkStart w:id="22" w:name="_Toc409100049"/>
            <w:bookmarkStart w:id="23" w:name="_Toc361324850"/>
            <w:bookmarkStart w:id="24" w:name="_Toc225498250"/>
            <w:bookmarkStart w:id="25" w:name="_Toc409100412"/>
            <w:bookmarkStart w:id="26" w:name="_Toc484769799"/>
            <w:r>
              <w:rPr>
                <w:rFonts w:hint="eastAsia" w:ascii="Times New Roman" w:hAnsi="Times New Roman" w:eastAsiaTheme="minorEastAsia"/>
              </w:rPr>
              <w:t>投资目标</w:t>
            </w:r>
          </w:p>
        </w:tc>
        <w:tc>
          <w:tcPr>
            <w:tcW w:w="6806" w:type="dxa"/>
          </w:tcPr>
          <w:p>
            <w:pPr>
              <w:pStyle w:val="36"/>
              <w:rPr>
                <w:rFonts w:ascii="Times New Roman" w:hAnsi="Times New Roman" w:eastAsiaTheme="minorEastAsia"/>
              </w:rPr>
            </w:pPr>
            <w:r>
              <w:rPr>
                <w:rFonts w:hint="eastAsia" w:ascii="Times New Roman" w:hAnsi="Times New Roman" w:eastAsiaTheme="minorEastAsia"/>
              </w:rPr>
              <w:t>本基金是采用目标日期策略的基金中基金，目标日期为2045年12月31日。本基金通过大类资产配置，投资于多种具有不同风险收益特征的基金，并随着目标日期的临近逐步降低权益类资产的配置比例，寻求基金资产的长期稳健增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90" w:type="dxa"/>
            <w:vAlign w:val="center"/>
          </w:tcPr>
          <w:p>
            <w:pPr>
              <w:pStyle w:val="36"/>
              <w:rPr>
                <w:rFonts w:ascii="Times New Roman" w:hAnsi="Times New Roman" w:eastAsiaTheme="minorEastAsia"/>
              </w:rPr>
            </w:pPr>
            <w:r>
              <w:rPr>
                <w:rFonts w:hint="eastAsia" w:ascii="Times New Roman" w:hAnsi="Times New Roman" w:eastAsiaTheme="minorEastAsia"/>
              </w:rPr>
              <w:t>投资策略</w:t>
            </w:r>
          </w:p>
        </w:tc>
        <w:tc>
          <w:tcPr>
            <w:tcW w:w="6806" w:type="dxa"/>
          </w:tcPr>
          <w:p>
            <w:pPr>
              <w:pStyle w:val="36"/>
              <w:rPr>
                <w:rFonts w:ascii="Times New Roman" w:hAnsi="Times New Roman" w:eastAsiaTheme="minorEastAsia"/>
              </w:rPr>
            </w:pPr>
            <w:r>
              <w:rPr>
                <w:rFonts w:hint="eastAsia" w:ascii="Times New Roman" w:hAnsi="Times New Roman" w:eastAsiaTheme="minorEastAsia"/>
              </w:rPr>
              <w:t>本基金力争通过多层次的大类资产配置体系，合理配置股票、债券、商品等资产，并通过定量和定性相结合的方法精选各类资产下风险收益特征有相对优势的基金产品，构建基金组合，并严控投资过程中的各种风险，力争实现基金资产的稳定回报。具体为资产配置策略、下滑曲线设计理念、基金投资策略、风险控制策略、其他资产投资策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490" w:type="dxa"/>
            <w:vAlign w:val="center"/>
          </w:tcPr>
          <w:p>
            <w:pPr>
              <w:pStyle w:val="36"/>
              <w:rPr>
                <w:rFonts w:ascii="Times New Roman" w:hAnsi="Times New Roman" w:eastAsiaTheme="minorEastAsia"/>
              </w:rPr>
            </w:pPr>
            <w:r>
              <w:rPr>
                <w:rFonts w:hint="eastAsia" w:ascii="Times New Roman" w:hAnsi="Times New Roman" w:eastAsiaTheme="minorEastAsia"/>
              </w:rPr>
              <w:t>业绩比较基准</w:t>
            </w:r>
          </w:p>
        </w:tc>
        <w:tc>
          <w:tcPr>
            <w:tcW w:w="6806" w:type="dxa"/>
          </w:tcPr>
          <w:p>
            <w:pPr>
              <w:pStyle w:val="36"/>
              <w:rPr>
                <w:rFonts w:ascii="Times New Roman" w:hAnsi="Times New Roman" w:eastAsiaTheme="minorEastAsia"/>
              </w:rPr>
            </w:pPr>
            <w:r>
              <w:rPr>
                <w:rFonts w:hint="eastAsia" w:ascii="Times New Roman" w:hAnsi="Times New Roman" w:eastAsiaTheme="minorEastAsia"/>
              </w:rPr>
              <w:t>X*沪深300指数收益率+（100%-X）*中债综合财富(总值)指数收益率，其中X的取值请参见招募说明书中的规定执行。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490" w:type="dxa"/>
            <w:vAlign w:val="center"/>
          </w:tcPr>
          <w:p>
            <w:pPr>
              <w:pStyle w:val="36"/>
              <w:rPr>
                <w:rFonts w:ascii="Times New Roman" w:hAnsi="Times New Roman" w:eastAsiaTheme="minorEastAsia"/>
              </w:rPr>
            </w:pPr>
            <w:r>
              <w:rPr>
                <w:rFonts w:hint="eastAsia" w:ascii="Times New Roman" w:hAnsi="Times New Roman" w:eastAsiaTheme="minorEastAsia"/>
              </w:rPr>
              <w:t>风险收益特征</w:t>
            </w:r>
          </w:p>
        </w:tc>
        <w:tc>
          <w:tcPr>
            <w:tcW w:w="6806" w:type="dxa"/>
          </w:tcPr>
          <w:p>
            <w:pPr>
              <w:pStyle w:val="36"/>
              <w:rPr>
                <w:rFonts w:ascii="Times New Roman" w:hAnsi="Times New Roman" w:eastAsiaTheme="minorEastAsia"/>
              </w:rPr>
            </w:pPr>
            <w:r>
              <w:rPr>
                <w:rFonts w:hint="eastAsia" w:ascii="Times New Roman" w:hAnsi="Times New Roman" w:eastAsiaTheme="minorEastAsia"/>
              </w:rPr>
              <w:t>本基金属于采用目标日期策略的基金中基金，本基金为混合型基金中基金，理论上预期风险与预期收益水平低于股票型基金、股票型基金中基金（FOF），高于债券型基金、债券型基金中基金（FOF）、货币市场基金和货币型基金中基金（FOF）。本基金如果投资港股通标的股票，需承担汇率风险以及境外市场的风险。本基金为目标日期基金中基金，2045年12月31日为本基金的目标日期，风险和收益水平会随着目标日期的临近而逐步降低。</w:t>
            </w:r>
          </w:p>
        </w:tc>
      </w:tr>
    </w:tbl>
    <w:p>
      <w:pPr>
        <w:pStyle w:val="2"/>
        <w:keepNext/>
        <w:keepLines/>
        <w:widowControl w:val="0"/>
        <w:spacing w:before="312" w:beforeLines="100" w:after="312" w:afterLines="100" w:line="360" w:lineRule="auto"/>
        <w:jc w:val="center"/>
        <w:rPr>
          <w:rStyle w:val="20"/>
          <w:rFonts w:ascii="宋体" w:hAnsi="宋体"/>
          <w:b w:val="0"/>
        </w:rPr>
      </w:pPr>
      <w:bookmarkStart w:id="27" w:name="_Toc145339093"/>
      <w:r>
        <w:rPr>
          <w:rStyle w:val="20"/>
          <w:rFonts w:ascii="宋体" w:hAnsi="宋体"/>
        </w:rPr>
        <w:t>3</w:t>
      </w:r>
      <w:bookmarkEnd w:id="22"/>
      <w:bookmarkEnd w:id="23"/>
      <w:bookmarkEnd w:id="24"/>
      <w:bookmarkEnd w:id="25"/>
      <w:r>
        <w:rPr>
          <w:rStyle w:val="20"/>
          <w:rFonts w:hint="eastAsia" w:ascii="宋体" w:hAnsi="宋体"/>
        </w:rPr>
        <w:t>、基金运作情况说明</w:t>
      </w:r>
      <w:bookmarkEnd w:id="26"/>
      <w:bookmarkEnd w:id="27"/>
    </w:p>
    <w:p>
      <w:pPr>
        <w:spacing w:line="360" w:lineRule="auto"/>
        <w:ind w:firstLine="420" w:firstLineChars="200"/>
        <w:rPr>
          <w:rFonts w:hint="eastAsia"/>
          <w:szCs w:val="21"/>
          <w:lang w:eastAsia="zh-Hans"/>
        </w:rPr>
      </w:pPr>
      <w:bookmarkStart w:id="28" w:name="_Toc484769805"/>
      <w:bookmarkStart w:id="29" w:name="_Toc145339094"/>
      <w:r>
        <w:rPr>
          <w:rFonts w:hint="eastAsia"/>
          <w:szCs w:val="21"/>
          <w:lang w:eastAsia="zh-Hans"/>
        </w:rPr>
        <w:t>博时养老目标日期2045五年持有期混合型发起式基金中基金（FOF）(以下简称“本基金”)经中国证券监督管理委员会(以下简称“中国证监会”)证监许可[2021]2279号《关于准予博时养老目标日期2045五年持有期混合型发起式基金中基金（FOF）注册的批复》注册</w:t>
      </w:r>
      <w:r>
        <w:rPr>
          <w:rFonts w:hint="eastAsia"/>
          <w:szCs w:val="21"/>
          <w:lang w:eastAsia="zh-CN"/>
        </w:rPr>
        <w:t>，</w:t>
      </w:r>
      <w:r>
        <w:rPr>
          <w:rFonts w:hint="eastAsia"/>
          <w:szCs w:val="21"/>
          <w:lang w:eastAsia="zh-Hans"/>
        </w:rPr>
        <w:t>由博时基金管理有限公司于2021年07月19日至2021年08月25日向社会公开发行募集，基金合同于2021年08月30日正式生效，募集规模为10,779,859.33份基金份额（含利息结转的份额）。</w:t>
      </w:r>
    </w:p>
    <w:p>
      <w:pPr>
        <w:spacing w:line="360" w:lineRule="auto"/>
        <w:ind w:firstLine="420" w:firstLineChars="200"/>
        <w:rPr>
          <w:rFonts w:hint="eastAsia"/>
          <w:szCs w:val="21"/>
          <w:lang w:eastAsia="zh-Hans"/>
        </w:rPr>
      </w:pPr>
      <w:r>
        <w:rPr>
          <w:rFonts w:hint="eastAsia"/>
          <w:szCs w:val="21"/>
          <w:lang w:eastAsia="zh-Hans"/>
        </w:rPr>
        <w:t>自2021年08月30日至 202</w:t>
      </w:r>
      <w:r>
        <w:rPr>
          <w:rFonts w:hint="eastAsia"/>
          <w:szCs w:val="21"/>
          <w:lang w:val="en-US" w:eastAsia="zh-CN"/>
        </w:rPr>
        <w:t>4</w:t>
      </w:r>
      <w:r>
        <w:rPr>
          <w:rFonts w:hint="eastAsia"/>
          <w:szCs w:val="21"/>
          <w:lang w:eastAsia="zh-Hans"/>
        </w:rPr>
        <w:t>年</w:t>
      </w:r>
      <w:r>
        <w:rPr>
          <w:rFonts w:hint="eastAsia"/>
          <w:szCs w:val="21"/>
          <w:lang w:val="en-US" w:eastAsia="zh-CN"/>
        </w:rPr>
        <w:t>8</w:t>
      </w:r>
      <w:r>
        <w:rPr>
          <w:rFonts w:hint="eastAsia"/>
          <w:szCs w:val="21"/>
          <w:lang w:eastAsia="zh-Hans"/>
        </w:rPr>
        <w:t>月</w:t>
      </w:r>
      <w:r>
        <w:rPr>
          <w:rFonts w:hint="eastAsia"/>
          <w:szCs w:val="21"/>
          <w:lang w:val="en-US" w:eastAsia="zh-CN"/>
        </w:rPr>
        <w:t>30</w:t>
      </w:r>
      <w:r>
        <w:rPr>
          <w:rFonts w:hint="eastAsia"/>
          <w:szCs w:val="21"/>
          <w:lang w:eastAsia="zh-Hans"/>
        </w:rPr>
        <w:t>日期间，本基金按基金合同正常运作。</w:t>
      </w:r>
    </w:p>
    <w:p>
      <w:pPr>
        <w:spacing w:line="360" w:lineRule="auto"/>
        <w:ind w:firstLine="420" w:firstLineChars="200"/>
        <w:rPr>
          <w:rFonts w:hint="eastAsia"/>
          <w:szCs w:val="21"/>
          <w:lang w:eastAsia="zh-Hans"/>
        </w:rPr>
      </w:pPr>
      <w:r>
        <w:rPr>
          <w:rFonts w:hint="eastAsia"/>
          <w:szCs w:val="21"/>
          <w:lang w:eastAsia="zh-Hans"/>
        </w:rPr>
        <w:t>根据《中华人民共和国证券投资基金法》、《公开募集证券投资基金运作管理办法》的有关规定和《博时养老目标日期2045五年持有期混合型发起式基金中基金（FOF）基金合同》（以下简称“基金合同”或“《基金合同》”）的有关约定</w:t>
      </w:r>
      <w:r>
        <w:rPr>
          <w:rFonts w:hint="eastAsia"/>
          <w:szCs w:val="21"/>
          <w:lang w:eastAsia="zh-CN"/>
        </w:rPr>
        <w:t>：“本基金为发起式基金，本基金的基金合同生效之日起三年后的对应日，若基金资产净值低于两亿元的，本基金将根据基金合同的约定进行基金财产清算并终止，无需召开基金份额持有人大会审议，且不得通过召开基金份额持有人大会的方式延续。若届时的法律法规或中国证监会规定发生变化，上述终止规定被取消、更改或补充时，则本基金可以参照届时有效的法律法规或中国证监会规定执行。”本基金基金合同生效日为2021年</w:t>
      </w:r>
      <w:r>
        <w:rPr>
          <w:rFonts w:hint="eastAsia"/>
          <w:szCs w:val="21"/>
          <w:lang w:val="en-US" w:eastAsia="zh-CN"/>
        </w:rPr>
        <w:t>8</w:t>
      </w:r>
      <w:r>
        <w:rPr>
          <w:rFonts w:hint="eastAsia"/>
          <w:szCs w:val="21"/>
          <w:lang w:eastAsia="zh-CN"/>
        </w:rPr>
        <w:t>月</w:t>
      </w:r>
      <w:r>
        <w:rPr>
          <w:rFonts w:hint="eastAsia"/>
          <w:szCs w:val="21"/>
          <w:lang w:val="en-US" w:eastAsia="zh-CN"/>
        </w:rPr>
        <w:t>30</w:t>
      </w:r>
      <w:r>
        <w:rPr>
          <w:rFonts w:hint="eastAsia"/>
          <w:szCs w:val="21"/>
          <w:lang w:eastAsia="zh-CN"/>
        </w:rPr>
        <w:t>日，基金合同生效之日起三年后的对应日为2024年</w:t>
      </w:r>
      <w:r>
        <w:rPr>
          <w:rFonts w:hint="eastAsia"/>
          <w:szCs w:val="21"/>
          <w:lang w:val="en-US" w:eastAsia="zh-CN"/>
        </w:rPr>
        <w:t>8</w:t>
      </w:r>
      <w:r>
        <w:rPr>
          <w:rFonts w:hint="eastAsia"/>
          <w:szCs w:val="21"/>
          <w:lang w:eastAsia="zh-CN"/>
        </w:rPr>
        <w:t>月</w:t>
      </w:r>
      <w:r>
        <w:rPr>
          <w:rFonts w:hint="eastAsia"/>
          <w:szCs w:val="21"/>
          <w:lang w:val="en-US" w:eastAsia="zh-CN"/>
        </w:rPr>
        <w:t>30</w:t>
      </w:r>
      <w:r>
        <w:rPr>
          <w:rFonts w:hint="eastAsia"/>
          <w:szCs w:val="21"/>
          <w:lang w:eastAsia="zh-CN"/>
        </w:rPr>
        <w:t>日。截至2024年</w:t>
      </w:r>
      <w:r>
        <w:rPr>
          <w:rFonts w:hint="eastAsia"/>
          <w:szCs w:val="21"/>
          <w:lang w:val="en-US" w:eastAsia="zh-CN"/>
        </w:rPr>
        <w:t>8</w:t>
      </w:r>
      <w:r>
        <w:rPr>
          <w:rFonts w:hint="eastAsia"/>
          <w:szCs w:val="21"/>
          <w:lang w:eastAsia="zh-CN"/>
        </w:rPr>
        <w:t>月</w:t>
      </w:r>
      <w:r>
        <w:rPr>
          <w:rFonts w:hint="eastAsia"/>
          <w:szCs w:val="21"/>
          <w:lang w:val="en-US" w:eastAsia="zh-CN"/>
        </w:rPr>
        <w:t>30</w:t>
      </w:r>
      <w:r>
        <w:rPr>
          <w:rFonts w:hint="eastAsia"/>
          <w:szCs w:val="21"/>
          <w:lang w:eastAsia="zh-CN"/>
        </w:rPr>
        <w:t>日</w:t>
      </w:r>
      <w:r>
        <w:rPr>
          <w:rFonts w:hint="eastAsia"/>
          <w:szCs w:val="21"/>
          <w:lang w:val="en-US" w:eastAsia="zh-CN"/>
        </w:rPr>
        <w:t>日终</w:t>
      </w:r>
      <w:r>
        <w:rPr>
          <w:rFonts w:hint="eastAsia"/>
          <w:szCs w:val="21"/>
          <w:lang w:eastAsia="zh-CN"/>
        </w:rPr>
        <w:t>，本基金资产净值低于两亿元，已触发基金合同中约定的基金终止条款。根据《基金合同》有关约定，本基金将根据《基金合同》约定进入清算程序并终止，且无需召开基金份额持有人大会。</w:t>
      </w:r>
    </w:p>
    <w:p>
      <w:pPr>
        <w:spacing w:line="360" w:lineRule="auto"/>
        <w:ind w:firstLine="420" w:firstLineChars="200"/>
        <w:rPr>
          <w:rFonts w:hint="eastAsia"/>
          <w:szCs w:val="21"/>
          <w:lang w:val="en-US" w:eastAsia="zh-CN"/>
        </w:rPr>
      </w:pPr>
      <w:r>
        <w:rPr>
          <w:rFonts w:hint="eastAsia"/>
          <w:szCs w:val="21"/>
          <w:lang w:eastAsia="zh-Hans"/>
        </w:rPr>
        <w:t>本基金自202</w:t>
      </w:r>
      <w:r>
        <w:rPr>
          <w:rFonts w:hint="eastAsia"/>
          <w:szCs w:val="21"/>
          <w:lang w:val="en-US" w:eastAsia="zh-CN"/>
        </w:rPr>
        <w:t>4</w:t>
      </w:r>
      <w:r>
        <w:rPr>
          <w:rFonts w:hint="eastAsia"/>
          <w:szCs w:val="21"/>
          <w:lang w:eastAsia="zh-Hans"/>
        </w:rPr>
        <w:t>年</w:t>
      </w:r>
      <w:r>
        <w:rPr>
          <w:rFonts w:hint="eastAsia"/>
          <w:szCs w:val="21"/>
          <w:lang w:val="en-US" w:eastAsia="zh-CN"/>
        </w:rPr>
        <w:t>8</w:t>
      </w:r>
      <w:r>
        <w:rPr>
          <w:rFonts w:hint="eastAsia"/>
          <w:szCs w:val="21"/>
          <w:lang w:eastAsia="zh-Hans"/>
        </w:rPr>
        <w:t>月</w:t>
      </w:r>
      <w:r>
        <w:rPr>
          <w:rFonts w:hint="eastAsia"/>
          <w:szCs w:val="21"/>
          <w:lang w:val="en-US" w:eastAsia="zh-CN"/>
        </w:rPr>
        <w:t>31</w:t>
      </w:r>
      <w:r>
        <w:rPr>
          <w:rFonts w:hint="eastAsia"/>
          <w:szCs w:val="21"/>
          <w:lang w:eastAsia="zh-Hans"/>
        </w:rPr>
        <w:t>日起，进入清算程序。</w:t>
      </w:r>
    </w:p>
    <w:p>
      <w:pPr>
        <w:pStyle w:val="2"/>
        <w:keepNext/>
        <w:keepLines/>
        <w:widowControl w:val="0"/>
        <w:spacing w:before="312" w:beforeLines="100" w:after="312" w:afterLines="100" w:line="360" w:lineRule="auto"/>
        <w:jc w:val="center"/>
        <w:rPr>
          <w:rStyle w:val="20"/>
          <w:rFonts w:ascii="宋体" w:hAnsi="宋体"/>
        </w:rPr>
      </w:pPr>
      <w:r>
        <w:rPr>
          <w:rStyle w:val="20"/>
          <w:rFonts w:hint="eastAsia" w:ascii="宋体" w:hAnsi="宋体"/>
        </w:rPr>
        <w:t>4、财务报告</w:t>
      </w:r>
      <w:bookmarkEnd w:id="28"/>
      <w:bookmarkEnd w:id="29"/>
    </w:p>
    <w:p>
      <w:pPr>
        <w:pStyle w:val="3"/>
        <w:spacing w:before="0" w:after="0"/>
        <w:rPr>
          <w:rFonts w:ascii="宋体" w:hAnsi="宋体" w:eastAsia="宋体"/>
          <w:kern w:val="0"/>
          <w:sz w:val="21"/>
          <w:szCs w:val="21"/>
        </w:rPr>
      </w:pPr>
      <w:bookmarkStart w:id="30" w:name="_Toc484769806"/>
      <w:bookmarkStart w:id="31" w:name="_Toc483396838"/>
      <w:bookmarkStart w:id="32" w:name="_Toc409100437"/>
      <w:bookmarkStart w:id="33" w:name="_Toc476577275"/>
      <w:bookmarkStart w:id="34" w:name="_Toc225498268"/>
      <w:bookmarkStart w:id="35" w:name="_Toc484607311"/>
      <w:bookmarkStart w:id="36" w:name="_Toc409100074"/>
      <w:bookmarkStart w:id="37" w:name="_Toc361324873"/>
      <w:bookmarkStart w:id="38" w:name="_Toc145339095"/>
      <w:r>
        <w:rPr>
          <w:rFonts w:hint="eastAsia" w:ascii="宋体" w:hAnsi="宋体" w:eastAsia="宋体"/>
          <w:kern w:val="0"/>
          <w:sz w:val="21"/>
          <w:szCs w:val="21"/>
        </w:rPr>
        <w:t>4</w:t>
      </w:r>
      <w:r>
        <w:rPr>
          <w:rFonts w:ascii="宋体" w:hAnsi="宋体" w:eastAsia="宋体"/>
          <w:kern w:val="0"/>
          <w:sz w:val="21"/>
          <w:szCs w:val="21"/>
        </w:rPr>
        <w:t>.1 资产负债表</w:t>
      </w:r>
      <w:bookmarkEnd w:id="30"/>
      <w:bookmarkEnd w:id="31"/>
      <w:bookmarkEnd w:id="32"/>
      <w:bookmarkEnd w:id="33"/>
      <w:bookmarkEnd w:id="34"/>
      <w:bookmarkEnd w:id="35"/>
      <w:bookmarkEnd w:id="36"/>
      <w:bookmarkEnd w:id="37"/>
      <w:r>
        <w:rPr>
          <w:rFonts w:hint="eastAsia" w:ascii="宋体" w:hAnsi="宋体" w:eastAsia="宋体"/>
          <w:kern w:val="0"/>
          <w:sz w:val="21"/>
          <w:szCs w:val="21"/>
        </w:rPr>
        <w:t>(已经审计)</w:t>
      </w:r>
      <w:bookmarkEnd w:id="38"/>
    </w:p>
    <w:p>
      <w:pPr>
        <w:autoSpaceDE w:val="0"/>
        <w:autoSpaceDN w:val="0"/>
        <w:adjustRightInd w:val="0"/>
        <w:spacing w:before="29" w:line="360" w:lineRule="auto"/>
        <w:ind w:left="15"/>
        <w:jc w:val="right"/>
        <w:rPr>
          <w:rFonts w:ascii="宋体" w:hAnsi="宋体"/>
          <w:color w:val="000000"/>
          <w:kern w:val="0"/>
          <w:szCs w:val="21"/>
        </w:rPr>
      </w:pPr>
      <w:r>
        <w:rPr>
          <w:rFonts w:ascii="宋体" w:hAnsi="宋体"/>
          <w:color w:val="000000"/>
          <w:kern w:val="0"/>
          <w:szCs w:val="21"/>
        </w:rPr>
        <w:t>单位：人民币元</w:t>
      </w:r>
    </w:p>
    <w:tbl>
      <w:tblPr>
        <w:tblStyle w:val="13"/>
        <w:tblW w:w="7951" w:type="dxa"/>
        <w:tblInd w:w="1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90"/>
        <w:gridCol w:w="4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490" w:type="dxa"/>
            <w:shd w:val="clear" w:color="auto" w:fill="auto"/>
            <w:vAlign w:val="center"/>
          </w:tcPr>
          <w:p>
            <w:pPr>
              <w:pStyle w:val="11"/>
              <w:spacing w:before="0" w:beforeAutospacing="0" w:after="0" w:afterAutospacing="0"/>
              <w:jc w:val="center"/>
              <w:rPr>
                <w:rFonts w:ascii="Arial" w:hAnsi="Arial" w:eastAsia="宋体" w:cs="Arial"/>
                <w:b/>
              </w:rPr>
            </w:pPr>
            <w:r>
              <w:rPr>
                <w:rFonts w:ascii="Arial" w:hAnsi="Arial" w:eastAsia="宋体" w:cs="Arial"/>
                <w:b/>
              </w:rPr>
              <w:t>资产</w:t>
            </w:r>
          </w:p>
        </w:tc>
        <w:tc>
          <w:tcPr>
            <w:tcW w:w="4461" w:type="dxa"/>
            <w:shd w:val="clear" w:color="auto" w:fill="auto"/>
            <w:vAlign w:val="center"/>
          </w:tcPr>
          <w:p>
            <w:pPr>
              <w:pStyle w:val="11"/>
              <w:spacing w:before="0" w:beforeAutospacing="0" w:after="0" w:afterAutospacing="0"/>
              <w:jc w:val="center"/>
              <w:rPr>
                <w:rFonts w:ascii="Arial" w:hAnsi="Arial" w:eastAsia="宋体" w:cs="Arial"/>
                <w:b/>
                <w:lang w:eastAsia="zh-CN"/>
              </w:rPr>
            </w:pPr>
            <w:r>
              <w:rPr>
                <w:rFonts w:ascii="Arial" w:hAnsi="Arial" w:eastAsia="宋体" w:cs="Arial"/>
                <w:b/>
                <w:lang w:eastAsia="zh-CN"/>
              </w:rPr>
              <w:t>202</w:t>
            </w:r>
            <w:r>
              <w:rPr>
                <w:rFonts w:hint="eastAsia" w:ascii="Arial" w:hAnsi="Arial" w:eastAsia="宋体" w:cs="Arial"/>
                <w:b/>
                <w:lang w:val="en-US" w:eastAsia="zh-CN"/>
              </w:rPr>
              <w:t>4</w:t>
            </w:r>
            <w:r>
              <w:rPr>
                <w:rFonts w:ascii="Arial" w:hAnsi="Arial" w:eastAsia="宋体" w:cs="Arial"/>
                <w:b/>
                <w:lang w:eastAsia="zh-CN"/>
              </w:rPr>
              <w:t>年</w:t>
            </w:r>
            <w:r>
              <w:rPr>
                <w:rFonts w:hint="eastAsia" w:ascii="Arial" w:hAnsi="Arial" w:eastAsia="宋体" w:cs="Arial"/>
                <w:b/>
                <w:lang w:val="en-US" w:eastAsia="zh-CN"/>
              </w:rPr>
              <w:t>8</w:t>
            </w:r>
            <w:r>
              <w:rPr>
                <w:rFonts w:ascii="Arial" w:hAnsi="Arial" w:eastAsia="宋体" w:cs="Arial"/>
                <w:b/>
                <w:lang w:eastAsia="zh-CN"/>
              </w:rPr>
              <w:t>月3</w:t>
            </w:r>
            <w:r>
              <w:rPr>
                <w:rFonts w:hint="eastAsia" w:ascii="Arial" w:hAnsi="Arial" w:eastAsia="宋体" w:cs="Arial"/>
                <w:b/>
                <w:lang w:val="en-US" w:eastAsia="zh-CN"/>
              </w:rPr>
              <w:t>0</w:t>
            </w:r>
            <w:r>
              <w:rPr>
                <w:rFonts w:ascii="Arial" w:hAnsi="Arial" w:eastAsia="宋体" w:cs="Arial"/>
                <w:b/>
                <w:lang w:eastAsia="zh-CN"/>
              </w:rPr>
              <w:t>日</w:t>
            </w:r>
          </w:p>
          <w:p>
            <w:pPr>
              <w:pStyle w:val="11"/>
              <w:spacing w:before="0" w:beforeAutospacing="0" w:after="0" w:afterAutospacing="0"/>
              <w:jc w:val="center"/>
              <w:rPr>
                <w:rFonts w:ascii="Arial" w:hAnsi="Arial" w:eastAsia="宋体" w:cs="Arial"/>
                <w:b/>
                <w:lang w:eastAsia="zh-CN"/>
              </w:rPr>
            </w:pPr>
            <w:r>
              <w:rPr>
                <w:rFonts w:ascii="Arial" w:hAnsi="Arial" w:eastAsia="宋体" w:cs="Arial"/>
                <w:b/>
                <w:lang w:eastAsia="zh-CN"/>
              </w:rPr>
              <w:t>(基金</w:t>
            </w:r>
            <w:r>
              <w:rPr>
                <w:rFonts w:hint="eastAsia" w:ascii="Arial" w:hAnsi="Arial" w:eastAsia="宋体" w:cs="Arial"/>
                <w:b/>
                <w:lang w:eastAsia="zh-CN"/>
              </w:rPr>
              <w:t>最后运作</w:t>
            </w:r>
            <w:r>
              <w:rPr>
                <w:rFonts w:ascii="Arial" w:hAnsi="Arial" w:eastAsia="宋体" w:cs="Arial"/>
                <w:b/>
                <w:lang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490" w:type="dxa"/>
            <w:shd w:val="clear" w:color="auto" w:fill="auto"/>
            <w:vAlign w:val="bottom"/>
          </w:tcPr>
          <w:p>
            <w:pPr>
              <w:spacing w:before="100" w:beforeAutospacing="1" w:after="100" w:afterAutospacing="1"/>
              <w:rPr>
                <w:rFonts w:ascii="Arial" w:hAnsi="Arial" w:cs="Arial"/>
                <w:b/>
                <w:bCs/>
                <w:sz w:val="24"/>
              </w:rPr>
            </w:pPr>
            <w:r>
              <w:rPr>
                <w:rFonts w:ascii="Arial" w:hAnsi="Arial" w:cs="Arial"/>
                <w:b/>
                <w:bCs/>
                <w:sz w:val="24"/>
              </w:rPr>
              <w:t>资产：</w:t>
            </w:r>
          </w:p>
        </w:tc>
        <w:tc>
          <w:tcPr>
            <w:tcW w:w="4461" w:type="dxa"/>
            <w:shd w:val="clear" w:color="auto" w:fill="auto"/>
            <w:vAlign w:val="bottom"/>
          </w:tcPr>
          <w:p>
            <w:pPr>
              <w:spacing w:before="100" w:beforeAutospacing="1" w:after="100" w:afterAutospacing="1"/>
              <w:ind w:left="-72"/>
              <w:jc w:val="right"/>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490" w:type="dxa"/>
            <w:shd w:val="clear" w:color="auto" w:fill="auto"/>
            <w:vAlign w:val="bottom"/>
          </w:tcPr>
          <w:p>
            <w:pPr>
              <w:spacing w:before="100" w:beforeAutospacing="1" w:after="100" w:afterAutospacing="1"/>
              <w:rPr>
                <w:rFonts w:ascii="Arial" w:hAnsi="Arial" w:cs="Arial"/>
                <w:sz w:val="24"/>
              </w:rPr>
            </w:pPr>
            <w:r>
              <w:rPr>
                <w:rFonts w:hint="eastAsia" w:ascii="Arial" w:hAnsi="Arial" w:cs="Arial"/>
                <w:sz w:val="24"/>
              </w:rPr>
              <w:t>货币资金</w:t>
            </w:r>
          </w:p>
        </w:tc>
        <w:tc>
          <w:tcPr>
            <w:tcW w:w="4461" w:type="dxa"/>
            <w:shd w:val="clear" w:color="auto" w:fill="auto"/>
            <w:vAlign w:val="bottom"/>
          </w:tcPr>
          <w:p>
            <w:pPr>
              <w:ind w:left="-80"/>
              <w:jc w:val="right"/>
              <w:rPr>
                <w:rFonts w:ascii="Arial" w:hAnsi="Arial" w:cs="Arial"/>
                <w:color w:val="000000"/>
                <w:sz w:val="24"/>
              </w:rPr>
            </w:pPr>
            <w:r>
              <w:rPr>
                <w:rFonts w:ascii="Arial" w:hAnsi="Arial" w:cs="Arial"/>
                <w:color w:val="000000"/>
                <w:sz w:val="24"/>
              </w:rPr>
              <w:t>1,355,844.08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490" w:type="dxa"/>
            <w:shd w:val="clear" w:color="auto" w:fill="auto"/>
            <w:vAlign w:val="bottom"/>
          </w:tcPr>
          <w:p>
            <w:pPr>
              <w:spacing w:before="100" w:beforeAutospacing="1" w:after="100" w:afterAutospacing="1"/>
              <w:rPr>
                <w:rFonts w:ascii="Arial" w:hAnsi="Arial" w:cs="Arial"/>
                <w:sz w:val="24"/>
              </w:rPr>
            </w:pPr>
            <w:r>
              <w:rPr>
                <w:rFonts w:ascii="Arial" w:hAnsi="Arial" w:cs="Arial"/>
                <w:sz w:val="24"/>
              </w:rPr>
              <w:t>结算备付金</w:t>
            </w:r>
          </w:p>
        </w:tc>
        <w:tc>
          <w:tcPr>
            <w:tcW w:w="4461" w:type="dxa"/>
            <w:shd w:val="clear" w:color="auto" w:fill="auto"/>
            <w:vAlign w:val="bottom"/>
          </w:tcPr>
          <w:p>
            <w:pPr>
              <w:ind w:left="-80"/>
              <w:jc w:val="right"/>
              <w:rPr>
                <w:rFonts w:ascii="Arial" w:hAnsi="Arial" w:cs="Arial"/>
                <w:color w:val="000000"/>
                <w:sz w:val="24"/>
              </w:rPr>
            </w:pPr>
            <w:r>
              <w:rPr>
                <w:rFonts w:ascii="Arial" w:hAnsi="Arial" w:cs="Arial"/>
                <w:color w:val="000000"/>
                <w:sz w:val="24"/>
              </w:rPr>
              <w:t>9.88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490" w:type="dxa"/>
            <w:shd w:val="clear" w:color="auto" w:fill="auto"/>
            <w:vAlign w:val="bottom"/>
          </w:tcPr>
          <w:p>
            <w:pPr>
              <w:spacing w:before="100" w:beforeAutospacing="1" w:after="100" w:afterAutospacing="1"/>
              <w:rPr>
                <w:rFonts w:ascii="Arial" w:hAnsi="Arial" w:cs="Arial"/>
                <w:sz w:val="24"/>
              </w:rPr>
            </w:pPr>
            <w:r>
              <w:rPr>
                <w:rFonts w:hint="eastAsia" w:ascii="Arial" w:hAnsi="Arial" w:cs="Arial"/>
                <w:sz w:val="24"/>
              </w:rPr>
              <w:t>存出保证金</w:t>
            </w:r>
          </w:p>
        </w:tc>
        <w:tc>
          <w:tcPr>
            <w:tcW w:w="4461" w:type="dxa"/>
            <w:shd w:val="clear" w:color="auto" w:fill="auto"/>
            <w:vAlign w:val="bottom"/>
          </w:tcPr>
          <w:p>
            <w:pPr>
              <w:ind w:left="-80"/>
              <w:jc w:val="right"/>
              <w:rPr>
                <w:rFonts w:ascii="Arial" w:hAnsi="Arial" w:cs="Arial"/>
                <w:color w:val="000000"/>
                <w:sz w:val="24"/>
              </w:rPr>
            </w:pPr>
            <w:r>
              <w:rPr>
                <w:rFonts w:ascii="Arial" w:hAnsi="Arial" w:cs="Arial"/>
                <w:color w:val="000000"/>
                <w:sz w:val="24"/>
              </w:rPr>
              <w:t>669.35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490" w:type="dxa"/>
            <w:shd w:val="clear" w:color="auto" w:fill="auto"/>
            <w:vAlign w:val="bottom"/>
          </w:tcPr>
          <w:p>
            <w:pPr>
              <w:spacing w:before="100" w:beforeAutospacing="1" w:after="100" w:afterAutospacing="1"/>
              <w:rPr>
                <w:rFonts w:ascii="Arial" w:hAnsi="Arial" w:cs="Arial"/>
                <w:sz w:val="24"/>
              </w:rPr>
            </w:pPr>
            <w:r>
              <w:rPr>
                <w:rFonts w:ascii="Arial" w:hAnsi="Arial" w:cs="Arial"/>
                <w:sz w:val="24"/>
              </w:rPr>
              <w:t>交易性金融资产</w:t>
            </w:r>
          </w:p>
        </w:tc>
        <w:tc>
          <w:tcPr>
            <w:tcW w:w="4461" w:type="dxa"/>
            <w:shd w:val="clear" w:color="auto" w:fill="auto"/>
            <w:vAlign w:val="bottom"/>
          </w:tcPr>
          <w:p>
            <w:pPr>
              <w:ind w:left="-80"/>
              <w:jc w:val="right"/>
              <w:rPr>
                <w:rFonts w:ascii="Arial" w:hAnsi="Arial" w:cs="Arial"/>
                <w:color w:val="000000"/>
                <w:sz w:val="24"/>
                <w:lang w:val="en-GB"/>
              </w:rPr>
            </w:pPr>
            <w:r>
              <w:rPr>
                <w:rFonts w:ascii="Arial" w:hAnsi="Arial" w:cs="Arial"/>
                <w:color w:val="000000"/>
                <w:sz w:val="24"/>
              </w:rPr>
              <w:t>7,473,979.22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490" w:type="dxa"/>
            <w:shd w:val="clear" w:color="auto" w:fill="auto"/>
            <w:vAlign w:val="bottom"/>
          </w:tcPr>
          <w:p>
            <w:pPr>
              <w:spacing w:before="100" w:beforeAutospacing="1" w:after="100" w:afterAutospacing="1"/>
              <w:rPr>
                <w:rFonts w:ascii="Arial" w:hAnsi="Arial" w:cs="Arial"/>
                <w:sz w:val="24"/>
              </w:rPr>
            </w:pPr>
            <w:r>
              <w:rPr>
                <w:rFonts w:hint="eastAsia" w:ascii="Arial" w:hAnsi="Arial" w:cs="Arial"/>
                <w:sz w:val="24"/>
              </w:rPr>
              <w:t>其他资产</w:t>
            </w:r>
          </w:p>
        </w:tc>
        <w:tc>
          <w:tcPr>
            <w:tcW w:w="4461" w:type="dxa"/>
            <w:shd w:val="clear" w:color="auto" w:fill="auto"/>
            <w:vAlign w:val="bottom"/>
          </w:tcPr>
          <w:p>
            <w:pPr>
              <w:ind w:left="-80"/>
              <w:jc w:val="right"/>
              <w:rPr>
                <w:rFonts w:ascii="Arial" w:hAnsi="Arial" w:cs="Arial"/>
                <w:color w:val="000000"/>
                <w:sz w:val="24"/>
                <w:lang w:val="en-GB"/>
              </w:rPr>
            </w:pPr>
            <w:r>
              <w:rPr>
                <w:rFonts w:ascii="Arial" w:hAnsi="Arial" w:cs="Arial"/>
                <w:color w:val="000000"/>
                <w:sz w:val="24"/>
              </w:rPr>
              <w:t>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490" w:type="dxa"/>
            <w:shd w:val="clear" w:color="auto" w:fill="auto"/>
            <w:vAlign w:val="bottom"/>
          </w:tcPr>
          <w:p>
            <w:pPr>
              <w:spacing w:before="100" w:beforeAutospacing="1" w:after="100" w:afterAutospacing="1"/>
              <w:rPr>
                <w:rFonts w:ascii="Arial" w:hAnsi="Arial" w:cs="Arial"/>
                <w:b/>
                <w:bCs/>
                <w:sz w:val="24"/>
              </w:rPr>
            </w:pPr>
            <w:r>
              <w:rPr>
                <w:rFonts w:ascii="Arial" w:hAnsi="Arial" w:cs="Arial"/>
                <w:b/>
                <w:bCs/>
                <w:sz w:val="24"/>
              </w:rPr>
              <w:t>资产总计</w:t>
            </w:r>
          </w:p>
        </w:tc>
        <w:tc>
          <w:tcPr>
            <w:tcW w:w="4461" w:type="dxa"/>
            <w:shd w:val="clear" w:color="auto" w:fill="auto"/>
            <w:vAlign w:val="bottom"/>
          </w:tcPr>
          <w:p>
            <w:pPr>
              <w:jc w:val="right"/>
              <w:rPr>
                <w:rFonts w:ascii="Arial" w:hAnsi="Arial" w:cs="Arial"/>
                <w:b/>
                <w:bCs/>
                <w:color w:val="000000"/>
                <w:sz w:val="24"/>
              </w:rPr>
            </w:pPr>
            <w:r>
              <w:rPr>
                <w:rFonts w:ascii="Arial" w:hAnsi="Arial" w:cs="Arial"/>
                <w:b/>
                <w:bCs/>
                <w:color w:val="000000"/>
                <w:sz w:val="24"/>
              </w:rPr>
              <w:t>8,830,502.83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490" w:type="dxa"/>
            <w:shd w:val="clear" w:color="auto" w:fill="auto"/>
            <w:vAlign w:val="bottom"/>
          </w:tcPr>
          <w:p>
            <w:pPr>
              <w:spacing w:before="100" w:beforeAutospacing="1" w:after="100" w:afterAutospacing="1"/>
              <w:rPr>
                <w:rFonts w:ascii="Arial" w:hAnsi="Arial" w:cs="Arial"/>
                <w:b/>
                <w:bCs/>
                <w:sz w:val="24"/>
              </w:rPr>
            </w:pPr>
            <w:r>
              <w:rPr>
                <w:rFonts w:ascii="Arial" w:hAnsi="Arial" w:cs="Arial"/>
                <w:b/>
                <w:bCs/>
                <w:sz w:val="24"/>
              </w:rPr>
              <w:t>负债：</w:t>
            </w:r>
          </w:p>
        </w:tc>
        <w:tc>
          <w:tcPr>
            <w:tcW w:w="4461" w:type="dxa"/>
            <w:shd w:val="clear" w:color="auto" w:fill="auto"/>
            <w:vAlign w:val="bottom"/>
          </w:tcPr>
          <w:p>
            <w:pPr>
              <w:tabs>
                <w:tab w:val="decimal" w:pos="1629"/>
              </w:tabs>
              <w:spacing w:before="100" w:beforeAutospacing="1" w:after="100" w:afterAutospacing="1"/>
              <w:ind w:left="-80"/>
              <w:jc w:val="right"/>
              <w:rPr>
                <w:rFonts w:ascii="Arial" w:hAnsi="Arial" w:cs="Arial"/>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490" w:type="dxa"/>
            <w:shd w:val="clear" w:color="auto" w:fill="auto"/>
            <w:vAlign w:val="top"/>
          </w:tcPr>
          <w:p>
            <w:pPr>
              <w:spacing w:before="100" w:beforeAutospacing="1" w:after="100" w:afterAutospacing="1"/>
              <w:rPr>
                <w:rFonts w:ascii="Arial" w:hAnsi="Arial" w:cs="Arial"/>
                <w:sz w:val="24"/>
              </w:rPr>
            </w:pPr>
            <w:r>
              <w:rPr>
                <w:rFonts w:hint="eastAsia" w:ascii="Arial" w:hAnsi="Arial" w:cs="Arial"/>
                <w:sz w:val="24"/>
              </w:rPr>
              <w:t>应付管理人报酬</w:t>
            </w:r>
          </w:p>
        </w:tc>
        <w:tc>
          <w:tcPr>
            <w:tcW w:w="4461" w:type="dxa"/>
            <w:shd w:val="clear" w:color="auto" w:fill="auto"/>
            <w:vAlign w:val="center"/>
          </w:tcPr>
          <w:p>
            <w:pPr>
              <w:ind w:left="-80"/>
              <w:jc w:val="right"/>
              <w:rPr>
                <w:rFonts w:ascii="Arial" w:hAnsi="Arial" w:cs="Arial"/>
                <w:color w:val="000000"/>
                <w:sz w:val="24"/>
              </w:rPr>
            </w:pPr>
            <w:r>
              <w:rPr>
                <w:rFonts w:ascii="Arial" w:hAnsi="Arial" w:cs="Arial"/>
                <w:color w:val="000000"/>
                <w:sz w:val="24"/>
              </w:rPr>
              <w:t>4,170.85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490" w:type="dxa"/>
            <w:shd w:val="clear" w:color="auto" w:fill="auto"/>
            <w:vAlign w:val="top"/>
          </w:tcPr>
          <w:p>
            <w:pPr>
              <w:spacing w:before="100" w:beforeAutospacing="1" w:after="100" w:afterAutospacing="1"/>
              <w:rPr>
                <w:rFonts w:ascii="Arial" w:hAnsi="Arial" w:cs="Arial"/>
                <w:sz w:val="24"/>
              </w:rPr>
            </w:pPr>
            <w:r>
              <w:rPr>
                <w:rFonts w:hint="eastAsia" w:ascii="Arial" w:hAnsi="Arial" w:cs="Arial"/>
                <w:sz w:val="24"/>
              </w:rPr>
              <w:t>应付托管费</w:t>
            </w:r>
          </w:p>
        </w:tc>
        <w:tc>
          <w:tcPr>
            <w:tcW w:w="4461" w:type="dxa"/>
            <w:shd w:val="clear" w:color="auto" w:fill="auto"/>
            <w:vAlign w:val="center"/>
          </w:tcPr>
          <w:p>
            <w:pPr>
              <w:ind w:left="-80"/>
              <w:jc w:val="right"/>
              <w:rPr>
                <w:rFonts w:ascii="Arial" w:hAnsi="Arial" w:cs="Arial"/>
                <w:color w:val="000000"/>
                <w:sz w:val="24"/>
              </w:rPr>
            </w:pPr>
            <w:r>
              <w:rPr>
                <w:rFonts w:ascii="Arial" w:hAnsi="Arial" w:cs="Arial"/>
                <w:color w:val="000000"/>
                <w:sz w:val="24"/>
              </w:rPr>
              <w:t>1,006.31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490" w:type="dxa"/>
            <w:shd w:val="clear" w:color="auto" w:fill="auto"/>
            <w:vAlign w:val="top"/>
          </w:tcPr>
          <w:p>
            <w:pPr>
              <w:spacing w:before="100" w:beforeAutospacing="1" w:after="100" w:afterAutospacing="1"/>
              <w:rPr>
                <w:rFonts w:ascii="Arial" w:hAnsi="Arial" w:cs="Arial"/>
                <w:sz w:val="24"/>
              </w:rPr>
            </w:pPr>
            <w:r>
              <w:rPr>
                <w:rFonts w:hint="eastAsia" w:ascii="Arial" w:hAnsi="Arial" w:cs="Arial"/>
                <w:sz w:val="24"/>
              </w:rPr>
              <w:t>应交税费</w:t>
            </w:r>
          </w:p>
        </w:tc>
        <w:tc>
          <w:tcPr>
            <w:tcW w:w="4461" w:type="dxa"/>
            <w:shd w:val="clear" w:color="auto" w:fill="auto"/>
            <w:vAlign w:val="center"/>
          </w:tcPr>
          <w:p>
            <w:pPr>
              <w:ind w:left="-80"/>
              <w:jc w:val="right"/>
              <w:rPr>
                <w:rFonts w:ascii="Arial" w:hAnsi="Arial" w:cs="Arial"/>
                <w:color w:val="000000"/>
                <w:sz w:val="24"/>
              </w:rPr>
            </w:pPr>
            <w:r>
              <w:rPr>
                <w:rFonts w:ascii="Arial" w:hAnsi="Arial" w:cs="Arial"/>
                <w:color w:val="000000"/>
                <w:sz w:val="24"/>
              </w:rPr>
              <w:t>1,892.64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490" w:type="dxa"/>
            <w:shd w:val="clear" w:color="auto" w:fill="auto"/>
            <w:vAlign w:val="top"/>
          </w:tcPr>
          <w:p>
            <w:pPr>
              <w:spacing w:before="100" w:beforeAutospacing="1" w:after="100" w:afterAutospacing="1"/>
              <w:rPr>
                <w:rFonts w:ascii="Arial" w:hAnsi="Arial" w:cs="Arial"/>
                <w:sz w:val="24"/>
              </w:rPr>
            </w:pPr>
            <w:r>
              <w:rPr>
                <w:rFonts w:hint="eastAsia" w:ascii="Arial" w:hAnsi="Arial" w:cs="Arial"/>
                <w:sz w:val="24"/>
              </w:rPr>
              <w:t>其他负债</w:t>
            </w:r>
          </w:p>
        </w:tc>
        <w:tc>
          <w:tcPr>
            <w:tcW w:w="4461" w:type="dxa"/>
            <w:shd w:val="clear" w:color="auto" w:fill="auto"/>
            <w:vAlign w:val="center"/>
          </w:tcPr>
          <w:p>
            <w:pPr>
              <w:ind w:left="-80"/>
              <w:jc w:val="right"/>
              <w:rPr>
                <w:rFonts w:ascii="Arial" w:hAnsi="Arial" w:cs="Arial"/>
                <w:color w:val="000000"/>
                <w:sz w:val="24"/>
              </w:rPr>
            </w:pPr>
            <w:r>
              <w:rPr>
                <w:rFonts w:ascii="Arial" w:hAnsi="Arial" w:cs="Arial"/>
                <w:color w:val="000000"/>
                <w:sz w:val="24"/>
              </w:rPr>
              <w:t>25,010.00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490" w:type="dxa"/>
            <w:shd w:val="clear" w:color="auto" w:fill="auto"/>
            <w:vAlign w:val="bottom"/>
          </w:tcPr>
          <w:p>
            <w:pPr>
              <w:spacing w:before="100" w:beforeAutospacing="1" w:after="100" w:afterAutospacing="1"/>
              <w:rPr>
                <w:rFonts w:ascii="Arial" w:hAnsi="Arial" w:cs="Arial"/>
                <w:b/>
                <w:bCs/>
                <w:sz w:val="24"/>
              </w:rPr>
            </w:pPr>
            <w:r>
              <w:rPr>
                <w:rFonts w:ascii="Arial" w:hAnsi="Arial" w:cs="Arial"/>
                <w:b/>
                <w:bCs/>
                <w:sz w:val="24"/>
              </w:rPr>
              <w:t>负债合计</w:t>
            </w:r>
          </w:p>
        </w:tc>
        <w:tc>
          <w:tcPr>
            <w:tcW w:w="4461" w:type="dxa"/>
            <w:shd w:val="clear" w:color="auto" w:fill="auto"/>
            <w:vAlign w:val="bottom"/>
          </w:tcPr>
          <w:p>
            <w:pPr>
              <w:jc w:val="right"/>
              <w:rPr>
                <w:rFonts w:ascii="Arial" w:hAnsi="Arial" w:cs="Arial"/>
                <w:b/>
                <w:bCs/>
                <w:color w:val="000000"/>
                <w:sz w:val="24"/>
              </w:rPr>
            </w:pPr>
            <w:r>
              <w:rPr>
                <w:rFonts w:ascii="Arial" w:hAnsi="Arial" w:cs="Arial"/>
                <w:b/>
                <w:bCs/>
                <w:color w:val="000000"/>
                <w:sz w:val="24"/>
              </w:rPr>
              <w:t>32,079.80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490" w:type="dxa"/>
            <w:shd w:val="clear" w:color="auto" w:fill="auto"/>
            <w:vAlign w:val="bottom"/>
          </w:tcPr>
          <w:p>
            <w:pPr>
              <w:spacing w:before="100" w:beforeAutospacing="1" w:after="100" w:afterAutospacing="1"/>
              <w:rPr>
                <w:rFonts w:ascii="Arial" w:hAnsi="Arial" w:cs="Arial"/>
                <w:b/>
                <w:bCs/>
                <w:sz w:val="24"/>
              </w:rPr>
            </w:pPr>
            <w:r>
              <w:rPr>
                <w:rFonts w:hint="eastAsia" w:ascii="Arial" w:hAnsi="Arial" w:cs="Arial"/>
                <w:b/>
                <w:bCs/>
                <w:sz w:val="24"/>
                <w:lang w:val="en-US" w:eastAsia="zh-CN"/>
              </w:rPr>
              <w:t>净资产</w:t>
            </w:r>
            <w:r>
              <w:rPr>
                <w:rFonts w:ascii="Arial" w:hAnsi="Arial" w:cs="Arial"/>
                <w:b/>
                <w:bCs/>
                <w:sz w:val="24"/>
              </w:rPr>
              <w:t>：</w:t>
            </w:r>
          </w:p>
        </w:tc>
        <w:tc>
          <w:tcPr>
            <w:tcW w:w="4461" w:type="dxa"/>
            <w:shd w:val="clear" w:color="auto" w:fill="auto"/>
            <w:vAlign w:val="bottom"/>
          </w:tcPr>
          <w:p>
            <w:pPr>
              <w:ind w:left="-80"/>
              <w:jc w:val="right"/>
              <w:rPr>
                <w:rFonts w:ascii="Arial" w:hAnsi="Arial" w:cs="Arial"/>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490" w:type="dxa"/>
            <w:shd w:val="clear" w:color="auto" w:fill="auto"/>
            <w:vAlign w:val="bottom"/>
          </w:tcPr>
          <w:p>
            <w:pPr>
              <w:spacing w:before="100" w:beforeAutospacing="1" w:after="100" w:afterAutospacing="1"/>
              <w:rPr>
                <w:rFonts w:ascii="Arial" w:hAnsi="Arial" w:cs="Arial"/>
                <w:b/>
                <w:bCs/>
                <w:sz w:val="24"/>
              </w:rPr>
            </w:pPr>
            <w:r>
              <w:rPr>
                <w:rFonts w:ascii="Arial" w:hAnsi="Arial" w:cs="Arial"/>
                <w:sz w:val="24"/>
              </w:rPr>
              <w:t>实收基金</w:t>
            </w:r>
          </w:p>
        </w:tc>
        <w:tc>
          <w:tcPr>
            <w:tcW w:w="4461" w:type="dxa"/>
            <w:shd w:val="clear" w:color="auto" w:fill="auto"/>
            <w:vAlign w:val="center"/>
          </w:tcPr>
          <w:p>
            <w:pPr>
              <w:ind w:left="-80"/>
              <w:jc w:val="right"/>
              <w:rPr>
                <w:rFonts w:ascii="Arial" w:hAnsi="Arial" w:cs="Arial"/>
                <w:color w:val="000000"/>
                <w:sz w:val="24"/>
              </w:rPr>
            </w:pPr>
            <w:r>
              <w:rPr>
                <w:rFonts w:ascii="Arial" w:hAnsi="Arial" w:cs="Arial"/>
                <w:color w:val="000000"/>
                <w:sz w:val="24"/>
              </w:rPr>
              <w:t>11,922,437.65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490" w:type="dxa"/>
            <w:shd w:val="clear" w:color="auto" w:fill="auto"/>
            <w:vAlign w:val="bottom"/>
          </w:tcPr>
          <w:p>
            <w:pPr>
              <w:spacing w:before="100" w:beforeAutospacing="1" w:after="100" w:afterAutospacing="1"/>
              <w:rPr>
                <w:rFonts w:ascii="Arial" w:hAnsi="Arial" w:cs="Arial"/>
                <w:b/>
                <w:bCs/>
                <w:sz w:val="24"/>
              </w:rPr>
            </w:pPr>
            <w:r>
              <w:rPr>
                <w:rFonts w:ascii="Arial" w:hAnsi="Arial" w:cs="Arial"/>
                <w:sz w:val="24"/>
              </w:rPr>
              <w:t>未分配利润</w:t>
            </w:r>
          </w:p>
        </w:tc>
        <w:tc>
          <w:tcPr>
            <w:tcW w:w="4461" w:type="dxa"/>
            <w:shd w:val="clear" w:color="auto" w:fill="auto"/>
            <w:vAlign w:val="center"/>
          </w:tcPr>
          <w:p>
            <w:pPr>
              <w:ind w:left="-80"/>
              <w:jc w:val="right"/>
              <w:rPr>
                <w:rFonts w:ascii="Arial" w:hAnsi="Arial" w:cs="Arial"/>
                <w:color w:val="000000"/>
                <w:sz w:val="24"/>
              </w:rPr>
            </w:pPr>
            <w:r>
              <w:rPr>
                <w:rFonts w:ascii="Arial" w:hAnsi="Arial" w:cs="Arial"/>
                <w:color w:val="000000"/>
                <w:sz w:val="24"/>
              </w:rPr>
              <w:t>-3,124,014.62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490" w:type="dxa"/>
            <w:shd w:val="clear" w:color="auto" w:fill="auto"/>
            <w:vAlign w:val="bottom"/>
          </w:tcPr>
          <w:p>
            <w:pPr>
              <w:spacing w:before="100" w:beforeAutospacing="1" w:after="100" w:afterAutospacing="1"/>
              <w:rPr>
                <w:rFonts w:ascii="Arial" w:hAnsi="Arial" w:cs="Arial"/>
                <w:b/>
                <w:bCs/>
                <w:sz w:val="24"/>
              </w:rPr>
            </w:pPr>
            <w:r>
              <w:rPr>
                <w:rFonts w:hint="eastAsia" w:ascii="Arial" w:hAnsi="Arial" w:cs="Arial"/>
                <w:b/>
                <w:bCs/>
                <w:sz w:val="24"/>
                <w:lang w:val="en-US" w:eastAsia="zh-CN"/>
              </w:rPr>
              <w:t>净资产</w:t>
            </w:r>
            <w:r>
              <w:rPr>
                <w:rFonts w:ascii="Arial" w:hAnsi="Arial" w:cs="Arial"/>
                <w:b/>
                <w:bCs/>
                <w:sz w:val="24"/>
              </w:rPr>
              <w:t>合计</w:t>
            </w:r>
          </w:p>
        </w:tc>
        <w:tc>
          <w:tcPr>
            <w:tcW w:w="4461" w:type="dxa"/>
            <w:shd w:val="clear" w:color="auto" w:fill="auto"/>
            <w:vAlign w:val="center"/>
          </w:tcPr>
          <w:p>
            <w:pPr>
              <w:jc w:val="right"/>
              <w:rPr>
                <w:rFonts w:ascii="Arial" w:hAnsi="Arial" w:cs="Arial"/>
                <w:b/>
                <w:bCs/>
                <w:color w:val="000000"/>
                <w:sz w:val="24"/>
              </w:rPr>
            </w:pPr>
            <w:r>
              <w:rPr>
                <w:rFonts w:ascii="Arial" w:hAnsi="Arial" w:cs="Arial"/>
                <w:b/>
                <w:bCs/>
                <w:color w:val="000000"/>
                <w:sz w:val="24"/>
              </w:rPr>
              <w:t>8,798,423.03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490" w:type="dxa"/>
            <w:shd w:val="clear" w:color="auto" w:fill="auto"/>
            <w:vAlign w:val="bottom"/>
          </w:tcPr>
          <w:p>
            <w:pPr>
              <w:spacing w:before="100" w:beforeAutospacing="1" w:after="100" w:afterAutospacing="1"/>
              <w:rPr>
                <w:rFonts w:ascii="Arial" w:hAnsi="Arial" w:cs="Arial"/>
                <w:b/>
                <w:bCs/>
                <w:sz w:val="24"/>
              </w:rPr>
            </w:pPr>
            <w:r>
              <w:rPr>
                <w:rFonts w:ascii="Arial" w:hAnsi="Arial" w:cs="Arial"/>
                <w:b/>
                <w:bCs/>
                <w:sz w:val="24"/>
              </w:rPr>
              <w:t>负债和</w:t>
            </w:r>
            <w:r>
              <w:rPr>
                <w:rFonts w:hint="eastAsia" w:ascii="Arial" w:hAnsi="Arial" w:cs="Arial"/>
                <w:b/>
                <w:bCs/>
                <w:sz w:val="24"/>
                <w:lang w:val="en-US" w:eastAsia="zh-CN"/>
              </w:rPr>
              <w:t>净资产</w:t>
            </w:r>
            <w:r>
              <w:rPr>
                <w:rFonts w:ascii="Arial" w:hAnsi="Arial" w:cs="Arial"/>
                <w:b/>
                <w:bCs/>
                <w:sz w:val="24"/>
              </w:rPr>
              <w:t>总计</w:t>
            </w:r>
          </w:p>
        </w:tc>
        <w:tc>
          <w:tcPr>
            <w:tcW w:w="4461" w:type="dxa"/>
            <w:shd w:val="clear" w:color="auto" w:fill="auto"/>
            <w:vAlign w:val="bottom"/>
          </w:tcPr>
          <w:p>
            <w:pPr>
              <w:jc w:val="right"/>
              <w:rPr>
                <w:rFonts w:ascii="Arial" w:hAnsi="Arial" w:cs="Arial"/>
                <w:b/>
                <w:bCs/>
                <w:color w:val="000000"/>
                <w:sz w:val="24"/>
              </w:rPr>
            </w:pPr>
            <w:r>
              <w:rPr>
                <w:rFonts w:ascii="Arial" w:hAnsi="Arial" w:cs="Arial"/>
                <w:b/>
                <w:bCs/>
                <w:color w:val="000000"/>
                <w:sz w:val="24"/>
              </w:rPr>
              <w:t>8,830,502.83</w:t>
            </w:r>
          </w:p>
        </w:tc>
      </w:tr>
    </w:tbl>
    <w:p>
      <w:pPr>
        <w:spacing w:line="0" w:lineRule="atLeast"/>
        <w:rPr>
          <w:rFonts w:ascii="宋体" w:hAnsi="宋体" w:cs="Arial"/>
          <w:szCs w:val="21"/>
        </w:rPr>
      </w:pPr>
      <w:r>
        <w:rPr>
          <w:rFonts w:hint="eastAsia" w:ascii="宋体" w:hAnsi="宋体" w:cs="Arial"/>
          <w:szCs w:val="21"/>
        </w:rPr>
        <w:t>注：202</w:t>
      </w:r>
      <w:r>
        <w:rPr>
          <w:rFonts w:hint="eastAsia" w:ascii="宋体" w:hAnsi="宋体" w:cs="Arial"/>
          <w:szCs w:val="21"/>
          <w:lang w:val="en-US" w:eastAsia="zh-CN"/>
        </w:rPr>
        <w:t>4</w:t>
      </w:r>
      <w:r>
        <w:rPr>
          <w:rFonts w:hint="eastAsia" w:ascii="宋体" w:hAnsi="宋体" w:cs="Arial"/>
          <w:szCs w:val="21"/>
        </w:rPr>
        <w:t>年</w:t>
      </w:r>
      <w:r>
        <w:rPr>
          <w:rFonts w:hint="eastAsia" w:ascii="宋体" w:hAnsi="宋体" w:cs="Arial"/>
          <w:szCs w:val="21"/>
          <w:lang w:val="en-US" w:eastAsia="zh-CN"/>
        </w:rPr>
        <w:t>8</w:t>
      </w:r>
      <w:r>
        <w:rPr>
          <w:rFonts w:hint="eastAsia" w:ascii="宋体" w:hAnsi="宋体" w:cs="Arial"/>
          <w:szCs w:val="21"/>
        </w:rPr>
        <w:t>月</w:t>
      </w:r>
      <w:r>
        <w:rPr>
          <w:rFonts w:ascii="宋体" w:hAnsi="宋体" w:cs="Arial"/>
          <w:szCs w:val="21"/>
        </w:rPr>
        <w:t>3</w:t>
      </w:r>
      <w:r>
        <w:rPr>
          <w:rFonts w:hint="eastAsia" w:ascii="宋体" w:hAnsi="宋体" w:cs="Arial"/>
          <w:szCs w:val="21"/>
          <w:lang w:val="en-US" w:eastAsia="zh-CN"/>
        </w:rPr>
        <w:t>0</w:t>
      </w:r>
      <w:r>
        <w:rPr>
          <w:rFonts w:hint="eastAsia" w:ascii="宋体" w:hAnsi="宋体" w:cs="Arial"/>
          <w:szCs w:val="21"/>
        </w:rPr>
        <w:t>日(基金最后运作日)基金份额净值0.7380元，基金份额总额11,922,437.65份。</w:t>
      </w:r>
    </w:p>
    <w:p>
      <w:pPr>
        <w:pStyle w:val="3"/>
        <w:spacing w:before="0" w:after="0"/>
        <w:rPr>
          <w:rFonts w:ascii="宋体" w:hAnsi="宋体" w:eastAsia="宋体"/>
          <w:kern w:val="0"/>
          <w:sz w:val="21"/>
          <w:szCs w:val="21"/>
        </w:rPr>
      </w:pPr>
      <w:bookmarkStart w:id="39" w:name="_Toc484769807"/>
      <w:bookmarkStart w:id="40" w:name="_Toc145339096"/>
      <w:r>
        <w:rPr>
          <w:rFonts w:hint="eastAsia" w:ascii="宋体" w:hAnsi="宋体" w:eastAsia="宋体"/>
          <w:kern w:val="0"/>
          <w:sz w:val="21"/>
          <w:szCs w:val="21"/>
        </w:rPr>
        <w:t>4</w:t>
      </w:r>
      <w:r>
        <w:rPr>
          <w:rFonts w:ascii="宋体" w:hAnsi="宋体" w:eastAsia="宋体"/>
          <w:kern w:val="0"/>
          <w:sz w:val="21"/>
          <w:szCs w:val="21"/>
        </w:rPr>
        <w:t xml:space="preserve">.2 </w:t>
      </w:r>
      <w:r>
        <w:rPr>
          <w:rFonts w:hint="eastAsia" w:ascii="宋体" w:hAnsi="宋体" w:eastAsia="宋体"/>
          <w:kern w:val="0"/>
          <w:sz w:val="21"/>
          <w:szCs w:val="21"/>
        </w:rPr>
        <w:t>清算损益表</w:t>
      </w:r>
      <w:bookmarkEnd w:id="39"/>
      <w:bookmarkEnd w:id="40"/>
    </w:p>
    <w:tbl>
      <w:tblPr>
        <w:tblStyle w:val="13"/>
        <w:tblW w:w="790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495"/>
        <w:gridCol w:w="44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95" w:type="dxa"/>
            <w:vAlign w:val="center"/>
          </w:tcPr>
          <w:p>
            <w:pPr>
              <w:pStyle w:val="11"/>
              <w:jc w:val="center"/>
              <w:rPr>
                <w:rFonts w:ascii="宋体" w:hAnsi="宋体" w:eastAsia="宋体"/>
                <w:b/>
                <w:color w:val="000000" w:themeColor="text1"/>
                <w:sz w:val="21"/>
                <w:szCs w:val="21"/>
                <w14:textFill>
                  <w14:solidFill>
                    <w14:schemeClr w14:val="tx1"/>
                  </w14:solidFill>
                </w14:textFill>
              </w:rPr>
            </w:pPr>
            <w:r>
              <w:rPr>
                <w:rFonts w:ascii="宋体" w:hAnsi="宋体" w:eastAsia="宋体"/>
                <w:b/>
                <w:color w:val="000000" w:themeColor="text1"/>
                <w:sz w:val="21"/>
                <w:szCs w:val="21"/>
                <w14:textFill>
                  <w14:solidFill>
                    <w14:schemeClr w14:val="tx1"/>
                  </w14:solidFill>
                </w14:textFill>
              </w:rPr>
              <w:t>项目</w:t>
            </w:r>
          </w:p>
        </w:tc>
        <w:tc>
          <w:tcPr>
            <w:tcW w:w="4408" w:type="dxa"/>
            <w:vAlign w:val="center"/>
          </w:tcPr>
          <w:p>
            <w:pPr>
              <w:pStyle w:val="11"/>
              <w:spacing w:before="0" w:beforeAutospacing="0" w:after="0" w:afterAutospacing="0"/>
              <w:jc w:val="center"/>
              <w:rPr>
                <w:rFonts w:ascii="宋体" w:hAnsi="宋体" w:eastAsia="宋体"/>
                <w:b/>
                <w:color w:val="000000" w:themeColor="text1"/>
                <w:sz w:val="21"/>
                <w:szCs w:val="21"/>
                <w:lang w:eastAsia="zh-CN"/>
                <w14:textFill>
                  <w14:solidFill>
                    <w14:schemeClr w14:val="tx1"/>
                  </w14:solidFill>
                </w14:textFill>
              </w:rPr>
            </w:pPr>
            <w:r>
              <w:rPr>
                <w:rFonts w:hint="eastAsia" w:ascii="宋体" w:hAnsi="宋体" w:eastAsia="宋体"/>
                <w:b/>
                <w:color w:val="000000" w:themeColor="text1"/>
                <w:sz w:val="21"/>
                <w:szCs w:val="21"/>
                <w:lang w:eastAsia="zh-CN"/>
                <w14:textFill>
                  <w14:solidFill>
                    <w14:schemeClr w14:val="tx1"/>
                  </w14:solidFill>
                </w14:textFill>
              </w:rPr>
              <w:t>202</w:t>
            </w:r>
            <w:r>
              <w:rPr>
                <w:rFonts w:hint="eastAsia" w:ascii="宋体" w:hAnsi="宋体" w:eastAsia="宋体"/>
                <w:b/>
                <w:color w:val="000000" w:themeColor="text1"/>
                <w:sz w:val="21"/>
                <w:szCs w:val="21"/>
                <w:lang w:val="en-US" w:eastAsia="zh-CN"/>
                <w14:textFill>
                  <w14:solidFill>
                    <w14:schemeClr w14:val="tx1"/>
                  </w14:solidFill>
                </w14:textFill>
              </w:rPr>
              <w:t>4</w:t>
            </w:r>
            <w:r>
              <w:rPr>
                <w:rFonts w:hint="eastAsia" w:ascii="宋体" w:hAnsi="宋体" w:eastAsia="宋体"/>
                <w:b/>
                <w:color w:val="000000" w:themeColor="text1"/>
                <w:sz w:val="21"/>
                <w:szCs w:val="21"/>
                <w:lang w:eastAsia="zh-CN"/>
                <w14:textFill>
                  <w14:solidFill>
                    <w14:schemeClr w14:val="tx1"/>
                  </w14:solidFill>
                </w14:textFill>
              </w:rPr>
              <w:t>年</w:t>
            </w:r>
            <w:r>
              <w:rPr>
                <w:rFonts w:ascii="宋体" w:hAnsi="宋体" w:eastAsia="宋体"/>
                <w:b/>
                <w:color w:val="000000" w:themeColor="text1"/>
                <w:sz w:val="21"/>
                <w:szCs w:val="21"/>
                <w:lang w:eastAsia="zh-CN"/>
                <w14:textFill>
                  <w14:solidFill>
                    <w14:schemeClr w14:val="tx1"/>
                  </w14:solidFill>
                </w14:textFill>
              </w:rPr>
              <w:t>8</w:t>
            </w:r>
            <w:r>
              <w:rPr>
                <w:rFonts w:hint="eastAsia" w:ascii="宋体" w:hAnsi="宋体" w:eastAsia="宋体"/>
                <w:b/>
                <w:color w:val="000000" w:themeColor="text1"/>
                <w:sz w:val="21"/>
                <w:szCs w:val="21"/>
                <w:lang w:eastAsia="zh-CN"/>
                <w14:textFill>
                  <w14:solidFill>
                    <w14:schemeClr w14:val="tx1"/>
                  </w14:solidFill>
                </w14:textFill>
              </w:rPr>
              <w:t>月</w:t>
            </w:r>
            <w:r>
              <w:rPr>
                <w:rFonts w:hint="eastAsia" w:ascii="宋体" w:hAnsi="宋体" w:eastAsia="宋体"/>
                <w:b/>
                <w:color w:val="000000" w:themeColor="text1"/>
                <w:sz w:val="21"/>
                <w:szCs w:val="21"/>
                <w:lang w:val="en-US" w:eastAsia="zh-CN"/>
                <w14:textFill>
                  <w14:solidFill>
                    <w14:schemeClr w14:val="tx1"/>
                  </w14:solidFill>
                </w14:textFill>
              </w:rPr>
              <w:t>3</w:t>
            </w:r>
            <w:r>
              <w:rPr>
                <w:rFonts w:ascii="宋体" w:hAnsi="宋体" w:eastAsia="宋体"/>
                <w:b/>
                <w:color w:val="000000" w:themeColor="text1"/>
                <w:sz w:val="21"/>
                <w:szCs w:val="21"/>
                <w:lang w:eastAsia="zh-CN"/>
                <w14:textFill>
                  <w14:solidFill>
                    <w14:schemeClr w14:val="tx1"/>
                  </w14:solidFill>
                </w14:textFill>
              </w:rPr>
              <w:t>1</w:t>
            </w:r>
            <w:r>
              <w:rPr>
                <w:rFonts w:hint="eastAsia" w:ascii="宋体" w:hAnsi="宋体" w:eastAsia="宋体"/>
                <w:b/>
                <w:color w:val="000000" w:themeColor="text1"/>
                <w:sz w:val="21"/>
                <w:szCs w:val="21"/>
                <w:lang w:eastAsia="zh-CN"/>
                <w14:textFill>
                  <w14:solidFill>
                    <w14:schemeClr w14:val="tx1"/>
                  </w14:solidFill>
                </w14:textFill>
              </w:rPr>
              <w:t>日</w:t>
            </w:r>
            <w:r>
              <w:rPr>
                <w:rFonts w:ascii="宋体" w:hAnsi="宋体" w:eastAsia="宋体"/>
                <w:b/>
                <w:color w:val="000000" w:themeColor="text1"/>
                <w:sz w:val="21"/>
                <w:szCs w:val="21"/>
                <w:lang w:eastAsia="zh-CN"/>
                <w14:textFill>
                  <w14:solidFill>
                    <w14:schemeClr w14:val="tx1"/>
                  </w14:solidFill>
                </w14:textFill>
              </w:rPr>
              <w:t>至</w:t>
            </w:r>
            <w:r>
              <w:rPr>
                <w:rFonts w:hint="eastAsia" w:ascii="宋体" w:hAnsi="宋体" w:eastAsia="宋体"/>
                <w:b/>
                <w:color w:val="000000" w:themeColor="text1"/>
                <w:sz w:val="21"/>
                <w:szCs w:val="21"/>
                <w:lang w:eastAsia="zh-CN"/>
                <w14:textFill>
                  <w14:solidFill>
                    <w14:schemeClr w14:val="tx1"/>
                  </w14:solidFill>
                </w14:textFill>
              </w:rPr>
              <w:t>202</w:t>
            </w:r>
            <w:r>
              <w:rPr>
                <w:rFonts w:hint="eastAsia" w:ascii="宋体" w:hAnsi="宋体" w:eastAsia="宋体"/>
                <w:b/>
                <w:color w:val="000000" w:themeColor="text1"/>
                <w:sz w:val="21"/>
                <w:szCs w:val="21"/>
                <w:lang w:val="en-US" w:eastAsia="zh-CN"/>
                <w14:textFill>
                  <w14:solidFill>
                    <w14:schemeClr w14:val="tx1"/>
                  </w14:solidFill>
                </w14:textFill>
              </w:rPr>
              <w:t>4</w:t>
            </w:r>
            <w:r>
              <w:rPr>
                <w:rFonts w:hint="eastAsia" w:ascii="宋体" w:hAnsi="宋体" w:eastAsia="宋体"/>
                <w:b/>
                <w:color w:val="000000" w:themeColor="text1"/>
                <w:sz w:val="21"/>
                <w:szCs w:val="21"/>
                <w:lang w:eastAsia="zh-CN"/>
                <w14:textFill>
                  <w14:solidFill>
                    <w14:schemeClr w14:val="tx1"/>
                  </w14:solidFill>
                </w14:textFill>
              </w:rPr>
              <w:t>年</w:t>
            </w:r>
            <w:r>
              <w:rPr>
                <w:rFonts w:ascii="宋体" w:hAnsi="宋体" w:eastAsia="宋体"/>
                <w:b/>
                <w:color w:val="000000" w:themeColor="text1"/>
                <w:sz w:val="21"/>
                <w:szCs w:val="21"/>
                <w:lang w:eastAsia="zh-CN"/>
                <w14:textFill>
                  <w14:solidFill>
                    <w14:schemeClr w14:val="tx1"/>
                  </w14:solidFill>
                </w14:textFill>
              </w:rPr>
              <w:t>9</w:t>
            </w:r>
            <w:r>
              <w:rPr>
                <w:rFonts w:hint="eastAsia" w:ascii="宋体" w:hAnsi="宋体" w:eastAsia="宋体"/>
                <w:b/>
                <w:color w:val="000000" w:themeColor="text1"/>
                <w:sz w:val="21"/>
                <w:szCs w:val="21"/>
                <w:lang w:eastAsia="zh-CN"/>
                <w14:textFill>
                  <w14:solidFill>
                    <w14:schemeClr w14:val="tx1"/>
                  </w14:solidFill>
                </w14:textFill>
              </w:rPr>
              <w:t>月</w:t>
            </w:r>
            <w:r>
              <w:rPr>
                <w:rFonts w:hint="eastAsia" w:ascii="宋体" w:hAnsi="宋体" w:eastAsia="宋体"/>
                <w:b/>
                <w:color w:val="000000" w:themeColor="text1"/>
                <w:sz w:val="21"/>
                <w:szCs w:val="21"/>
                <w:lang w:val="en-US" w:eastAsia="zh-CN"/>
                <w14:textFill>
                  <w14:solidFill>
                    <w14:schemeClr w14:val="tx1"/>
                  </w14:solidFill>
                </w14:textFill>
              </w:rPr>
              <w:t>24</w:t>
            </w:r>
            <w:r>
              <w:rPr>
                <w:rFonts w:hint="eastAsia" w:ascii="宋体" w:hAnsi="宋体" w:eastAsia="宋体"/>
                <w:b/>
                <w:color w:val="000000" w:themeColor="text1"/>
                <w:sz w:val="21"/>
                <w:szCs w:val="21"/>
                <w:lang w:eastAsia="zh-CN"/>
                <w14:textFill>
                  <w14:solidFill>
                    <w14:schemeClr w14:val="tx1"/>
                  </w14:solidFill>
                </w14:textFill>
              </w:rPr>
              <w:t>日</w:t>
            </w:r>
          </w:p>
          <w:p>
            <w:pPr>
              <w:pStyle w:val="11"/>
              <w:spacing w:before="0" w:beforeAutospacing="0" w:after="0" w:afterAutospacing="0"/>
              <w:jc w:val="center"/>
              <w:rPr>
                <w:rFonts w:ascii="宋体" w:hAnsi="宋体" w:eastAsia="宋体"/>
                <w:b/>
                <w:color w:val="000000" w:themeColor="text1"/>
                <w:sz w:val="21"/>
                <w:szCs w:val="21"/>
                <w:lang w:eastAsia="zh-CN"/>
                <w14:textFill>
                  <w14:solidFill>
                    <w14:schemeClr w14:val="tx1"/>
                  </w14:solidFill>
                </w14:textFill>
              </w:rPr>
            </w:pPr>
            <w:r>
              <w:rPr>
                <w:rFonts w:hint="eastAsia" w:ascii="宋体" w:hAnsi="宋体" w:eastAsia="宋体"/>
                <w:b/>
                <w:color w:val="000000" w:themeColor="text1"/>
                <w:sz w:val="21"/>
                <w:szCs w:val="21"/>
                <w:lang w:eastAsia="zh-CN"/>
                <w14:textFill>
                  <w14:solidFill>
                    <w14:schemeClr w14:val="tx1"/>
                  </w14:solidFill>
                </w14:textFill>
              </w:rPr>
              <w:t>（清算期间）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95" w:type="dxa"/>
            <w:vAlign w:val="center"/>
          </w:tcPr>
          <w:p>
            <w:pPr>
              <w:rPr>
                <w:rFonts w:ascii="宋体" w:hAnsi="宋体"/>
                <w:b/>
                <w:color w:val="000000" w:themeColor="text1"/>
                <w:szCs w:val="21"/>
                <w14:textFill>
                  <w14:solidFill>
                    <w14:schemeClr w14:val="tx1"/>
                  </w14:solidFill>
                </w14:textFill>
              </w:rPr>
            </w:pPr>
            <w:r>
              <w:rPr>
                <w:rFonts w:hint="eastAsia"/>
                <w:b/>
                <w:bCs/>
                <w:color w:val="000000"/>
                <w:szCs w:val="21"/>
              </w:rPr>
              <w:t>一、清算收益</w:t>
            </w:r>
          </w:p>
        </w:tc>
        <w:tc>
          <w:tcPr>
            <w:tcW w:w="4408" w:type="dxa"/>
            <w:vAlign w:val="bottom"/>
          </w:tcPr>
          <w:p>
            <w:pPr>
              <w:keepNext w:val="0"/>
              <w:keepLines w:val="0"/>
              <w:widowControl/>
              <w:suppressLineNumbers w:val="0"/>
              <w:jc w:val="right"/>
              <w:textAlignment w:val="bottom"/>
              <w:rPr>
                <w:rFonts w:ascii="Arial" w:hAnsi="Arial" w:cs="Arial"/>
                <w:b/>
                <w:bCs/>
                <w:color w:val="000000"/>
                <w:sz w:val="24"/>
              </w:rPr>
            </w:pPr>
            <w:r>
              <w:rPr>
                <w:rFonts w:hint="default" w:ascii="Arial" w:hAnsi="Arial" w:eastAsia="宋体" w:cs="Arial"/>
                <w:b/>
                <w:bCs/>
                <w:i w:val="0"/>
                <w:iCs w:val="0"/>
                <w:color w:val="000000"/>
                <w:kern w:val="0"/>
                <w:sz w:val="24"/>
                <w:szCs w:val="24"/>
                <w:u w:val="none"/>
                <w:lang w:val="en-US" w:eastAsia="zh-CN" w:bidi="ar"/>
              </w:rPr>
              <w:t>-164,996.89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95" w:type="dxa"/>
            <w:vAlign w:val="center"/>
          </w:tcPr>
          <w:p>
            <w:pPr>
              <w:rPr>
                <w:rFonts w:ascii="宋体" w:hAnsi="宋体"/>
                <w:color w:val="000000" w:themeColor="text1"/>
                <w:szCs w:val="21"/>
                <w14:textFill>
                  <w14:solidFill>
                    <w14:schemeClr w14:val="tx1"/>
                  </w14:solidFill>
                </w14:textFill>
              </w:rPr>
            </w:pPr>
            <w:r>
              <w:rPr>
                <w:rFonts w:hint="eastAsia"/>
                <w:color w:val="000000"/>
                <w:szCs w:val="21"/>
              </w:rPr>
              <w:t>1.</w:t>
            </w:r>
            <w:r>
              <w:rPr>
                <w:color w:val="000000"/>
                <w:sz w:val="14"/>
                <w:szCs w:val="14"/>
              </w:rPr>
              <w:t xml:space="preserve">  </w:t>
            </w:r>
            <w:r>
              <w:rPr>
                <w:rFonts w:hint="eastAsia"/>
                <w:color w:val="000000"/>
                <w:szCs w:val="21"/>
              </w:rPr>
              <w:t>利息收入</w:t>
            </w:r>
          </w:p>
        </w:tc>
        <w:tc>
          <w:tcPr>
            <w:tcW w:w="4408" w:type="dxa"/>
          </w:tcPr>
          <w:p>
            <w:pPr>
              <w:ind w:left="-80"/>
              <w:jc w:val="right"/>
              <w:rPr>
                <w:rFonts w:hint="default" w:ascii="Arial" w:hAnsi="Arial" w:eastAsia="宋体" w:cs="Arial"/>
                <w:color w:val="000000"/>
                <w:sz w:val="24"/>
                <w:lang w:val="en-US" w:eastAsia="zh-CN"/>
              </w:rPr>
            </w:pPr>
            <w:r>
              <w:rPr>
                <w:rFonts w:hint="eastAsia" w:ascii="Arial" w:hAnsi="Arial" w:cs="Arial"/>
                <w:color w:val="000000"/>
                <w:sz w:val="24"/>
                <w:lang w:val="en-US" w:eastAsia="zh-CN"/>
              </w:rPr>
              <w:t>1,432.32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95" w:type="dxa"/>
            <w:vAlign w:val="center"/>
          </w:tcPr>
          <w:p>
            <w:pPr>
              <w:rPr>
                <w:color w:val="000000"/>
                <w:szCs w:val="21"/>
              </w:rPr>
            </w:pPr>
            <w:r>
              <w:rPr>
                <w:rFonts w:hint="eastAsia"/>
                <w:color w:val="000000"/>
                <w:szCs w:val="21"/>
              </w:rPr>
              <w:t>2</w:t>
            </w:r>
            <w:r>
              <w:rPr>
                <w:color w:val="000000"/>
                <w:szCs w:val="21"/>
              </w:rPr>
              <w:t xml:space="preserve">. </w:t>
            </w:r>
            <w:r>
              <w:rPr>
                <w:rFonts w:hint="eastAsia"/>
                <w:color w:val="000000"/>
                <w:szCs w:val="21"/>
              </w:rPr>
              <w:t>公允价值变动损益</w:t>
            </w:r>
          </w:p>
        </w:tc>
        <w:tc>
          <w:tcPr>
            <w:tcW w:w="4408" w:type="dxa"/>
          </w:tcPr>
          <w:p>
            <w:pPr>
              <w:ind w:left="-80"/>
              <w:jc w:val="right"/>
              <w:rPr>
                <w:rFonts w:hint="default" w:ascii="Arial" w:hAnsi="Arial" w:eastAsia="宋体" w:cs="Arial"/>
                <w:color w:val="000000"/>
                <w:sz w:val="24"/>
                <w:lang w:val="en-US" w:eastAsia="zh-CN"/>
              </w:rPr>
            </w:pPr>
            <w:r>
              <w:rPr>
                <w:rFonts w:ascii="Arial" w:hAnsi="Arial" w:cs="Arial"/>
                <w:color w:val="000000"/>
                <w:sz w:val="24"/>
              </w:rPr>
              <w:t>-</w:t>
            </w:r>
            <w:r>
              <w:rPr>
                <w:rFonts w:hint="eastAsia" w:ascii="Arial" w:hAnsi="Arial" w:cs="Arial"/>
                <w:color w:val="000000"/>
                <w:sz w:val="24"/>
                <w:lang w:val="en-US" w:eastAsia="zh-CN"/>
              </w:rPr>
              <w:t>216</w:t>
            </w:r>
            <w:r>
              <w:rPr>
                <w:rFonts w:ascii="Arial" w:hAnsi="Arial" w:cs="Arial"/>
                <w:color w:val="000000"/>
                <w:sz w:val="24"/>
              </w:rPr>
              <w:t>,</w:t>
            </w:r>
            <w:r>
              <w:rPr>
                <w:rFonts w:hint="eastAsia" w:ascii="Arial" w:hAnsi="Arial" w:cs="Arial"/>
                <w:color w:val="000000"/>
                <w:sz w:val="24"/>
                <w:lang w:val="en-US" w:eastAsia="zh-CN"/>
              </w:rPr>
              <w:t>058</w:t>
            </w:r>
            <w:r>
              <w:rPr>
                <w:rFonts w:ascii="Arial" w:hAnsi="Arial" w:cs="Arial"/>
                <w:color w:val="000000"/>
                <w:sz w:val="24"/>
              </w:rPr>
              <w:t>.</w:t>
            </w:r>
            <w:r>
              <w:rPr>
                <w:rFonts w:hint="eastAsia" w:ascii="Arial" w:hAnsi="Arial" w:cs="Arial"/>
                <w:color w:val="000000"/>
                <w:sz w:val="24"/>
                <w:lang w:val="en-US" w:eastAsia="zh-CN"/>
              </w:rPr>
              <w:t>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95" w:type="dxa"/>
            <w:vAlign w:val="center"/>
          </w:tcPr>
          <w:p>
            <w:pPr>
              <w:rPr>
                <w:color w:val="000000"/>
                <w:szCs w:val="21"/>
              </w:rPr>
            </w:pPr>
            <w:r>
              <w:rPr>
                <w:color w:val="000000"/>
                <w:szCs w:val="21"/>
              </w:rPr>
              <w:t>3</w:t>
            </w:r>
            <w:r>
              <w:rPr>
                <w:rFonts w:hint="eastAsia"/>
                <w:color w:val="000000"/>
                <w:szCs w:val="21"/>
              </w:rPr>
              <w:t>.</w:t>
            </w:r>
            <w:r>
              <w:rPr>
                <w:color w:val="000000"/>
                <w:szCs w:val="21"/>
              </w:rPr>
              <w:t xml:space="preserve"> </w:t>
            </w:r>
            <w:r>
              <w:rPr>
                <w:rFonts w:hint="eastAsia"/>
                <w:color w:val="000000"/>
                <w:szCs w:val="21"/>
              </w:rPr>
              <w:t>投资收益</w:t>
            </w:r>
          </w:p>
        </w:tc>
        <w:tc>
          <w:tcPr>
            <w:tcW w:w="4408" w:type="dxa"/>
            <w:vAlign w:val="bottom"/>
          </w:tcPr>
          <w:p>
            <w:pPr>
              <w:ind w:left="-80"/>
              <w:jc w:val="right"/>
              <w:rPr>
                <w:rFonts w:hint="default" w:ascii="Arial" w:hAnsi="Arial" w:cs="Arial"/>
                <w:color w:val="000000"/>
                <w:sz w:val="24"/>
                <w:lang w:val="en-US" w:eastAsia="zh-CN"/>
              </w:rPr>
            </w:pPr>
            <w:r>
              <w:rPr>
                <w:rFonts w:hint="default" w:ascii="Arial" w:hAnsi="Arial" w:cs="Arial"/>
                <w:color w:val="000000"/>
                <w:sz w:val="24"/>
                <w:lang w:val="en-US" w:eastAsia="zh-CN"/>
              </w:rPr>
              <w:t>49</w:t>
            </w:r>
            <w:r>
              <w:rPr>
                <w:rFonts w:hint="eastAsia" w:ascii="Arial" w:hAnsi="Arial" w:cs="Arial"/>
                <w:color w:val="000000"/>
                <w:sz w:val="24"/>
                <w:lang w:val="en-US" w:eastAsia="zh-CN"/>
              </w:rPr>
              <w:t>,</w:t>
            </w:r>
            <w:r>
              <w:rPr>
                <w:rFonts w:hint="default" w:ascii="Arial" w:hAnsi="Arial" w:cs="Arial"/>
                <w:color w:val="000000"/>
                <w:sz w:val="24"/>
                <w:lang w:val="en-US" w:eastAsia="zh-CN"/>
              </w:rPr>
              <w:t>629.6</w:t>
            </w:r>
            <w:r>
              <w:rPr>
                <w:rFonts w:hint="eastAsia" w:ascii="Arial" w:hAnsi="Arial" w:cs="Arial"/>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95" w:type="dxa"/>
            <w:vAlign w:val="center"/>
          </w:tcPr>
          <w:p>
            <w:pPr>
              <w:rPr>
                <w:color w:val="000000"/>
                <w:szCs w:val="21"/>
              </w:rPr>
            </w:pPr>
            <w:r>
              <w:rPr>
                <w:rFonts w:hint="eastAsia"/>
                <w:color w:val="000000"/>
                <w:szCs w:val="21"/>
              </w:rPr>
              <w:t>4</w:t>
            </w:r>
            <w:r>
              <w:rPr>
                <w:color w:val="000000"/>
                <w:szCs w:val="21"/>
              </w:rPr>
              <w:t xml:space="preserve">. </w:t>
            </w:r>
            <w:r>
              <w:rPr>
                <w:rFonts w:hint="eastAsia"/>
                <w:color w:val="000000"/>
                <w:szCs w:val="21"/>
              </w:rPr>
              <w:t>其他收入</w:t>
            </w:r>
          </w:p>
        </w:tc>
        <w:tc>
          <w:tcPr>
            <w:tcW w:w="4408" w:type="dxa"/>
          </w:tcPr>
          <w:p>
            <w:pPr>
              <w:ind w:left="-80"/>
              <w:jc w:val="right"/>
              <w:rPr>
                <w:rFonts w:hint="default" w:ascii="Arial" w:hAnsi="Arial" w:eastAsia="宋体" w:cs="Arial"/>
                <w:color w:val="000000"/>
                <w:sz w:val="24"/>
                <w:lang w:val="en-US" w:eastAsia="zh-CN"/>
              </w:rPr>
            </w:pPr>
            <w:r>
              <w:rPr>
                <w:rFonts w:hint="eastAsia" w:ascii="Arial" w:hAnsi="Arial" w:cs="Arial"/>
                <w:color w:val="000000"/>
                <w:sz w:val="24"/>
                <w:lang w:val="en-US" w:eastAsia="zh-CN"/>
              </w:rPr>
              <w:t>0.06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95" w:type="dxa"/>
            <w:vAlign w:val="center"/>
          </w:tcPr>
          <w:p>
            <w:pPr>
              <w:rPr>
                <w:rFonts w:ascii="宋体" w:hAnsi="宋体"/>
                <w:color w:val="000000" w:themeColor="text1"/>
                <w:szCs w:val="21"/>
                <w14:textFill>
                  <w14:solidFill>
                    <w14:schemeClr w14:val="tx1"/>
                  </w14:solidFill>
                </w14:textFill>
              </w:rPr>
            </w:pPr>
            <w:r>
              <w:rPr>
                <w:rFonts w:hint="eastAsia"/>
                <w:b/>
                <w:bCs/>
                <w:color w:val="000000"/>
                <w:szCs w:val="21"/>
              </w:rPr>
              <w:t>二、清算费用</w:t>
            </w:r>
          </w:p>
        </w:tc>
        <w:tc>
          <w:tcPr>
            <w:tcW w:w="4408" w:type="dxa"/>
            <w:vAlign w:val="bottom"/>
          </w:tcPr>
          <w:p>
            <w:pPr>
              <w:keepNext w:val="0"/>
              <w:keepLines w:val="0"/>
              <w:widowControl/>
              <w:suppressLineNumbers w:val="0"/>
              <w:jc w:val="right"/>
              <w:textAlignment w:val="bottom"/>
              <w:rPr>
                <w:rFonts w:hint="default" w:ascii="Arial" w:hAnsi="Arial" w:cs="Arial"/>
                <w:b/>
                <w:bCs/>
                <w:color w:val="000000"/>
                <w:sz w:val="24"/>
                <w:lang w:val="en-US" w:eastAsia="zh-CN"/>
              </w:rPr>
            </w:pPr>
            <w:r>
              <w:rPr>
                <w:rFonts w:hint="default" w:ascii="Arial" w:hAnsi="Arial" w:eastAsia="宋体" w:cs="Arial"/>
                <w:b/>
                <w:bCs/>
                <w:i w:val="0"/>
                <w:iCs w:val="0"/>
                <w:color w:val="000000"/>
                <w:kern w:val="0"/>
                <w:sz w:val="24"/>
                <w:szCs w:val="24"/>
                <w:u w:val="none"/>
                <w:lang w:val="en-US" w:eastAsia="zh-CN" w:bidi="ar"/>
              </w:rPr>
              <w:t>12.21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95" w:type="dxa"/>
            <w:vAlign w:val="center"/>
          </w:tcPr>
          <w:p>
            <w:pPr>
              <w:rPr>
                <w:rFonts w:ascii="宋体" w:hAnsi="宋体"/>
                <w:b/>
                <w:color w:val="000000" w:themeColor="text1"/>
                <w:szCs w:val="21"/>
                <w14:textFill>
                  <w14:solidFill>
                    <w14:schemeClr w14:val="tx1"/>
                  </w14:solidFill>
                </w14:textFill>
              </w:rPr>
            </w:pPr>
            <w:r>
              <w:rPr>
                <w:rFonts w:hint="eastAsia"/>
                <w:color w:val="000000"/>
                <w:szCs w:val="21"/>
                <w:lang w:val="en-US" w:eastAsia="zh-CN"/>
              </w:rPr>
              <w:t>1</w:t>
            </w:r>
            <w:r>
              <w:rPr>
                <w:rFonts w:hint="eastAsia"/>
                <w:color w:val="000000"/>
                <w:szCs w:val="21"/>
              </w:rPr>
              <w:t>.</w:t>
            </w:r>
            <w:r>
              <w:rPr>
                <w:color w:val="000000"/>
                <w:szCs w:val="21"/>
              </w:rPr>
              <w:t xml:space="preserve"> </w:t>
            </w:r>
            <w:r>
              <w:rPr>
                <w:rFonts w:hint="eastAsia"/>
                <w:color w:val="000000"/>
                <w:szCs w:val="21"/>
              </w:rPr>
              <w:t>汇划费</w:t>
            </w:r>
          </w:p>
        </w:tc>
        <w:tc>
          <w:tcPr>
            <w:tcW w:w="4408" w:type="dxa"/>
          </w:tcPr>
          <w:p>
            <w:pPr>
              <w:ind w:left="-80"/>
              <w:jc w:val="right"/>
              <w:rPr>
                <w:rFonts w:ascii="Arial" w:hAnsi="Arial" w:cs="Arial"/>
                <w:color w:val="000000"/>
                <w:sz w:val="24"/>
              </w:rPr>
            </w:pPr>
            <w:r>
              <w:rPr>
                <w:rFonts w:hint="eastAsia" w:ascii="Arial" w:hAnsi="Arial" w:cs="Arial"/>
                <w:color w:val="000000"/>
                <w:sz w:val="24"/>
                <w:lang w:val="en-US" w:eastAsia="zh-CN"/>
              </w:rPr>
              <w:t>215</w:t>
            </w:r>
            <w:r>
              <w:rPr>
                <w:rFonts w:ascii="Arial" w:hAnsi="Arial" w:cs="Arial"/>
                <w:color w:val="000000"/>
                <w:sz w:val="24"/>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95" w:type="dxa"/>
            <w:vAlign w:val="center"/>
          </w:tcPr>
          <w:p>
            <w:pPr>
              <w:rPr>
                <w:rFonts w:hint="default" w:eastAsia="宋体"/>
                <w:color w:val="000000"/>
                <w:szCs w:val="21"/>
                <w:lang w:val="en-US" w:eastAsia="zh-CN"/>
              </w:rPr>
            </w:pPr>
            <w:r>
              <w:rPr>
                <w:rFonts w:hint="eastAsia"/>
                <w:color w:val="000000"/>
                <w:szCs w:val="21"/>
                <w:lang w:val="en-US" w:eastAsia="zh-CN"/>
              </w:rPr>
              <w:t>2</w:t>
            </w:r>
            <w:r>
              <w:rPr>
                <w:rFonts w:hint="eastAsia"/>
                <w:color w:val="000000"/>
                <w:szCs w:val="21"/>
              </w:rPr>
              <w:t>.</w:t>
            </w:r>
            <w:r>
              <w:rPr>
                <w:color w:val="000000"/>
                <w:szCs w:val="21"/>
              </w:rPr>
              <w:t xml:space="preserve"> </w:t>
            </w:r>
            <w:r>
              <w:rPr>
                <w:rFonts w:hint="eastAsia"/>
                <w:color w:val="000000"/>
                <w:szCs w:val="21"/>
                <w:lang w:val="en-US" w:eastAsia="zh-CN"/>
              </w:rPr>
              <w:t>税金及附加</w:t>
            </w:r>
          </w:p>
        </w:tc>
        <w:tc>
          <w:tcPr>
            <w:tcW w:w="4408" w:type="dxa"/>
          </w:tcPr>
          <w:p>
            <w:pPr>
              <w:ind w:left="-80"/>
              <w:jc w:val="right"/>
              <w:rPr>
                <w:rFonts w:hint="default" w:ascii="Arial" w:hAnsi="Arial" w:cs="Arial"/>
                <w:color w:val="000000"/>
                <w:sz w:val="24"/>
                <w:lang w:val="en-US" w:eastAsia="zh-CN"/>
              </w:rPr>
            </w:pPr>
            <w:r>
              <w:rPr>
                <w:rFonts w:hint="eastAsia" w:ascii="Arial" w:hAnsi="Arial" w:cs="Arial"/>
                <w:color w:val="000000"/>
                <w:sz w:val="24"/>
                <w:lang w:val="en-US" w:eastAsia="zh-CN"/>
              </w:rPr>
              <w:t>-202.79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95" w:type="dxa"/>
            <w:vAlign w:val="center"/>
          </w:tcPr>
          <w:p>
            <w:pPr>
              <w:rPr>
                <w:rFonts w:ascii="宋体" w:hAnsi="宋体"/>
                <w:color w:val="000000" w:themeColor="text1"/>
                <w:szCs w:val="21"/>
                <w14:textFill>
                  <w14:solidFill>
                    <w14:schemeClr w14:val="tx1"/>
                  </w14:solidFill>
                </w14:textFill>
              </w:rPr>
            </w:pPr>
            <w:r>
              <w:rPr>
                <w:rFonts w:hint="eastAsia"/>
                <w:b/>
                <w:bCs/>
                <w:color w:val="000000"/>
                <w:szCs w:val="21"/>
              </w:rPr>
              <w:t>三、清算收益（损失）总额</w:t>
            </w:r>
          </w:p>
        </w:tc>
        <w:tc>
          <w:tcPr>
            <w:tcW w:w="4408" w:type="dxa"/>
            <w:vAlign w:val="bottom"/>
          </w:tcPr>
          <w:p>
            <w:pPr>
              <w:ind w:left="-80"/>
              <w:jc w:val="right"/>
              <w:rPr>
                <w:rFonts w:hint="default" w:ascii="Arial" w:hAnsi="Arial" w:cs="Arial"/>
                <w:b/>
                <w:bCs/>
                <w:color w:val="000000"/>
                <w:sz w:val="24"/>
                <w:lang w:val="en-US"/>
              </w:rPr>
            </w:pPr>
            <w:r>
              <w:rPr>
                <w:rFonts w:hint="default" w:ascii="Arial" w:hAnsi="Arial" w:cs="Arial"/>
                <w:b/>
                <w:bCs/>
                <w:color w:val="000000"/>
                <w:sz w:val="24"/>
                <w:lang w:val="en-US" w:eastAsia="zh-CN"/>
              </w:rPr>
              <w:t>-165</w:t>
            </w:r>
            <w:r>
              <w:rPr>
                <w:rFonts w:hint="eastAsia" w:ascii="Arial" w:hAnsi="Arial" w:cs="Arial"/>
                <w:b/>
                <w:bCs/>
                <w:color w:val="000000"/>
                <w:sz w:val="24"/>
                <w:lang w:val="en-US" w:eastAsia="zh-CN"/>
              </w:rPr>
              <w:t>,</w:t>
            </w:r>
            <w:r>
              <w:rPr>
                <w:rFonts w:hint="default" w:ascii="Arial" w:hAnsi="Arial" w:cs="Arial"/>
                <w:b/>
                <w:bCs/>
                <w:color w:val="000000"/>
                <w:sz w:val="24"/>
                <w:lang w:val="en-US" w:eastAsia="zh-CN"/>
              </w:rPr>
              <w:t>009.1</w:t>
            </w:r>
            <w:r>
              <w:rPr>
                <w:rFonts w:hint="eastAsia" w:ascii="Arial" w:hAnsi="Arial" w:cs="Arial"/>
                <w:b/>
                <w:bCs/>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95" w:type="dxa"/>
            <w:shd w:val="clear" w:color="auto" w:fill="auto"/>
            <w:vAlign w:val="center"/>
          </w:tcPr>
          <w:p>
            <w:pPr>
              <w:rPr>
                <w:rFonts w:ascii="宋体" w:hAnsi="宋体"/>
                <w:color w:val="000000" w:themeColor="text1"/>
                <w:szCs w:val="21"/>
                <w14:textFill>
                  <w14:solidFill>
                    <w14:schemeClr w14:val="tx1"/>
                  </w14:solidFill>
                </w14:textFill>
              </w:rPr>
            </w:pPr>
            <w:r>
              <w:rPr>
                <w:rFonts w:hint="eastAsia"/>
                <w:color w:val="000000"/>
                <w:szCs w:val="21"/>
              </w:rPr>
              <w:t>减：所得税费用</w:t>
            </w:r>
          </w:p>
        </w:tc>
        <w:tc>
          <w:tcPr>
            <w:tcW w:w="4408" w:type="dxa"/>
            <w:shd w:val="clear" w:color="auto" w:fill="auto"/>
            <w:vAlign w:val="center"/>
          </w:tcPr>
          <w:p>
            <w:pPr>
              <w:jc w:val="righ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95" w:type="dxa"/>
            <w:shd w:val="clear" w:color="auto" w:fill="auto"/>
            <w:vAlign w:val="center"/>
          </w:tcPr>
          <w:p>
            <w:pPr>
              <w:rPr>
                <w:rFonts w:ascii="宋体" w:hAnsi="宋体"/>
                <w:b/>
                <w:color w:val="000000" w:themeColor="text1"/>
                <w:szCs w:val="21"/>
                <w14:textFill>
                  <w14:solidFill>
                    <w14:schemeClr w14:val="tx1"/>
                  </w14:solidFill>
                </w14:textFill>
              </w:rPr>
            </w:pPr>
            <w:r>
              <w:rPr>
                <w:rFonts w:hint="eastAsia"/>
                <w:b/>
                <w:bCs/>
                <w:color w:val="000000"/>
                <w:szCs w:val="21"/>
              </w:rPr>
              <w:t>四、清算净收益（损失）</w:t>
            </w:r>
          </w:p>
        </w:tc>
        <w:tc>
          <w:tcPr>
            <w:tcW w:w="4408" w:type="dxa"/>
            <w:shd w:val="clear" w:color="auto" w:fill="auto"/>
            <w:vAlign w:val="bottom"/>
          </w:tcPr>
          <w:p>
            <w:pPr>
              <w:ind w:left="-80" w:leftChars="0"/>
              <w:jc w:val="right"/>
              <w:rPr>
                <w:rFonts w:hint="default" w:ascii="Arial" w:hAnsi="Arial" w:cs="Arial"/>
                <w:b/>
                <w:bCs/>
                <w:color w:val="000000"/>
                <w:sz w:val="24"/>
                <w:lang w:val="en-US"/>
              </w:rPr>
            </w:pPr>
            <w:r>
              <w:rPr>
                <w:rFonts w:hint="default" w:ascii="Arial" w:hAnsi="Arial" w:cs="Arial"/>
                <w:b/>
                <w:bCs/>
                <w:color w:val="000000"/>
                <w:sz w:val="24"/>
                <w:lang w:val="en-US" w:eastAsia="zh-CN"/>
              </w:rPr>
              <w:t>-165</w:t>
            </w:r>
            <w:r>
              <w:rPr>
                <w:rFonts w:hint="eastAsia" w:ascii="Arial" w:hAnsi="Arial" w:cs="Arial"/>
                <w:b/>
                <w:bCs/>
                <w:color w:val="000000"/>
                <w:sz w:val="24"/>
                <w:lang w:val="en-US" w:eastAsia="zh-CN"/>
              </w:rPr>
              <w:t>,</w:t>
            </w:r>
            <w:r>
              <w:rPr>
                <w:rFonts w:hint="default" w:ascii="Arial" w:hAnsi="Arial" w:cs="Arial"/>
                <w:b/>
                <w:bCs/>
                <w:color w:val="000000"/>
                <w:sz w:val="24"/>
                <w:lang w:val="en-US" w:eastAsia="zh-CN"/>
              </w:rPr>
              <w:t>009.1</w:t>
            </w:r>
            <w:r>
              <w:rPr>
                <w:rFonts w:hint="eastAsia" w:ascii="Arial" w:hAnsi="Arial" w:cs="Arial"/>
                <w:b/>
                <w:bCs/>
                <w:color w:val="000000"/>
                <w:sz w:val="24"/>
                <w:lang w:val="en-US" w:eastAsia="zh-CN"/>
              </w:rPr>
              <w:t>0</w:t>
            </w:r>
          </w:p>
        </w:tc>
      </w:tr>
    </w:tbl>
    <w:p>
      <w:pPr>
        <w:pStyle w:val="24"/>
      </w:pPr>
      <w:bookmarkStart w:id="41" w:name="_Toc483396840"/>
      <w:bookmarkStart w:id="42" w:name="_Toc484769808"/>
      <w:bookmarkStart w:id="43" w:name="_Toc484607313"/>
      <w:r>
        <w:rPr>
          <w:rFonts w:hint="eastAsia"/>
        </w:rPr>
        <w:t>注：1.利息收入系以当前适用的利率预估计提的自202</w:t>
      </w:r>
      <w:r>
        <w:rPr>
          <w:rFonts w:hint="eastAsia"/>
          <w:lang w:val="en-US" w:eastAsia="zh-CN"/>
        </w:rPr>
        <w:t>4</w:t>
      </w:r>
      <w:r>
        <w:rPr>
          <w:rFonts w:hint="eastAsia"/>
        </w:rPr>
        <w:t>年</w:t>
      </w:r>
      <w:r>
        <w:t>8</w:t>
      </w:r>
      <w:r>
        <w:rPr>
          <w:rFonts w:hint="eastAsia"/>
        </w:rPr>
        <w:t>月</w:t>
      </w:r>
      <w:r>
        <w:rPr>
          <w:rFonts w:hint="eastAsia"/>
          <w:lang w:val="en-US" w:eastAsia="zh-CN"/>
        </w:rPr>
        <w:t>3</w:t>
      </w:r>
      <w:r>
        <w:t>1</w:t>
      </w:r>
      <w:r>
        <w:rPr>
          <w:rFonts w:hint="eastAsia"/>
        </w:rPr>
        <w:t>日至202</w:t>
      </w:r>
      <w:r>
        <w:rPr>
          <w:rFonts w:hint="eastAsia"/>
          <w:lang w:val="en-US" w:eastAsia="zh-CN"/>
        </w:rPr>
        <w:t>4</w:t>
      </w:r>
      <w:r>
        <w:rPr>
          <w:rFonts w:hint="eastAsia"/>
        </w:rPr>
        <w:t>年</w:t>
      </w:r>
      <w:r>
        <w:t>9</w:t>
      </w:r>
      <w:r>
        <w:rPr>
          <w:rFonts w:hint="eastAsia"/>
        </w:rPr>
        <w:t>月</w:t>
      </w:r>
      <w:r>
        <w:rPr>
          <w:rFonts w:hint="eastAsia"/>
          <w:lang w:val="en-US" w:eastAsia="zh-CN"/>
        </w:rPr>
        <w:t>24</w:t>
      </w:r>
      <w:r>
        <w:rPr>
          <w:rFonts w:hint="eastAsia"/>
        </w:rPr>
        <w:t>日止清算期间的活期存款利息、最低备付金利息、存出保证金利息；</w:t>
      </w:r>
    </w:p>
    <w:p>
      <w:pPr>
        <w:pStyle w:val="24"/>
      </w:pPr>
      <w:r>
        <w:rPr>
          <w:rFonts w:hint="eastAsia"/>
        </w:rPr>
        <w:t>2.其他收入为</w:t>
      </w:r>
      <w:r>
        <w:rPr>
          <w:rFonts w:hint="eastAsia"/>
          <w:lang w:val="en-US" w:eastAsia="zh-CN"/>
        </w:rPr>
        <w:t>销售服务费返还</w:t>
      </w:r>
      <w:r>
        <w:rPr>
          <w:rFonts w:hint="eastAsia"/>
        </w:rPr>
        <w:t>。</w:t>
      </w:r>
    </w:p>
    <w:p>
      <w:pPr>
        <w:pStyle w:val="3"/>
        <w:spacing w:before="0" w:after="0"/>
        <w:rPr>
          <w:rFonts w:ascii="宋体" w:hAnsi="宋体" w:eastAsia="宋体"/>
          <w:kern w:val="0"/>
          <w:sz w:val="21"/>
          <w:szCs w:val="21"/>
        </w:rPr>
      </w:pPr>
      <w:bookmarkStart w:id="44" w:name="_Toc145339097"/>
      <w:r>
        <w:rPr>
          <w:rFonts w:hint="eastAsia" w:ascii="宋体" w:hAnsi="宋体" w:eastAsia="宋体"/>
          <w:kern w:val="0"/>
          <w:sz w:val="21"/>
          <w:szCs w:val="21"/>
        </w:rPr>
        <w:t>4.3</w:t>
      </w:r>
      <w:r>
        <w:rPr>
          <w:rFonts w:ascii="宋体" w:hAnsi="宋体" w:eastAsia="宋体"/>
          <w:kern w:val="0"/>
          <w:sz w:val="21"/>
          <w:szCs w:val="21"/>
        </w:rPr>
        <w:t xml:space="preserve"> </w:t>
      </w:r>
      <w:r>
        <w:rPr>
          <w:rFonts w:hint="eastAsia" w:ascii="宋体" w:hAnsi="宋体" w:eastAsia="宋体"/>
          <w:kern w:val="0"/>
          <w:sz w:val="21"/>
          <w:szCs w:val="21"/>
        </w:rPr>
        <w:t>报表附注</w:t>
      </w:r>
      <w:bookmarkEnd w:id="41"/>
      <w:bookmarkEnd w:id="42"/>
      <w:bookmarkEnd w:id="43"/>
      <w:bookmarkEnd w:id="44"/>
    </w:p>
    <w:p>
      <w:pPr>
        <w:spacing w:line="360" w:lineRule="auto"/>
        <w:rPr>
          <w:rFonts w:ascii="宋体" w:hAnsi="宋体"/>
          <w:b/>
          <w:szCs w:val="21"/>
        </w:rPr>
      </w:pPr>
      <w:r>
        <w:rPr>
          <w:rFonts w:ascii="宋体" w:hAnsi="宋体"/>
          <w:b/>
          <w:szCs w:val="21"/>
        </w:rPr>
        <w:t>4.3.</w:t>
      </w:r>
      <w:r>
        <w:rPr>
          <w:rFonts w:hint="eastAsia" w:ascii="宋体" w:hAnsi="宋体"/>
          <w:b/>
          <w:szCs w:val="21"/>
        </w:rPr>
        <w:t>1基金基本情况</w:t>
      </w:r>
    </w:p>
    <w:p>
      <w:pPr>
        <w:pStyle w:val="24"/>
        <w:rPr>
          <w:rFonts w:hint="eastAsia"/>
          <w:lang w:eastAsia="zh-Hans"/>
        </w:rPr>
      </w:pPr>
      <w:r>
        <w:rPr>
          <w:rFonts w:hint="eastAsia"/>
          <w:lang w:eastAsia="zh-Hans"/>
        </w:rPr>
        <w:t>博时养老目标日期2045五年持有期混合型发起式基金中基金（FOF）（以下简称“本基金”）经中国证券监督管理委员会（以下简称“中国证监会”）证监许可[2021]2279号《关于准予博时养老目标日期2045五年持有期混合型发起式基金中基金（FOF）注册的批复》</w:t>
      </w:r>
      <w:r>
        <w:rPr>
          <w:rFonts w:hint="eastAsia"/>
          <w:lang w:val="en-US" w:eastAsia="zh-CN"/>
        </w:rPr>
        <w:t>注册</w:t>
      </w:r>
      <w:r>
        <w:rPr>
          <w:rFonts w:hint="eastAsia"/>
          <w:lang w:eastAsia="zh-Hans"/>
        </w:rPr>
        <w:t>，由博时基金管理有限公司依照《中华人民共和国证券投资基金法》和《博时养老目标日期2045五年持有期混合型发起式基金中基金（FOF）基金合同》（以下简称“基金合同”或“《基金合同》”）负责公开募集。本基金为</w:t>
      </w:r>
      <w:bookmarkStart w:id="45" w:name="_Hlk137490720"/>
      <w:r>
        <w:rPr>
          <w:rFonts w:hint="eastAsia"/>
          <w:lang w:eastAsia="zh-Hans"/>
        </w:rPr>
        <w:t>契约型开放式</w:t>
      </w:r>
      <w:bookmarkEnd w:id="45"/>
      <w:r>
        <w:rPr>
          <w:rFonts w:hint="eastAsia"/>
          <w:lang w:eastAsia="zh-Hans"/>
        </w:rPr>
        <w:t>基金，存续期限不定，首次设立募集不包括认购资金利息共募集人民币10,779,278.53元，业经普华永道中天会计师事务所（特殊普通合伙）普华永道中天验字（2021）第0763号验资报告予以验证。经向中国证监会备案，《博时养老目标日期2045五年持有期混合型发起式基金中基金（FOF）基金合同》于2021年8月30日正式生效，基金合同生效日的基金份额总额为10,779,859.33份基金份额，其中认购资金利息折合580.80份基金份额。本基金的基金管理人为博时基金管理有限公司，基金托管人为招商银行股份有限公司。</w:t>
      </w:r>
    </w:p>
    <w:p>
      <w:pPr>
        <w:pStyle w:val="24"/>
        <w:rPr>
          <w:rFonts w:hint="eastAsia"/>
          <w:lang w:eastAsia="zh-Hans"/>
        </w:rPr>
      </w:pPr>
      <w:r>
        <w:rPr>
          <w:rFonts w:hint="eastAsia"/>
          <w:lang w:eastAsia="zh-Hans"/>
        </w:rPr>
        <w:t>根据《中华人民共和国证券投资基金法》和《博时养老目标日期2045五年持有期混合型发起式基金中基金（FOF）基金合同》的有关规定，本基金的投资范围为具有良好流动性的金融工具，包括经中国证监会核准或注册的公开募集证券投资基金（含QDII基金、香港互认基金、公开募集基础设施证券投资基金（以下简称“公募REITs”），以下简称“证券投资基金”）、国内依法发行或上市的股票（含主板、创业板及其他经中国证监会核准上市或准予注册的股票、存托凭证）、港股通机制下允许买卖的规定范围内的香港联合交易所上市的股票（以下简称“港股通标的股票”）、债券（国债、金融债、央行票据、地方政府债、企业债、公司债、次级债、可转换债券（含可分离交易可转换债券）、可交换债券、中期票据、短期融资券、超短期融资券、政府支持债券、政府支持机构债）、资产支持证券、债券回购、银行存款、同业存单、货币市场工具以及法律法规或中国证监会允许基金投资的其他金融工具，但须符合中国证监会的相关规定。如法律法规或监管机构以后允许基金投资其他品种，基金管理人在履行适当程序后，可以将其纳入投资范围。本基金投资于证券投资基金的比例不低于本基金资产的80%，投资于权益类资产和商品基金（含商品期货基金和黄金ETF）等品种的比例合计原则上不超过基金资产的80%，其中投资于港股通标的股票的比例不超过股票资产的50%。本基金保持不低于基金资产净值5%的现金或者到期日在一年以内的政府债券，其中现金不包括结算备付金、存出保证金、应收申购款等。其中，本基金投资的权益类资产指股票（含存托凭证）、股票型基金和混合型基金，权益类资产中的混合型基金是指最近四个季度定期报告中披露的股票资产占基金资产的比例均在60%以上的混合型基金。本基金的业绩比较基准为：X*沪深300指数收益率+（100%-X）*中债综合财富(总值)指数收益率，基金合同生效日至2025/12/31，X=70%；2026/1/1-2029/12/31，X=68%；2030/1/1-2033/12/31，X=65%；2034/1/1-2036/12/31，X=60%；2037/1/1-2039/12/31，X=55%；2040/1/1-2042/12/31，X=45%；2043/1/1-2045/12/31，X=25%。</w:t>
      </w:r>
    </w:p>
    <w:p>
      <w:pPr>
        <w:spacing w:line="360" w:lineRule="auto"/>
        <w:rPr>
          <w:rFonts w:ascii="宋体" w:hAnsi="宋体"/>
          <w:b/>
          <w:szCs w:val="21"/>
        </w:rPr>
      </w:pPr>
      <w:r>
        <w:rPr>
          <w:rFonts w:ascii="宋体" w:hAnsi="宋体"/>
          <w:b/>
          <w:szCs w:val="21"/>
        </w:rPr>
        <w:t>4.3.</w:t>
      </w:r>
      <w:r>
        <w:rPr>
          <w:rFonts w:hint="eastAsia" w:ascii="宋体" w:hAnsi="宋体"/>
          <w:b/>
          <w:szCs w:val="21"/>
        </w:rPr>
        <w:t>2清算原因</w:t>
      </w:r>
    </w:p>
    <w:p>
      <w:pPr>
        <w:pStyle w:val="24"/>
        <w:rPr>
          <w:rFonts w:hint="eastAsia"/>
        </w:rPr>
      </w:pPr>
      <w:r>
        <w:rPr>
          <w:rFonts w:hint="eastAsia"/>
        </w:rPr>
        <w:t>根据《基金合同》“第五部分  基金备案”中“三、基金存续期内的基金份额持有人数量和资产规模”的约定：“本基金为发起式基金，本基金的基金合同生效之日起三年后的对应日，若基金资产净值低于两亿元的，本基金将根据基金合同的约定进行基金财产清算并终止，无需召开基金份额持有人大会审议，且不得通过召开基金份额持有人大会的方式延续。若届时的法律法规或中国证监会规定发生变化，上述终止规定被取消、更改或补充时，则本基金可以参照届时有效的法律法规或中国证监会规定执行”。</w:t>
      </w:r>
    </w:p>
    <w:p>
      <w:pPr>
        <w:pStyle w:val="24"/>
        <w:rPr>
          <w:rFonts w:hint="eastAsia"/>
        </w:rPr>
      </w:pPr>
      <w:r>
        <w:rPr>
          <w:rFonts w:hint="eastAsia"/>
        </w:rPr>
        <w:t>根据《关于博时养老目标日期2045五年持有期混合型发起式基金中基金（FOF）基金合同终止及基金财产清算的公告》，本基金基金合同生效日为2021年8月30日，基金合同生效之日起三年后的对应日为2024年8月30日。截至2024年8月30日日终，本基金资产净值低于两亿元，已触发基金合同中约定的基金终止条款。根据《基金合同》有关约定，本基金将根据《基金合同》约定进入清算程序并终止，且无需召开基金份额持有人大会。</w:t>
      </w:r>
    </w:p>
    <w:p>
      <w:pPr>
        <w:spacing w:line="360" w:lineRule="auto"/>
        <w:rPr>
          <w:rFonts w:ascii="宋体" w:hAnsi="宋体"/>
          <w:b/>
          <w:szCs w:val="21"/>
        </w:rPr>
      </w:pPr>
      <w:r>
        <w:rPr>
          <w:rFonts w:ascii="宋体" w:hAnsi="宋体"/>
          <w:b/>
          <w:szCs w:val="21"/>
        </w:rPr>
        <w:t>4.3.</w:t>
      </w:r>
      <w:r>
        <w:rPr>
          <w:rFonts w:hint="eastAsia" w:ascii="宋体" w:hAnsi="宋体"/>
          <w:b/>
          <w:szCs w:val="21"/>
        </w:rPr>
        <w:t>3清算起始日</w:t>
      </w:r>
    </w:p>
    <w:p>
      <w:pPr>
        <w:pStyle w:val="24"/>
      </w:pPr>
      <w:r>
        <w:t>根据《</w:t>
      </w:r>
      <w:r>
        <w:rPr>
          <w:rFonts w:hint="eastAsia"/>
        </w:rPr>
        <w:t>关于博时养老目标日期2045五年持有期混合型发起式基金中基金（FOF）基金合同终止及基金财产清算的公告</w:t>
      </w:r>
      <w:r>
        <w:t>》，本基金自2024年8月31日起进入清算程序。</w:t>
      </w:r>
    </w:p>
    <w:p>
      <w:pPr>
        <w:spacing w:line="360" w:lineRule="auto"/>
        <w:rPr>
          <w:rFonts w:ascii="宋体" w:hAnsi="宋体"/>
          <w:b/>
          <w:szCs w:val="21"/>
        </w:rPr>
      </w:pPr>
      <w:r>
        <w:rPr>
          <w:rFonts w:ascii="宋体" w:hAnsi="宋体"/>
          <w:b/>
          <w:szCs w:val="21"/>
        </w:rPr>
        <w:t>4.3.</w:t>
      </w:r>
      <w:r>
        <w:rPr>
          <w:rFonts w:hint="eastAsia" w:ascii="宋体" w:hAnsi="宋体"/>
          <w:b/>
          <w:szCs w:val="21"/>
        </w:rPr>
        <w:t>4清算财务报表的编制基础</w:t>
      </w:r>
    </w:p>
    <w:p>
      <w:pPr>
        <w:spacing w:line="360" w:lineRule="auto"/>
        <w:ind w:firstLine="420" w:firstLineChars="200"/>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本基金的清算报表是在非持续经营的前提下参考《企业会计准则》及</w:t>
      </w:r>
      <w:bookmarkStart w:id="46" w:name="_Hlk124011503"/>
      <w:r>
        <w:rPr>
          <w:rFonts w:hint="eastAsia" w:asciiTheme="minorEastAsia" w:hAnsiTheme="minorEastAsia" w:eastAsiaTheme="minorEastAsia"/>
          <w:color w:val="000000"/>
          <w:szCs w:val="21"/>
        </w:rPr>
        <w:t>《资产管理产品相关会计处理规定》</w:t>
      </w:r>
      <w:bookmarkEnd w:id="46"/>
      <w:r>
        <w:rPr>
          <w:rFonts w:hint="eastAsia" w:asciiTheme="minorEastAsia" w:hAnsiTheme="minorEastAsia" w:eastAsiaTheme="minorEastAsia"/>
          <w:color w:val="000000"/>
          <w:szCs w:val="21"/>
        </w:rPr>
        <w:t>的有关规定编制的。自本基金最后运作日起，资产负债按清算价格计价。由于报告性质所致，本清算报表并无比较期间的相关数据列示。管理人编制本清算报表是为了博时养老目标日期2045五年持有期混合型发起式基金中基金（FOF）基金财产清算小组报送博时养老目标日期2045五年持有期混合型发起式基金中基金（FOF）全体持有人以及中国证券监督管理委员会使用。因此，本清算报表不适用于其他用途。</w:t>
      </w:r>
    </w:p>
    <w:p>
      <w:pPr>
        <w:spacing w:line="360" w:lineRule="auto"/>
        <w:rPr>
          <w:rFonts w:ascii="宋体" w:hAnsi="宋体"/>
          <w:b/>
          <w:szCs w:val="21"/>
        </w:rPr>
      </w:pPr>
      <w:r>
        <w:rPr>
          <w:rFonts w:ascii="宋体" w:hAnsi="宋体"/>
          <w:b/>
          <w:szCs w:val="21"/>
        </w:rPr>
        <w:t>4.3.</w:t>
      </w:r>
      <w:r>
        <w:rPr>
          <w:rFonts w:hint="eastAsia" w:ascii="宋体" w:hAnsi="宋体"/>
          <w:b/>
          <w:szCs w:val="21"/>
        </w:rPr>
        <w:t>5 重要会计政策和会计估计</w:t>
      </w:r>
    </w:p>
    <w:p>
      <w:pPr>
        <w:spacing w:line="360" w:lineRule="auto"/>
        <w:rPr>
          <w:rFonts w:ascii="宋体" w:hAnsi="宋体"/>
          <w:b/>
          <w:szCs w:val="21"/>
        </w:rPr>
      </w:pPr>
      <w:r>
        <w:rPr>
          <w:rFonts w:ascii="宋体" w:hAnsi="宋体"/>
          <w:b/>
          <w:szCs w:val="21"/>
        </w:rPr>
        <w:t>4.3.</w:t>
      </w:r>
      <w:r>
        <w:rPr>
          <w:rFonts w:hint="eastAsia" w:ascii="宋体" w:hAnsi="宋体"/>
          <w:b/>
          <w:szCs w:val="21"/>
        </w:rPr>
        <w:t>5</w:t>
      </w:r>
      <w:r>
        <w:rPr>
          <w:rFonts w:ascii="宋体" w:hAnsi="宋体"/>
          <w:b/>
          <w:szCs w:val="21"/>
        </w:rPr>
        <w:t>.</w:t>
      </w:r>
      <w:r>
        <w:rPr>
          <w:rFonts w:hint="eastAsia" w:ascii="宋体" w:hAnsi="宋体"/>
          <w:b/>
          <w:szCs w:val="21"/>
        </w:rPr>
        <w:t>1清算期间</w:t>
      </w:r>
    </w:p>
    <w:p>
      <w:pPr>
        <w:spacing w:line="360" w:lineRule="auto"/>
        <w:ind w:firstLine="420" w:firstLineChars="200"/>
        <w:rPr>
          <w:rFonts w:ascii="宋体" w:hAnsi="宋体"/>
          <w:color w:val="000000"/>
          <w:szCs w:val="21"/>
        </w:rPr>
      </w:pPr>
      <w:r>
        <w:rPr>
          <w:rFonts w:hint="eastAsia" w:ascii="宋体" w:hAnsi="宋体"/>
          <w:color w:val="000000"/>
          <w:szCs w:val="21"/>
        </w:rPr>
        <w:t>本次清算期间为202</w:t>
      </w:r>
      <w:r>
        <w:rPr>
          <w:rFonts w:hint="eastAsia" w:ascii="宋体" w:hAnsi="宋体"/>
          <w:color w:val="000000"/>
          <w:szCs w:val="21"/>
          <w:lang w:val="en-US" w:eastAsia="zh-CN"/>
        </w:rPr>
        <w:t>4</w:t>
      </w:r>
      <w:r>
        <w:rPr>
          <w:rFonts w:hint="eastAsia" w:ascii="宋体" w:hAnsi="宋体"/>
          <w:color w:val="000000"/>
          <w:szCs w:val="21"/>
        </w:rPr>
        <w:t>年</w:t>
      </w:r>
      <w:r>
        <w:rPr>
          <w:rFonts w:ascii="宋体" w:hAnsi="宋体"/>
          <w:color w:val="000000"/>
          <w:szCs w:val="21"/>
        </w:rPr>
        <w:t>8</w:t>
      </w:r>
      <w:r>
        <w:rPr>
          <w:rFonts w:hint="eastAsia" w:ascii="宋体" w:hAnsi="宋体"/>
          <w:color w:val="000000"/>
          <w:szCs w:val="21"/>
        </w:rPr>
        <w:t>月</w:t>
      </w:r>
      <w:r>
        <w:rPr>
          <w:rFonts w:hint="eastAsia" w:ascii="宋体" w:hAnsi="宋体"/>
          <w:color w:val="000000"/>
          <w:szCs w:val="21"/>
          <w:lang w:val="en-US" w:eastAsia="zh-CN"/>
        </w:rPr>
        <w:t>3</w:t>
      </w:r>
      <w:r>
        <w:rPr>
          <w:rFonts w:ascii="宋体" w:hAnsi="宋体"/>
          <w:color w:val="000000"/>
          <w:szCs w:val="21"/>
        </w:rPr>
        <w:t>1</w:t>
      </w:r>
      <w:r>
        <w:rPr>
          <w:rFonts w:hint="eastAsia" w:ascii="宋体" w:hAnsi="宋体"/>
          <w:color w:val="000000"/>
          <w:szCs w:val="21"/>
        </w:rPr>
        <w:t>日至202</w:t>
      </w:r>
      <w:r>
        <w:rPr>
          <w:rFonts w:hint="eastAsia" w:ascii="宋体" w:hAnsi="宋体"/>
          <w:color w:val="000000"/>
          <w:szCs w:val="21"/>
          <w:lang w:val="en-US" w:eastAsia="zh-CN"/>
        </w:rPr>
        <w:t>4</w:t>
      </w:r>
      <w:r>
        <w:rPr>
          <w:rFonts w:hint="eastAsia" w:ascii="宋体" w:hAnsi="宋体"/>
          <w:color w:val="000000"/>
          <w:szCs w:val="21"/>
        </w:rPr>
        <w:t>年</w:t>
      </w:r>
      <w:r>
        <w:rPr>
          <w:rFonts w:ascii="宋体" w:hAnsi="宋体"/>
          <w:color w:val="000000"/>
          <w:szCs w:val="21"/>
        </w:rPr>
        <w:t>9</w:t>
      </w:r>
      <w:r>
        <w:rPr>
          <w:rFonts w:hint="eastAsia" w:ascii="宋体" w:hAnsi="宋体"/>
          <w:color w:val="000000"/>
          <w:szCs w:val="21"/>
        </w:rPr>
        <w:t>月</w:t>
      </w:r>
      <w:r>
        <w:rPr>
          <w:rFonts w:hint="eastAsia" w:ascii="宋体" w:hAnsi="宋体"/>
          <w:color w:val="000000"/>
          <w:szCs w:val="21"/>
          <w:lang w:val="en-US" w:eastAsia="zh-CN"/>
        </w:rPr>
        <w:t>24</w:t>
      </w:r>
      <w:r>
        <w:rPr>
          <w:rFonts w:hint="eastAsia" w:ascii="宋体" w:hAnsi="宋体"/>
          <w:color w:val="000000"/>
          <w:szCs w:val="21"/>
        </w:rPr>
        <w:t>日。</w:t>
      </w:r>
    </w:p>
    <w:p>
      <w:pPr>
        <w:spacing w:line="360" w:lineRule="auto"/>
        <w:rPr>
          <w:rFonts w:ascii="宋体" w:hAnsi="宋体"/>
          <w:b/>
          <w:szCs w:val="21"/>
        </w:rPr>
      </w:pPr>
      <w:r>
        <w:rPr>
          <w:rFonts w:ascii="宋体" w:hAnsi="宋体"/>
          <w:b/>
          <w:szCs w:val="21"/>
        </w:rPr>
        <w:t>4.3.</w:t>
      </w:r>
      <w:r>
        <w:rPr>
          <w:rFonts w:hint="eastAsia" w:ascii="宋体" w:hAnsi="宋体"/>
          <w:b/>
          <w:szCs w:val="21"/>
        </w:rPr>
        <w:t>5</w:t>
      </w:r>
      <w:r>
        <w:rPr>
          <w:rFonts w:ascii="宋体" w:hAnsi="宋体"/>
          <w:b/>
          <w:szCs w:val="21"/>
        </w:rPr>
        <w:t>.2 记账本位币</w:t>
      </w:r>
    </w:p>
    <w:p>
      <w:pPr>
        <w:spacing w:line="360" w:lineRule="auto"/>
        <w:ind w:firstLine="420" w:firstLineChars="200"/>
        <w:rPr>
          <w:rFonts w:ascii="宋体" w:hAnsi="宋体"/>
          <w:color w:val="000000"/>
          <w:szCs w:val="21"/>
        </w:rPr>
      </w:pPr>
      <w:r>
        <w:rPr>
          <w:rFonts w:hint="eastAsia" w:ascii="宋体" w:hAnsi="宋体"/>
          <w:color w:val="000000"/>
          <w:szCs w:val="21"/>
        </w:rPr>
        <w:t>本清算财务报表以人民币为记账</w:t>
      </w:r>
      <w:r>
        <w:rPr>
          <w:rFonts w:hint="eastAsia" w:ascii="宋体" w:hAnsi="宋体"/>
          <w:color w:val="000000"/>
          <w:szCs w:val="21"/>
          <w:lang w:val="en-US" w:eastAsia="zh-CN"/>
        </w:rPr>
        <w:t>本位币</w:t>
      </w:r>
      <w:r>
        <w:rPr>
          <w:rFonts w:hint="eastAsia" w:ascii="宋体" w:hAnsi="宋体"/>
          <w:color w:val="000000"/>
          <w:szCs w:val="21"/>
        </w:rPr>
        <w:t>。</w:t>
      </w:r>
    </w:p>
    <w:p>
      <w:pPr>
        <w:spacing w:line="360" w:lineRule="auto"/>
        <w:rPr>
          <w:rFonts w:ascii="宋体" w:hAnsi="宋体"/>
          <w:b/>
          <w:szCs w:val="21"/>
        </w:rPr>
      </w:pPr>
      <w:r>
        <w:rPr>
          <w:rFonts w:ascii="宋体" w:hAnsi="宋体"/>
          <w:b/>
          <w:szCs w:val="21"/>
        </w:rPr>
        <w:t>4.3.</w:t>
      </w:r>
      <w:r>
        <w:rPr>
          <w:rFonts w:hint="eastAsia" w:ascii="宋体" w:hAnsi="宋体"/>
          <w:b/>
          <w:szCs w:val="21"/>
        </w:rPr>
        <w:t>5</w:t>
      </w:r>
      <w:r>
        <w:rPr>
          <w:rFonts w:ascii="宋体" w:hAnsi="宋体"/>
          <w:b/>
          <w:szCs w:val="21"/>
        </w:rPr>
        <w:t>.</w:t>
      </w:r>
      <w:r>
        <w:rPr>
          <w:rFonts w:hint="eastAsia" w:ascii="宋体" w:hAnsi="宋体"/>
          <w:b/>
          <w:szCs w:val="21"/>
        </w:rPr>
        <w:t>3</w:t>
      </w:r>
      <w:r>
        <w:rPr>
          <w:rFonts w:ascii="宋体" w:hAnsi="宋体"/>
          <w:b/>
          <w:szCs w:val="21"/>
        </w:rPr>
        <w:t xml:space="preserve"> </w:t>
      </w:r>
      <w:r>
        <w:rPr>
          <w:rFonts w:hint="eastAsia" w:ascii="宋体" w:hAnsi="宋体"/>
          <w:b/>
          <w:szCs w:val="21"/>
        </w:rPr>
        <w:t xml:space="preserve">应收款项的确认和计量 </w:t>
      </w:r>
    </w:p>
    <w:p>
      <w:pPr>
        <w:spacing w:line="360" w:lineRule="auto"/>
        <w:ind w:firstLine="420" w:firstLineChars="200"/>
        <w:rPr>
          <w:rFonts w:ascii="宋体" w:hAnsi="宋体"/>
          <w:color w:val="000000"/>
          <w:szCs w:val="21"/>
        </w:rPr>
      </w:pPr>
      <w:r>
        <w:rPr>
          <w:rFonts w:ascii="宋体" w:hAnsi="宋体"/>
          <w:color w:val="000000"/>
          <w:szCs w:val="21"/>
        </w:rPr>
        <w:t>应收款项按照未来应收取的款项金额计量。</w:t>
      </w:r>
    </w:p>
    <w:p>
      <w:pPr>
        <w:spacing w:line="360" w:lineRule="auto"/>
        <w:rPr>
          <w:rFonts w:ascii="宋体" w:hAnsi="宋体"/>
          <w:b/>
          <w:szCs w:val="21"/>
        </w:rPr>
      </w:pPr>
      <w:r>
        <w:rPr>
          <w:rFonts w:ascii="宋体" w:hAnsi="宋体"/>
          <w:b/>
          <w:szCs w:val="21"/>
        </w:rPr>
        <w:t>4.3.</w:t>
      </w:r>
      <w:r>
        <w:rPr>
          <w:rFonts w:hint="eastAsia" w:ascii="宋体" w:hAnsi="宋体"/>
          <w:b/>
          <w:szCs w:val="21"/>
        </w:rPr>
        <w:t>5</w:t>
      </w:r>
      <w:r>
        <w:rPr>
          <w:rFonts w:ascii="宋体" w:hAnsi="宋体"/>
          <w:b/>
          <w:szCs w:val="21"/>
        </w:rPr>
        <w:t>.</w:t>
      </w:r>
      <w:r>
        <w:rPr>
          <w:rFonts w:hint="eastAsia" w:ascii="宋体" w:hAnsi="宋体"/>
          <w:b/>
          <w:szCs w:val="21"/>
        </w:rPr>
        <w:t>4</w:t>
      </w:r>
      <w:r>
        <w:rPr>
          <w:rFonts w:ascii="宋体" w:hAnsi="宋体"/>
          <w:b/>
          <w:szCs w:val="21"/>
        </w:rPr>
        <w:t xml:space="preserve"> </w:t>
      </w:r>
      <w:r>
        <w:rPr>
          <w:rFonts w:hint="eastAsia" w:ascii="宋体" w:hAnsi="宋体"/>
          <w:b/>
          <w:szCs w:val="21"/>
        </w:rPr>
        <w:t xml:space="preserve">应付款项的确认和计量 </w:t>
      </w:r>
    </w:p>
    <w:p>
      <w:pPr>
        <w:spacing w:line="360" w:lineRule="auto"/>
        <w:ind w:firstLine="420" w:firstLineChars="200"/>
        <w:rPr>
          <w:rFonts w:ascii="宋体" w:hAnsi="宋体"/>
          <w:color w:val="000000"/>
          <w:szCs w:val="21"/>
        </w:rPr>
      </w:pPr>
      <w:r>
        <w:rPr>
          <w:rFonts w:ascii="宋体" w:hAnsi="宋体"/>
          <w:color w:val="000000"/>
          <w:szCs w:val="21"/>
        </w:rPr>
        <w:t>应付款项按照未来应支付的款项金额计量。</w:t>
      </w:r>
    </w:p>
    <w:p>
      <w:pPr>
        <w:spacing w:line="360" w:lineRule="auto"/>
        <w:rPr>
          <w:rFonts w:ascii="宋体" w:hAnsi="宋体"/>
          <w:b/>
          <w:szCs w:val="21"/>
        </w:rPr>
      </w:pPr>
      <w:r>
        <w:rPr>
          <w:rFonts w:ascii="宋体" w:hAnsi="宋体"/>
          <w:b/>
          <w:szCs w:val="21"/>
        </w:rPr>
        <w:t>4.3.</w:t>
      </w:r>
      <w:r>
        <w:rPr>
          <w:rFonts w:hint="eastAsia" w:ascii="宋体" w:hAnsi="宋体"/>
          <w:b/>
          <w:szCs w:val="21"/>
        </w:rPr>
        <w:t>5</w:t>
      </w:r>
      <w:r>
        <w:rPr>
          <w:rFonts w:ascii="宋体" w:hAnsi="宋体"/>
          <w:b/>
          <w:szCs w:val="21"/>
        </w:rPr>
        <w:t>.</w:t>
      </w:r>
      <w:r>
        <w:rPr>
          <w:rFonts w:hint="eastAsia" w:ascii="宋体" w:hAnsi="宋体"/>
          <w:b/>
          <w:szCs w:val="21"/>
        </w:rPr>
        <w:t>5</w:t>
      </w:r>
      <w:r>
        <w:rPr>
          <w:rFonts w:ascii="宋体" w:hAnsi="宋体"/>
          <w:b/>
          <w:szCs w:val="21"/>
        </w:rPr>
        <w:t xml:space="preserve"> </w:t>
      </w:r>
      <w:r>
        <w:rPr>
          <w:rFonts w:hint="eastAsia" w:ascii="宋体" w:hAnsi="宋体"/>
          <w:b/>
          <w:szCs w:val="21"/>
        </w:rPr>
        <w:t xml:space="preserve">清算收益的确认和计量 </w:t>
      </w:r>
    </w:p>
    <w:p>
      <w:pPr>
        <w:spacing w:line="360" w:lineRule="auto"/>
        <w:ind w:firstLine="420" w:firstLineChars="200"/>
        <w:rPr>
          <w:rFonts w:ascii="宋体" w:hAnsi="宋体"/>
          <w:color w:val="000000"/>
          <w:szCs w:val="21"/>
        </w:rPr>
      </w:pPr>
      <w:r>
        <w:rPr>
          <w:rFonts w:ascii="宋体" w:hAnsi="宋体"/>
          <w:color w:val="000000"/>
          <w:szCs w:val="21"/>
        </w:rPr>
        <w:t>清算收益按照实际发生的收益金额或未来应收取的款项金额计量。</w:t>
      </w:r>
    </w:p>
    <w:p>
      <w:pPr>
        <w:spacing w:line="360" w:lineRule="auto"/>
        <w:rPr>
          <w:rFonts w:ascii="宋体" w:hAnsi="宋体"/>
          <w:b/>
          <w:szCs w:val="21"/>
        </w:rPr>
      </w:pPr>
      <w:r>
        <w:rPr>
          <w:rFonts w:ascii="宋体" w:hAnsi="宋体"/>
          <w:b/>
          <w:szCs w:val="21"/>
        </w:rPr>
        <w:t>4.3.</w:t>
      </w:r>
      <w:r>
        <w:rPr>
          <w:rFonts w:hint="eastAsia" w:ascii="宋体" w:hAnsi="宋体"/>
          <w:b/>
          <w:szCs w:val="21"/>
        </w:rPr>
        <w:t>5</w:t>
      </w:r>
      <w:r>
        <w:rPr>
          <w:rFonts w:ascii="宋体" w:hAnsi="宋体"/>
          <w:b/>
          <w:szCs w:val="21"/>
        </w:rPr>
        <w:t>.6</w:t>
      </w:r>
      <w:r>
        <w:rPr>
          <w:rFonts w:hint="eastAsia" w:ascii="宋体" w:hAnsi="宋体"/>
          <w:b/>
          <w:szCs w:val="21"/>
        </w:rPr>
        <w:t xml:space="preserve">清算费用的确认和计量 </w:t>
      </w:r>
    </w:p>
    <w:p>
      <w:pPr>
        <w:spacing w:line="360" w:lineRule="auto"/>
        <w:ind w:firstLine="420" w:firstLineChars="200"/>
        <w:rPr>
          <w:rFonts w:ascii="宋体" w:hAnsi="宋体"/>
          <w:color w:val="000000"/>
          <w:szCs w:val="21"/>
        </w:rPr>
      </w:pPr>
      <w:r>
        <w:rPr>
          <w:rFonts w:ascii="宋体" w:hAnsi="宋体"/>
          <w:color w:val="000000"/>
          <w:szCs w:val="21"/>
        </w:rPr>
        <w:t>清算费用按照实际发生的费用金额或未来应支付的款项金额计量。</w:t>
      </w:r>
    </w:p>
    <w:p>
      <w:pPr>
        <w:spacing w:line="360" w:lineRule="auto"/>
        <w:rPr>
          <w:rFonts w:ascii="宋体" w:hAnsi="宋体"/>
          <w:b/>
          <w:szCs w:val="21"/>
        </w:rPr>
      </w:pPr>
      <w:r>
        <w:rPr>
          <w:rFonts w:ascii="宋体" w:hAnsi="宋体"/>
          <w:b/>
          <w:szCs w:val="21"/>
        </w:rPr>
        <w:t>4.3.</w:t>
      </w:r>
      <w:r>
        <w:rPr>
          <w:rFonts w:hint="eastAsia" w:ascii="宋体" w:hAnsi="宋体"/>
          <w:b/>
          <w:szCs w:val="21"/>
        </w:rPr>
        <w:t>6 税项</w:t>
      </w:r>
    </w:p>
    <w:p>
      <w:pPr>
        <w:spacing w:line="360" w:lineRule="auto"/>
        <w:ind w:firstLine="420" w:firstLineChars="200"/>
        <w:rPr>
          <w:rFonts w:ascii="宋体" w:hAnsi="宋体"/>
          <w:color w:val="000000"/>
          <w:szCs w:val="21"/>
        </w:rPr>
      </w:pPr>
      <w:r>
        <w:rPr>
          <w:rFonts w:ascii="宋体" w:hAnsi="宋体"/>
          <w:color w:val="000000"/>
          <w:szCs w:val="21"/>
        </w:rPr>
        <w:t>根据财政部、国家税务总局财税[2002]128号《关于开放式证券投资基金有关税收问题的通知》、财税[2008]1号《关于企业所得税若干优惠政策的通知》、财税[2012]85号《关于实施上市公司股息红利差别化个人所得税政策有关问题的通知》、财税[2014]81号《财政部国家税务总局证监会关于沪港股票市场交易互联互通机制试点有关税收政策的通知》、财税[2015]101号《关于上市公司股息红利差别化个人所得税政策有关问题的通知》、财税[2016]36号《关于全面推开营业税改征增值税试点的通知》、财税[2016]46号《关于进一步明确全面推开营改增试点金融业有关政策的通知》、财税[2016]70号《关于金融机构同业往来等增值税政策的补充通知》、财税[2016]127号《财政部国家税务总局证监会关于深港股票市场交易互联互通机制试点有关税收政策的通知》、财税[2016]140号《关于明确金融 房地产开发 教育辅助服务等增值税政策的通知》、财税[2017]2号《关于资管产品增值税政策有关问题的补充通知》、财税[2017]56号《关于资管产品增值税有关问题的通知》、财税[2017]90号《关于租入固定资产进项税额抵扣等增值税政策的通知》及其他相关财税法规和实务操作，主要税项列示如下：</w:t>
      </w:r>
    </w:p>
    <w:p>
      <w:pPr>
        <w:pStyle w:val="24"/>
        <w:numPr>
          <w:ilvl w:val="0"/>
          <w:numId w:val="1"/>
        </w:numPr>
      </w:pPr>
      <w:r>
        <w:t>资管产品运营过程中发生的增值税应税行为，以资管产品管理人为增值税纳税人。资管产品管理人运营资管产品过程中发生的增值税应税行为，暂适用简易计税方法，按照3%的征收率缴纳增值税。</w:t>
      </w:r>
    </w:p>
    <w:p>
      <w:pPr>
        <w:pStyle w:val="24"/>
        <w:numPr>
          <w:ilvl w:val="0"/>
          <w:numId w:val="0"/>
        </w:numPr>
        <w:ind w:firstLine="420" w:firstLineChars="200"/>
      </w:pPr>
      <w:r>
        <w:t>对证券投资基金管理人运用基金买卖股票、债券的转让收入免征增值税，对国债、地方政府债以及金融同业往来利息收入亦免征增值税。资管产品管理人运营资管产品提供的贷款服务，以产生的利息及利息性质的收入为销售额。</w:t>
      </w:r>
    </w:p>
    <w:p>
      <w:pPr>
        <w:pStyle w:val="24"/>
        <w:numPr>
          <w:ilvl w:val="0"/>
          <w:numId w:val="1"/>
        </w:numPr>
        <w:rPr>
          <w:rFonts w:hint="eastAsia"/>
        </w:rPr>
      </w:pPr>
      <w:r>
        <w:t>对基金从证券市场中取得的收入，包括买卖股票、债券的差价收入，股票的股息、红利收入，债券的利息收入及其他收入，暂不征收企业所得税。</w:t>
      </w:r>
    </w:p>
    <w:p>
      <w:pPr>
        <w:pStyle w:val="24"/>
        <w:numPr>
          <w:ilvl w:val="0"/>
          <w:numId w:val="1"/>
        </w:numPr>
        <w:rPr>
          <w:rFonts w:hint="eastAsia"/>
        </w:rPr>
      </w:pPr>
      <w:r>
        <w:t>对基金取得的企业债券利息收入，应由发行债券的企业在向基金支付利息时代扣代缴20%的个人所得税。对基金从上市公司取得的股息红利所得，持股期限在1个月以内(含1个月)的，其股息红利所得全额计入应纳税所得额；持股期限在1个月以上至1年(含1年)的，暂减按50%计入应纳税所得额；持股期限超过1年的，暂免征收个人所得税。对基金持有的上市公司限售股，解禁后取得的股息、红利收入，按照上述规定计算纳税，持股时间自解禁日起计算；解禁前取得的股息、红利收入继续暂减按50%计入应纳税所得额。上述所得统一适用20%的税率计征个人所得税。</w:t>
      </w:r>
    </w:p>
    <w:p>
      <w:pPr>
        <w:pStyle w:val="24"/>
        <w:numPr>
          <w:ilvl w:val="0"/>
          <w:numId w:val="0"/>
        </w:numPr>
        <w:ind w:firstLine="420" w:firstLineChars="200"/>
        <w:rPr>
          <w:rFonts w:hint="eastAsia"/>
        </w:rPr>
      </w:pPr>
      <w:r>
        <w:t>对基金通过沪港通/深港通投资香港联交所上市H股取得的股息红利，H股公司应向中国证券登记结算有限责任公司(以下简称“中国结算”)提出申请，由中国结算向H股公司提供内地个人投资者名册，H股公司按照20%的税率代扣个人所得税。基金通过沪港通/深港通投资香港联交所上市的非H股取得的股息红利，由中国结算按照20%的税率代扣个人所得税。</w:t>
      </w:r>
    </w:p>
    <w:p>
      <w:pPr>
        <w:pStyle w:val="24"/>
        <w:numPr>
          <w:ilvl w:val="0"/>
          <w:numId w:val="1"/>
        </w:numPr>
        <w:rPr>
          <w:rFonts w:hint="eastAsia"/>
        </w:rPr>
      </w:pPr>
      <w:r>
        <w:t>基金卖出股票按0.1%的税率缴纳股票交易印花税，买入股票不征收股票交易印花税。根据财政部、国家税务总局公告2023年第39号《关于减半征收证券交易印花税的公告》，自2023年8月28日起，证券交易印花税实施减半征收。</w:t>
      </w:r>
    </w:p>
    <w:p>
      <w:pPr>
        <w:pStyle w:val="24"/>
        <w:numPr>
          <w:ilvl w:val="0"/>
          <w:numId w:val="0"/>
        </w:numPr>
        <w:ind w:firstLine="420" w:firstLineChars="200"/>
        <w:rPr>
          <w:rFonts w:hint="eastAsia"/>
        </w:rPr>
      </w:pPr>
      <w:r>
        <w:t>基金通过沪港通/深港通买卖、继承、赠与联交所上市股票，按照香港特别行政区现行税法规定缴纳印花税。</w:t>
      </w:r>
    </w:p>
    <w:p>
      <w:pPr>
        <w:pStyle w:val="24"/>
        <w:numPr>
          <w:ilvl w:val="0"/>
          <w:numId w:val="1"/>
        </w:numPr>
        <w:rPr>
          <w:rFonts w:hint="eastAsia"/>
        </w:rPr>
      </w:pPr>
      <w:r>
        <w:t>本基金的城市维护建设税、教育费附加和地方教育附加等税费按照实际缴纳增值税额的适用比例计算缴纳。</w:t>
      </w:r>
    </w:p>
    <w:p>
      <w:pPr>
        <w:pStyle w:val="2"/>
        <w:keepNext/>
        <w:keepLines/>
        <w:widowControl w:val="0"/>
        <w:spacing w:before="312" w:beforeLines="100" w:after="312" w:afterLines="100" w:line="360" w:lineRule="auto"/>
        <w:jc w:val="center"/>
        <w:rPr>
          <w:rStyle w:val="20"/>
          <w:rFonts w:ascii="宋体" w:hAnsi="宋体"/>
        </w:rPr>
      </w:pPr>
      <w:bookmarkStart w:id="47" w:name="_Toc145339098"/>
      <w:bookmarkStart w:id="48" w:name="_Toc484769809"/>
      <w:r>
        <w:rPr>
          <w:rStyle w:val="20"/>
          <w:rFonts w:hint="eastAsia" w:ascii="宋体" w:hAnsi="宋体"/>
        </w:rPr>
        <w:t>5、清算情况</w:t>
      </w:r>
      <w:bookmarkEnd w:id="47"/>
    </w:p>
    <w:p>
      <w:pPr>
        <w:pStyle w:val="3"/>
        <w:spacing w:before="0" w:after="0"/>
        <w:rPr>
          <w:rFonts w:ascii="宋体" w:hAnsi="宋体" w:eastAsia="宋体"/>
          <w:kern w:val="0"/>
          <w:sz w:val="21"/>
          <w:szCs w:val="21"/>
        </w:rPr>
      </w:pPr>
      <w:bookmarkStart w:id="49" w:name="_Toc145339099"/>
      <w:r>
        <w:rPr>
          <w:rFonts w:hint="eastAsia" w:ascii="宋体" w:hAnsi="宋体" w:eastAsia="宋体"/>
          <w:kern w:val="0"/>
          <w:sz w:val="21"/>
          <w:szCs w:val="21"/>
        </w:rPr>
        <w:t>5.1 资产负债清算情况</w:t>
      </w:r>
      <w:bookmarkEnd w:id="49"/>
    </w:p>
    <w:p>
      <w:pPr>
        <w:pStyle w:val="24"/>
      </w:pPr>
      <w:r>
        <w:rPr>
          <w:rFonts w:hint="eastAsia"/>
        </w:rPr>
        <w:t>自202</w:t>
      </w:r>
      <w:r>
        <w:rPr>
          <w:rFonts w:hint="eastAsia"/>
          <w:lang w:val="en-US" w:eastAsia="zh-CN"/>
        </w:rPr>
        <w:t>4</w:t>
      </w:r>
      <w:r>
        <w:rPr>
          <w:rFonts w:hint="eastAsia"/>
        </w:rPr>
        <w:t>年</w:t>
      </w:r>
      <w:r>
        <w:t>8</w:t>
      </w:r>
      <w:r>
        <w:rPr>
          <w:rFonts w:hint="eastAsia"/>
        </w:rPr>
        <w:t>月</w:t>
      </w:r>
      <w:r>
        <w:rPr>
          <w:rFonts w:hint="eastAsia"/>
          <w:lang w:val="en-US" w:eastAsia="zh-CN"/>
        </w:rPr>
        <w:t>3</w:t>
      </w:r>
      <w:r>
        <w:t>1</w:t>
      </w:r>
      <w:r>
        <w:rPr>
          <w:rFonts w:hint="eastAsia"/>
        </w:rPr>
        <w:t>日至202</w:t>
      </w:r>
      <w:r>
        <w:rPr>
          <w:rFonts w:hint="eastAsia"/>
          <w:lang w:val="en-US" w:eastAsia="zh-CN"/>
        </w:rPr>
        <w:t>4</w:t>
      </w:r>
      <w:r>
        <w:rPr>
          <w:rFonts w:hint="eastAsia"/>
        </w:rPr>
        <w:t>年</w:t>
      </w:r>
      <w:r>
        <w:t>9</w:t>
      </w:r>
      <w:r>
        <w:rPr>
          <w:rFonts w:hint="eastAsia"/>
        </w:rPr>
        <w:t>月</w:t>
      </w:r>
      <w:r>
        <w:rPr>
          <w:rFonts w:hint="eastAsia"/>
          <w:lang w:val="en-US" w:eastAsia="zh-CN"/>
        </w:rPr>
        <w:t>24</w:t>
      </w:r>
      <w:r>
        <w:rPr>
          <w:rFonts w:hint="eastAsia"/>
        </w:rPr>
        <w:t>日止为本次清算期间，基金财产清算小组对本基金的基金财产进行清算，全部清算工作按清算原则和清算手续进行。具体清算情况如下：</w:t>
      </w:r>
    </w:p>
    <w:p>
      <w:pPr>
        <w:pStyle w:val="24"/>
      </w:pPr>
      <w:r>
        <w:rPr>
          <w:rFonts w:hint="eastAsia"/>
        </w:rPr>
        <w:t>截至本次清算期结束日（202</w:t>
      </w:r>
      <w:r>
        <w:rPr>
          <w:rFonts w:hint="eastAsia"/>
          <w:lang w:val="en-US" w:eastAsia="zh-CN"/>
        </w:rPr>
        <w:t>4</w:t>
      </w:r>
      <w:r>
        <w:rPr>
          <w:rFonts w:hint="eastAsia"/>
        </w:rPr>
        <w:t>年</w:t>
      </w:r>
      <w:r>
        <w:t>9</w:t>
      </w:r>
      <w:r>
        <w:rPr>
          <w:rFonts w:hint="eastAsia"/>
        </w:rPr>
        <w:t>月</w:t>
      </w:r>
      <w:r>
        <w:rPr>
          <w:rFonts w:hint="eastAsia"/>
          <w:lang w:val="en-US" w:eastAsia="zh-CN"/>
        </w:rPr>
        <w:t>24</w:t>
      </w:r>
      <w:r>
        <w:rPr>
          <w:rFonts w:hint="eastAsia"/>
        </w:rPr>
        <w:t>日），各项资产负债清算情况如下：</w:t>
      </w:r>
    </w:p>
    <w:p>
      <w:pPr>
        <w:pStyle w:val="24"/>
        <w:rPr>
          <w:rFonts w:hint="eastAsia"/>
        </w:rPr>
      </w:pPr>
      <w:r>
        <w:rPr>
          <w:rFonts w:hint="eastAsia"/>
        </w:rPr>
        <w:t>1、本基金最后运作日银行存款</w:t>
      </w:r>
      <w:r>
        <w:rPr>
          <w:rFonts w:hint="eastAsia"/>
          <w:lang w:val="en-US" w:eastAsia="zh-CN"/>
        </w:rPr>
        <w:t>余额</w:t>
      </w:r>
      <w:r>
        <w:rPr>
          <w:rFonts w:hint="eastAsia"/>
        </w:rPr>
        <w:t>为人民币1,355,844.08元，其中包含应计银行存款利息余额为人民币831.36元。截至清算期结束日，银行存款</w:t>
      </w:r>
      <w:r>
        <w:rPr>
          <w:rFonts w:hint="eastAsia"/>
          <w:lang w:val="en-US" w:eastAsia="zh-CN"/>
        </w:rPr>
        <w:t>余额</w:t>
      </w:r>
      <w:r>
        <w:rPr>
          <w:rFonts w:hint="eastAsia"/>
        </w:rPr>
        <w:t>为人民币8,656,382.34元，其中应计银行存款利息余额为人民币336.64元，该</w:t>
      </w:r>
      <w:r>
        <w:rPr>
          <w:rFonts w:hint="eastAsia"/>
          <w:lang w:val="en-US" w:eastAsia="zh-CN"/>
        </w:rPr>
        <w:t>利息预计将于2024年12月21日收回</w:t>
      </w:r>
      <w:r>
        <w:rPr>
          <w:rFonts w:hint="eastAsia"/>
        </w:rPr>
        <w:t>。</w:t>
      </w:r>
    </w:p>
    <w:p>
      <w:pPr>
        <w:pStyle w:val="24"/>
        <w:rPr>
          <w:rFonts w:hint="eastAsia"/>
        </w:rPr>
      </w:pPr>
      <w:r>
        <w:rPr>
          <w:rFonts w:hint="eastAsia"/>
        </w:rPr>
        <w:t>2、本基金最后运作日上交所最低结算备付金为人民币2.63元，均为应计上交所最低结算备付金利息。清算期间，上交所最低结算备付金由存款账户调入备付金账户金额为人民币2,386.39元</w:t>
      </w:r>
      <w:r>
        <w:rPr>
          <w:rFonts w:hint="eastAsia"/>
          <w:lang w:eastAsia="zh-CN"/>
        </w:rPr>
        <w:t>。</w:t>
      </w:r>
      <w:r>
        <w:rPr>
          <w:rFonts w:hint="eastAsia"/>
        </w:rPr>
        <w:t>截至清算期结束日，上交所最低结算备付金余额为人民币2,386.83元，包括应计上交所最低结算备付金利息为人民币0.44元，</w:t>
      </w:r>
      <w:r>
        <w:rPr>
          <w:rFonts w:hint="eastAsia"/>
          <w:lang w:val="en-US" w:eastAsia="zh-CN"/>
        </w:rPr>
        <w:t>尚未收回</w:t>
      </w:r>
      <w:r>
        <w:rPr>
          <w:rFonts w:hint="eastAsia"/>
        </w:rPr>
        <w:t>。</w:t>
      </w:r>
    </w:p>
    <w:p>
      <w:pPr>
        <w:pStyle w:val="24"/>
        <w:rPr>
          <w:rFonts w:hint="eastAsia" w:eastAsia="宋体"/>
          <w:lang w:eastAsia="zh-CN"/>
        </w:rPr>
      </w:pPr>
      <w:r>
        <w:rPr>
          <w:rFonts w:hint="eastAsia"/>
          <w:lang w:val="en-US" w:eastAsia="zh-CN"/>
        </w:rPr>
        <w:t>3</w:t>
      </w:r>
      <w:r>
        <w:rPr>
          <w:rFonts w:hint="eastAsia"/>
        </w:rPr>
        <w:t>、本基金最后运作日深交所最低结算备付金为人民币7.25元，均为应计深交所最低结算备付金利息</w:t>
      </w:r>
      <w:r>
        <w:rPr>
          <w:rFonts w:hint="eastAsia"/>
          <w:lang w:eastAsia="zh-CN"/>
        </w:rPr>
        <w:t>，</w:t>
      </w:r>
      <w:r>
        <w:rPr>
          <w:rFonts w:hint="eastAsia"/>
        </w:rPr>
        <w:t>该款项已于202</w:t>
      </w:r>
      <w:r>
        <w:rPr>
          <w:rFonts w:hint="eastAsia"/>
          <w:lang w:val="en-US" w:eastAsia="zh-CN"/>
        </w:rPr>
        <w:t>4</w:t>
      </w:r>
      <w:r>
        <w:rPr>
          <w:rFonts w:hint="eastAsia"/>
        </w:rPr>
        <w:t>年</w:t>
      </w:r>
      <w:r>
        <w:rPr>
          <w:rFonts w:hint="eastAsia"/>
          <w:lang w:val="en-US" w:eastAsia="zh-CN"/>
        </w:rPr>
        <w:t>9</w:t>
      </w:r>
      <w:r>
        <w:rPr>
          <w:rFonts w:hint="eastAsia"/>
        </w:rPr>
        <w:t>月</w:t>
      </w:r>
      <w:r>
        <w:rPr>
          <w:rFonts w:hint="eastAsia"/>
          <w:lang w:val="en-US" w:eastAsia="zh-CN"/>
        </w:rPr>
        <w:t>23</w:t>
      </w:r>
      <w:r>
        <w:rPr>
          <w:rFonts w:hint="eastAsia"/>
        </w:rPr>
        <w:t>日收回。</w:t>
      </w:r>
    </w:p>
    <w:p>
      <w:pPr>
        <w:pStyle w:val="24"/>
        <w:rPr>
          <w:rFonts w:hint="eastAsia"/>
        </w:rPr>
      </w:pPr>
      <w:r>
        <w:t>4</w:t>
      </w:r>
      <w:r>
        <w:rPr>
          <w:rFonts w:hint="eastAsia"/>
        </w:rPr>
        <w:t>、本基金最后运作日上交所结算保证金为人民币340.21元，包括应计上交所结算保证金利息为人民币1.84元</w:t>
      </w:r>
      <w:r>
        <w:rPr>
          <w:rFonts w:hint="eastAsia"/>
          <w:lang w:eastAsia="zh-CN"/>
        </w:rPr>
        <w:t>，</w:t>
      </w:r>
      <w:r>
        <w:rPr>
          <w:rFonts w:hint="eastAsia"/>
        </w:rPr>
        <w:t>该款项已于202</w:t>
      </w:r>
      <w:r>
        <w:rPr>
          <w:rFonts w:hint="eastAsia"/>
          <w:lang w:val="en-US" w:eastAsia="zh-CN"/>
        </w:rPr>
        <w:t>4</w:t>
      </w:r>
      <w:r>
        <w:rPr>
          <w:rFonts w:hint="eastAsia"/>
        </w:rPr>
        <w:t>年</w:t>
      </w:r>
      <w:r>
        <w:rPr>
          <w:rFonts w:hint="eastAsia"/>
          <w:lang w:val="en-US" w:eastAsia="zh-CN"/>
        </w:rPr>
        <w:t>9</w:t>
      </w:r>
      <w:r>
        <w:rPr>
          <w:rFonts w:hint="eastAsia"/>
        </w:rPr>
        <w:t>月</w:t>
      </w:r>
      <w:r>
        <w:rPr>
          <w:rFonts w:hint="eastAsia"/>
          <w:lang w:val="en-US" w:eastAsia="zh-CN"/>
        </w:rPr>
        <w:t>3</w:t>
      </w:r>
      <w:r>
        <w:rPr>
          <w:rFonts w:hint="eastAsia"/>
        </w:rPr>
        <w:t>日</w:t>
      </w:r>
      <w:r>
        <w:rPr>
          <w:rFonts w:hint="eastAsia"/>
          <w:lang w:val="en-US" w:eastAsia="zh-CN"/>
        </w:rPr>
        <w:t>和</w:t>
      </w:r>
      <w:r>
        <w:rPr>
          <w:rFonts w:hint="eastAsia"/>
        </w:rPr>
        <w:t>202</w:t>
      </w:r>
      <w:r>
        <w:rPr>
          <w:rFonts w:hint="eastAsia"/>
          <w:lang w:val="en-US" w:eastAsia="zh-CN"/>
        </w:rPr>
        <w:t>4</w:t>
      </w:r>
      <w:r>
        <w:rPr>
          <w:rFonts w:hint="eastAsia"/>
        </w:rPr>
        <w:t>年</w:t>
      </w:r>
      <w:r>
        <w:rPr>
          <w:rFonts w:hint="eastAsia"/>
          <w:lang w:val="en-US" w:eastAsia="zh-CN"/>
        </w:rPr>
        <w:t>9</w:t>
      </w:r>
      <w:r>
        <w:rPr>
          <w:rFonts w:hint="eastAsia"/>
        </w:rPr>
        <w:t>月</w:t>
      </w:r>
      <w:r>
        <w:rPr>
          <w:rFonts w:hint="eastAsia"/>
          <w:lang w:val="en-US" w:eastAsia="zh-CN"/>
        </w:rPr>
        <w:t>23</w:t>
      </w:r>
      <w:r>
        <w:rPr>
          <w:rFonts w:hint="eastAsia"/>
        </w:rPr>
        <w:t>日收回。</w:t>
      </w:r>
    </w:p>
    <w:p>
      <w:pPr>
        <w:pStyle w:val="24"/>
        <w:rPr>
          <w:rFonts w:hint="eastAsia"/>
        </w:rPr>
      </w:pPr>
      <w:r>
        <w:t>5</w:t>
      </w:r>
      <w:r>
        <w:rPr>
          <w:rFonts w:hint="eastAsia"/>
        </w:rPr>
        <w:t>、本基金最后运作日深交所结算保证金为人民币329.14元，包括应计深交所结算保证金利息为人民币1.13元</w:t>
      </w:r>
      <w:r>
        <w:rPr>
          <w:rFonts w:hint="eastAsia"/>
          <w:lang w:eastAsia="zh-CN"/>
        </w:rPr>
        <w:t>，</w:t>
      </w:r>
      <w:r>
        <w:rPr>
          <w:rFonts w:hint="eastAsia"/>
        </w:rPr>
        <w:t>该款项已于202</w:t>
      </w:r>
      <w:r>
        <w:rPr>
          <w:rFonts w:hint="eastAsia"/>
          <w:lang w:val="en-US" w:eastAsia="zh-CN"/>
        </w:rPr>
        <w:t>4</w:t>
      </w:r>
      <w:r>
        <w:rPr>
          <w:rFonts w:hint="eastAsia"/>
        </w:rPr>
        <w:t>年</w:t>
      </w:r>
      <w:r>
        <w:rPr>
          <w:rFonts w:hint="eastAsia"/>
          <w:lang w:val="en-US" w:eastAsia="zh-CN"/>
        </w:rPr>
        <w:t>9</w:t>
      </w:r>
      <w:r>
        <w:rPr>
          <w:rFonts w:hint="eastAsia"/>
        </w:rPr>
        <w:t>月</w:t>
      </w:r>
      <w:r>
        <w:rPr>
          <w:rFonts w:hint="eastAsia"/>
          <w:lang w:val="en-US" w:eastAsia="zh-CN"/>
        </w:rPr>
        <w:t>3</w:t>
      </w:r>
      <w:r>
        <w:rPr>
          <w:rFonts w:hint="eastAsia"/>
        </w:rPr>
        <w:t>日</w:t>
      </w:r>
      <w:r>
        <w:rPr>
          <w:rFonts w:hint="eastAsia"/>
          <w:lang w:val="en-US" w:eastAsia="zh-CN"/>
        </w:rPr>
        <w:t>和</w:t>
      </w:r>
      <w:r>
        <w:rPr>
          <w:rFonts w:hint="eastAsia"/>
        </w:rPr>
        <w:t>202</w:t>
      </w:r>
      <w:r>
        <w:rPr>
          <w:rFonts w:hint="eastAsia"/>
          <w:lang w:val="en-US" w:eastAsia="zh-CN"/>
        </w:rPr>
        <w:t>4</w:t>
      </w:r>
      <w:r>
        <w:rPr>
          <w:rFonts w:hint="eastAsia"/>
        </w:rPr>
        <w:t>年</w:t>
      </w:r>
      <w:r>
        <w:rPr>
          <w:rFonts w:hint="eastAsia"/>
          <w:lang w:val="en-US" w:eastAsia="zh-CN"/>
        </w:rPr>
        <w:t>9</w:t>
      </w:r>
      <w:r>
        <w:rPr>
          <w:rFonts w:hint="eastAsia"/>
        </w:rPr>
        <w:t>月</w:t>
      </w:r>
      <w:r>
        <w:rPr>
          <w:rFonts w:hint="eastAsia"/>
          <w:lang w:val="en-US" w:eastAsia="zh-CN"/>
        </w:rPr>
        <w:t>23</w:t>
      </w:r>
      <w:r>
        <w:rPr>
          <w:rFonts w:hint="eastAsia"/>
        </w:rPr>
        <w:t>日收回。</w:t>
      </w:r>
    </w:p>
    <w:p>
      <w:pPr>
        <w:pStyle w:val="24"/>
      </w:pPr>
      <w:r>
        <w:t>6</w:t>
      </w:r>
      <w:r>
        <w:rPr>
          <w:rFonts w:hint="eastAsia"/>
        </w:rPr>
        <w:t>、本基金最后运作日持有的交易性金融资产为人民币7,473,979.22元</w:t>
      </w:r>
      <w:r>
        <w:rPr>
          <w:rFonts w:hint="eastAsia"/>
          <w:lang w:eastAsia="zh-CN"/>
        </w:rPr>
        <w:t>，</w:t>
      </w:r>
      <w:r>
        <w:rPr>
          <w:rFonts w:hint="eastAsia"/>
          <w:lang w:val="en-US" w:eastAsia="zh-CN"/>
        </w:rPr>
        <w:t>已于清算期间</w:t>
      </w:r>
      <w:r>
        <w:rPr>
          <w:rFonts w:hint="eastAsia"/>
          <w:lang w:eastAsia="zh-CN"/>
        </w:rPr>
        <w:t>完成</w:t>
      </w:r>
      <w:r>
        <w:rPr>
          <w:rFonts w:hint="eastAsia"/>
          <w:lang w:val="en-US" w:eastAsia="zh-CN"/>
        </w:rPr>
        <w:t>变现</w:t>
      </w:r>
      <w:r>
        <w:rPr>
          <w:rFonts w:hint="eastAsia"/>
          <w:lang w:eastAsia="zh-CN"/>
        </w:rPr>
        <w:t>。</w:t>
      </w:r>
    </w:p>
    <w:p>
      <w:pPr>
        <w:pStyle w:val="24"/>
        <w:numPr>
          <w:ilvl w:val="0"/>
          <w:numId w:val="0"/>
        </w:numPr>
        <w:ind w:firstLine="420" w:firstLineChars="200"/>
        <w:rPr>
          <w:rFonts w:hint="eastAsia"/>
          <w:lang w:val="en-US" w:eastAsia="zh-CN"/>
        </w:rPr>
      </w:pPr>
      <w:r>
        <w:t>7</w:t>
      </w:r>
      <w:r>
        <w:rPr>
          <w:rFonts w:hint="eastAsia"/>
        </w:rPr>
        <w:t>、本基金最后运作日持有的其他资产为人民币0.30元，</w:t>
      </w:r>
      <w:r>
        <w:rPr>
          <w:rFonts w:hint="eastAsia"/>
          <w:lang w:val="en-US" w:eastAsia="zh-CN"/>
        </w:rPr>
        <w:t>均</w:t>
      </w:r>
      <w:r>
        <w:rPr>
          <w:rFonts w:hint="eastAsia"/>
        </w:rPr>
        <w:t>为应收销售服务费返还。截至清算期结束日，其他资产为人民币0.05元，</w:t>
      </w:r>
      <w:r>
        <w:rPr>
          <w:rFonts w:hint="eastAsia"/>
          <w:lang w:val="en-US" w:eastAsia="zh-CN"/>
        </w:rPr>
        <w:t>均</w:t>
      </w:r>
      <w:r>
        <w:rPr>
          <w:rFonts w:hint="eastAsia"/>
        </w:rPr>
        <w:t>为应收销售服务费返还，</w:t>
      </w:r>
      <w:r>
        <w:rPr>
          <w:rFonts w:hint="eastAsia"/>
          <w:lang w:val="en-US" w:eastAsia="zh-CN"/>
        </w:rPr>
        <w:t>尚未收回。</w:t>
      </w:r>
    </w:p>
    <w:p>
      <w:pPr>
        <w:pStyle w:val="24"/>
        <w:numPr>
          <w:ilvl w:val="0"/>
          <w:numId w:val="0"/>
        </w:numPr>
        <w:ind w:firstLine="420" w:firstLineChars="200"/>
      </w:pPr>
      <w:r>
        <w:rPr>
          <w:rFonts w:hint="eastAsia"/>
          <w:lang w:val="en-US" w:eastAsia="zh-CN"/>
        </w:rPr>
        <w:t>8</w:t>
      </w:r>
      <w:r>
        <w:rPr>
          <w:rFonts w:hint="eastAsia"/>
        </w:rPr>
        <w:t>、本基金最后运作日应付管理人报酬为人民币4,170.85元，该款项已于202</w:t>
      </w:r>
      <w:r>
        <w:rPr>
          <w:rFonts w:hint="eastAsia"/>
          <w:lang w:val="en-US" w:eastAsia="zh-CN"/>
        </w:rPr>
        <w:t>4</w:t>
      </w:r>
      <w:r>
        <w:rPr>
          <w:rFonts w:hint="eastAsia"/>
        </w:rPr>
        <w:t>年</w:t>
      </w:r>
      <w:r>
        <w:rPr>
          <w:rFonts w:hint="eastAsia"/>
          <w:lang w:val="en-US" w:eastAsia="zh-CN"/>
        </w:rPr>
        <w:t>9</w:t>
      </w:r>
      <w:r>
        <w:rPr>
          <w:rFonts w:hint="eastAsia"/>
        </w:rPr>
        <w:t>月</w:t>
      </w:r>
      <w:r>
        <w:rPr>
          <w:rFonts w:hint="eastAsia"/>
          <w:lang w:val="en-US" w:eastAsia="zh-CN"/>
        </w:rPr>
        <w:t>6</w:t>
      </w:r>
      <w:r>
        <w:rPr>
          <w:rFonts w:hint="eastAsia"/>
        </w:rPr>
        <w:t>日支付。</w:t>
      </w:r>
    </w:p>
    <w:p>
      <w:pPr>
        <w:pStyle w:val="24"/>
        <w:numPr>
          <w:ilvl w:val="0"/>
          <w:numId w:val="0"/>
        </w:numPr>
        <w:ind w:firstLine="420" w:firstLineChars="200"/>
      </w:pPr>
      <w:r>
        <w:rPr>
          <w:rFonts w:hint="eastAsia"/>
          <w:lang w:val="en-US" w:eastAsia="zh-CN"/>
        </w:rPr>
        <w:t>9</w:t>
      </w:r>
      <w:r>
        <w:rPr>
          <w:rFonts w:hint="eastAsia"/>
        </w:rPr>
        <w:t>、本基金最后运作日应付托管费为人民币1,006.31元，该款项已于202</w:t>
      </w:r>
      <w:r>
        <w:rPr>
          <w:rFonts w:hint="eastAsia"/>
          <w:lang w:val="en-US" w:eastAsia="zh-CN"/>
        </w:rPr>
        <w:t>4</w:t>
      </w:r>
      <w:r>
        <w:rPr>
          <w:rFonts w:hint="eastAsia"/>
        </w:rPr>
        <w:t>年</w:t>
      </w:r>
      <w:r>
        <w:rPr>
          <w:rFonts w:hint="eastAsia"/>
          <w:lang w:val="en-US" w:eastAsia="zh-CN"/>
        </w:rPr>
        <w:t>9</w:t>
      </w:r>
      <w:r>
        <w:rPr>
          <w:rFonts w:hint="eastAsia"/>
        </w:rPr>
        <w:t>月</w:t>
      </w:r>
      <w:r>
        <w:rPr>
          <w:rFonts w:hint="eastAsia"/>
          <w:lang w:val="en-US" w:eastAsia="zh-CN"/>
        </w:rPr>
        <w:t>6</w:t>
      </w:r>
      <w:r>
        <w:rPr>
          <w:rFonts w:hint="eastAsia"/>
        </w:rPr>
        <w:t>日支付。</w:t>
      </w:r>
    </w:p>
    <w:p>
      <w:pPr>
        <w:pStyle w:val="24"/>
      </w:pPr>
      <w:r>
        <w:rPr>
          <w:rFonts w:hint="eastAsia"/>
          <w:lang w:val="en-US" w:eastAsia="zh-CN"/>
        </w:rPr>
        <w:t>10</w:t>
      </w:r>
      <w:r>
        <w:rPr>
          <w:rFonts w:hint="eastAsia"/>
        </w:rPr>
        <w:t>、本基金最后运作日应交税费为人民币1,892.64元</w:t>
      </w:r>
      <w:r>
        <w:rPr>
          <w:rFonts w:hint="eastAsia"/>
          <w:lang w:eastAsia="zh-CN"/>
        </w:rPr>
        <w:t>，</w:t>
      </w:r>
      <w:bookmarkStart w:id="82" w:name="_GoBack"/>
      <w:bookmarkEnd w:id="82"/>
      <w:r>
        <w:rPr>
          <w:rFonts w:hint="eastAsia"/>
        </w:rPr>
        <w:t>因清算期间处置交易性金融资产导致投资收益为负，该款项已于清算期间冲抵。</w:t>
      </w:r>
    </w:p>
    <w:p>
      <w:pPr>
        <w:pStyle w:val="24"/>
      </w:pPr>
      <w:r>
        <w:rPr>
          <w:rFonts w:hint="eastAsia"/>
        </w:rPr>
        <w:t>1</w:t>
      </w:r>
      <w:r>
        <w:t>1</w:t>
      </w:r>
      <w:r>
        <w:rPr>
          <w:rFonts w:hint="eastAsia"/>
        </w:rPr>
        <w:t>、本基金最后运作日其他负债为人民币25,010.00元，包括预提律师费、预提审计费、应付汇划费等。其中预提律师费</w:t>
      </w:r>
      <w:r>
        <w:rPr>
          <w:rFonts w:hint="eastAsia"/>
          <w:lang w:val="en-US" w:eastAsia="zh-CN"/>
        </w:rPr>
        <w:t>10</w:t>
      </w:r>
      <w:r>
        <w:rPr>
          <w:rFonts w:hint="eastAsia"/>
        </w:rPr>
        <w:t>,000.00元，将于取得律师费发票后支付；预提审计费</w:t>
      </w:r>
      <w:r>
        <w:rPr>
          <w:rFonts w:hint="eastAsia"/>
          <w:lang w:val="en-US" w:eastAsia="zh-CN"/>
        </w:rPr>
        <w:t>15</w:t>
      </w:r>
      <w:r>
        <w:t>,000.00</w:t>
      </w:r>
      <w:r>
        <w:rPr>
          <w:rFonts w:hint="eastAsia"/>
        </w:rPr>
        <w:t>元，将于取得审计费发票后支付；应付汇划费</w:t>
      </w:r>
      <w:r>
        <w:rPr>
          <w:rFonts w:hint="eastAsia"/>
          <w:lang w:val="en-US" w:eastAsia="zh-CN"/>
        </w:rPr>
        <w:t>1</w:t>
      </w:r>
      <w:r>
        <w:t>0.00</w:t>
      </w:r>
      <w:r>
        <w:rPr>
          <w:rFonts w:hint="eastAsia"/>
        </w:rPr>
        <w:t>元，已于202</w:t>
      </w:r>
      <w:r>
        <w:rPr>
          <w:rFonts w:hint="eastAsia"/>
          <w:lang w:val="en-US" w:eastAsia="zh-CN"/>
        </w:rPr>
        <w:t>4</w:t>
      </w:r>
      <w:r>
        <w:rPr>
          <w:rFonts w:hint="eastAsia"/>
        </w:rPr>
        <w:t>年</w:t>
      </w:r>
      <w:r>
        <w:rPr>
          <w:rFonts w:hint="eastAsia"/>
          <w:lang w:val="en-US" w:eastAsia="zh-CN"/>
        </w:rPr>
        <w:t>9</w:t>
      </w:r>
      <w:r>
        <w:rPr>
          <w:rFonts w:hint="eastAsia"/>
        </w:rPr>
        <w:t>月</w:t>
      </w:r>
      <w:r>
        <w:rPr>
          <w:rFonts w:hint="eastAsia"/>
          <w:lang w:val="en-US" w:eastAsia="zh-CN"/>
        </w:rPr>
        <w:t>6</w:t>
      </w:r>
      <w:r>
        <w:rPr>
          <w:rFonts w:hint="eastAsia"/>
        </w:rPr>
        <w:t>日支付。</w:t>
      </w:r>
    </w:p>
    <w:bookmarkEnd w:id="48"/>
    <w:p>
      <w:pPr>
        <w:pStyle w:val="3"/>
        <w:spacing w:before="0" w:after="0"/>
        <w:rPr>
          <w:rFonts w:ascii="宋体" w:hAnsi="宋体" w:eastAsia="宋体"/>
          <w:kern w:val="0"/>
          <w:sz w:val="21"/>
          <w:szCs w:val="21"/>
        </w:rPr>
      </w:pPr>
      <w:bookmarkStart w:id="50" w:name="_Toc145339100"/>
      <w:r>
        <w:rPr>
          <w:rFonts w:hint="eastAsia" w:ascii="宋体" w:hAnsi="宋体" w:eastAsia="宋体"/>
          <w:kern w:val="0"/>
          <w:sz w:val="21"/>
          <w:szCs w:val="21"/>
        </w:rPr>
        <w:t>5.2 截至本次清算期结束日的剩余财产情况及剩余财产分配安排</w:t>
      </w:r>
      <w:bookmarkEnd w:id="50"/>
    </w:p>
    <w:tbl>
      <w:tblPr>
        <w:tblStyle w:val="13"/>
        <w:tblW w:w="90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397"/>
        <w:gridCol w:w="56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397" w:type="dxa"/>
            <w:vAlign w:val="center"/>
          </w:tcPr>
          <w:p>
            <w:pPr>
              <w:pStyle w:val="11"/>
              <w:jc w:val="center"/>
              <w:rPr>
                <w:rFonts w:ascii="宋体" w:hAnsi="宋体" w:eastAsia="宋体"/>
                <w:b/>
                <w:color w:val="000000" w:themeColor="text1"/>
                <w:sz w:val="21"/>
                <w:szCs w:val="21"/>
                <w14:textFill>
                  <w14:solidFill>
                    <w14:schemeClr w14:val="tx1"/>
                  </w14:solidFill>
                </w14:textFill>
              </w:rPr>
            </w:pPr>
            <w:r>
              <w:rPr>
                <w:rFonts w:ascii="宋体" w:hAnsi="宋体" w:eastAsia="宋体"/>
                <w:b/>
                <w:color w:val="000000" w:themeColor="text1"/>
                <w:sz w:val="21"/>
                <w:szCs w:val="21"/>
                <w14:textFill>
                  <w14:solidFill>
                    <w14:schemeClr w14:val="tx1"/>
                  </w14:solidFill>
                </w14:textFill>
              </w:rPr>
              <w:t>项目</w:t>
            </w:r>
          </w:p>
        </w:tc>
        <w:tc>
          <w:tcPr>
            <w:tcW w:w="5675" w:type="dxa"/>
            <w:vAlign w:val="center"/>
          </w:tcPr>
          <w:p>
            <w:pPr>
              <w:pStyle w:val="11"/>
              <w:spacing w:before="0" w:beforeAutospacing="0" w:after="0" w:afterAutospacing="0"/>
              <w:jc w:val="center"/>
              <w:rPr>
                <w:rFonts w:ascii="宋体" w:hAnsi="宋体" w:eastAsia="宋体"/>
                <w:b/>
                <w:color w:val="000000" w:themeColor="text1"/>
                <w:sz w:val="21"/>
                <w:szCs w:val="21"/>
                <w:lang w:eastAsia="zh-CN"/>
                <w14:textFill>
                  <w14:solidFill>
                    <w14:schemeClr w14:val="tx1"/>
                  </w14:solidFill>
                </w14:textFill>
              </w:rPr>
            </w:pPr>
            <w:r>
              <w:rPr>
                <w:rFonts w:hint="eastAsia" w:ascii="宋体" w:hAnsi="宋体" w:eastAsia="宋体"/>
                <w:b/>
                <w:color w:val="000000" w:themeColor="text1"/>
                <w:sz w:val="21"/>
                <w:szCs w:val="21"/>
                <w:lang w:eastAsia="zh-CN"/>
                <w14:textFill>
                  <w14:solidFill>
                    <w14:schemeClr w14:val="tx1"/>
                  </w14:solidFill>
                </w14:textFill>
              </w:rPr>
              <w:t>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397" w:type="dxa"/>
            <w:vAlign w:val="center"/>
          </w:tcPr>
          <w:p>
            <w:pPr>
              <w:rPr>
                <w:rFonts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一、</w:t>
            </w:r>
            <w:r>
              <w:rPr>
                <w:rFonts w:hint="eastAsia" w:ascii="宋体" w:hAnsi="宋体"/>
                <w:b/>
                <w:color w:val="000000" w:themeColor="text1"/>
                <w:szCs w:val="21"/>
                <w14:textFill>
                  <w14:solidFill>
                    <w14:schemeClr w14:val="tx1"/>
                  </w14:solidFill>
                </w14:textFill>
              </w:rPr>
              <w:t>最后运作日20</w:t>
            </w:r>
            <w:r>
              <w:rPr>
                <w:rFonts w:ascii="宋体" w:hAnsi="宋体"/>
                <w:b/>
                <w:color w:val="000000" w:themeColor="text1"/>
                <w:szCs w:val="21"/>
                <w14:textFill>
                  <w14:solidFill>
                    <w14:schemeClr w14:val="tx1"/>
                  </w14:solidFill>
                </w14:textFill>
              </w:rPr>
              <w:t>2</w:t>
            </w:r>
            <w:r>
              <w:rPr>
                <w:rFonts w:hint="eastAsia" w:ascii="宋体" w:hAnsi="宋体"/>
                <w:b/>
                <w:color w:val="000000" w:themeColor="text1"/>
                <w:szCs w:val="21"/>
                <w:lang w:val="en-US" w:eastAsia="zh-CN"/>
                <w14:textFill>
                  <w14:solidFill>
                    <w14:schemeClr w14:val="tx1"/>
                  </w14:solidFill>
                </w14:textFill>
              </w:rPr>
              <w:t>4</w:t>
            </w:r>
            <w:r>
              <w:rPr>
                <w:rFonts w:hint="eastAsia" w:ascii="宋体" w:hAnsi="宋体"/>
                <w:b/>
                <w:color w:val="000000" w:themeColor="text1"/>
                <w:szCs w:val="21"/>
                <w14:textFill>
                  <w14:solidFill>
                    <w14:schemeClr w14:val="tx1"/>
                  </w14:solidFill>
                </w14:textFill>
              </w:rPr>
              <w:t>年</w:t>
            </w:r>
            <w:r>
              <w:rPr>
                <w:rFonts w:hint="eastAsia" w:ascii="宋体" w:hAnsi="宋体"/>
                <w:b/>
                <w:color w:val="000000" w:themeColor="text1"/>
                <w:szCs w:val="21"/>
                <w:lang w:val="en-US" w:eastAsia="zh-CN"/>
                <w14:textFill>
                  <w14:solidFill>
                    <w14:schemeClr w14:val="tx1"/>
                  </w14:solidFill>
                </w14:textFill>
              </w:rPr>
              <w:t>8</w:t>
            </w:r>
            <w:r>
              <w:rPr>
                <w:rFonts w:hint="eastAsia" w:ascii="宋体" w:hAnsi="宋体"/>
                <w:b/>
                <w:color w:val="000000" w:themeColor="text1"/>
                <w:szCs w:val="21"/>
                <w14:textFill>
                  <w14:solidFill>
                    <w14:schemeClr w14:val="tx1"/>
                  </w14:solidFill>
                </w14:textFill>
              </w:rPr>
              <w:t>月</w:t>
            </w:r>
            <w:r>
              <w:rPr>
                <w:rFonts w:hint="eastAsia" w:ascii="宋体" w:hAnsi="宋体"/>
                <w:b/>
                <w:color w:val="000000" w:themeColor="text1"/>
                <w:szCs w:val="21"/>
                <w:lang w:val="en-US" w:eastAsia="zh-CN"/>
                <w14:textFill>
                  <w14:solidFill>
                    <w14:schemeClr w14:val="tx1"/>
                  </w14:solidFill>
                </w14:textFill>
              </w:rPr>
              <w:t>30</w:t>
            </w:r>
            <w:r>
              <w:rPr>
                <w:rFonts w:hint="eastAsia" w:ascii="宋体" w:hAnsi="宋体"/>
                <w:b/>
                <w:color w:val="000000" w:themeColor="text1"/>
                <w:szCs w:val="21"/>
                <w14:textFill>
                  <w14:solidFill>
                    <w14:schemeClr w14:val="tx1"/>
                  </w14:solidFill>
                </w14:textFill>
              </w:rPr>
              <w:t>日基金净资产</w:t>
            </w:r>
          </w:p>
        </w:tc>
        <w:tc>
          <w:tcPr>
            <w:tcW w:w="5675" w:type="dxa"/>
            <w:vAlign w:val="center"/>
          </w:tcPr>
          <w:p>
            <w:pPr>
              <w:ind w:left="-80"/>
              <w:jc w:val="right"/>
              <w:rPr>
                <w:rFonts w:ascii="Arial" w:hAnsi="Arial" w:cs="Arial"/>
                <w:b/>
                <w:color w:val="000000"/>
                <w:sz w:val="24"/>
              </w:rPr>
            </w:pPr>
            <w:r>
              <w:rPr>
                <w:rFonts w:hint="eastAsia" w:ascii="Arial" w:hAnsi="Arial" w:cs="Arial"/>
                <w:b/>
                <w:color w:val="000000"/>
                <w:sz w:val="24"/>
              </w:rPr>
              <w:t>8,798,423.03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397" w:type="dxa"/>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加：清算期间净收益</w:t>
            </w:r>
          </w:p>
        </w:tc>
        <w:tc>
          <w:tcPr>
            <w:tcW w:w="5675" w:type="dxa"/>
            <w:vAlign w:val="center"/>
          </w:tcPr>
          <w:p>
            <w:pPr>
              <w:ind w:left="-80"/>
              <w:jc w:val="right"/>
              <w:rPr>
                <w:rFonts w:hint="eastAsia" w:ascii="Arial" w:hAnsi="Arial" w:cs="Arial"/>
                <w:color w:val="000000"/>
                <w:sz w:val="24"/>
                <w:lang w:val="en-US" w:eastAsia="zh-CN"/>
              </w:rPr>
            </w:pPr>
            <w:r>
              <w:rPr>
                <w:rFonts w:hint="default" w:ascii="Arial" w:hAnsi="Arial" w:cs="Arial"/>
                <w:color w:val="000000"/>
                <w:sz w:val="24"/>
                <w:lang w:val="en-US" w:eastAsia="zh-CN"/>
              </w:rPr>
              <w:t>-165</w:t>
            </w:r>
            <w:r>
              <w:rPr>
                <w:rFonts w:hint="eastAsia" w:ascii="Arial" w:hAnsi="Arial" w:cs="Arial"/>
                <w:color w:val="000000"/>
                <w:sz w:val="24"/>
                <w:lang w:val="en-US" w:eastAsia="zh-CN"/>
              </w:rPr>
              <w:t>,</w:t>
            </w:r>
            <w:r>
              <w:rPr>
                <w:rFonts w:hint="default" w:ascii="Arial" w:hAnsi="Arial" w:cs="Arial"/>
                <w:color w:val="000000"/>
                <w:sz w:val="24"/>
                <w:lang w:val="en-US" w:eastAsia="zh-CN"/>
              </w:rPr>
              <w:t>009.1</w:t>
            </w:r>
            <w:r>
              <w:rPr>
                <w:rFonts w:hint="eastAsia" w:ascii="Arial" w:hAnsi="Arial" w:cs="Arial"/>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4" w:hRule="atLeast"/>
          <w:jc w:val="center"/>
        </w:trPr>
        <w:tc>
          <w:tcPr>
            <w:tcW w:w="3397" w:type="dxa"/>
            <w:vAlign w:val="center"/>
          </w:tcPr>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二、20</w:t>
            </w:r>
            <w:r>
              <w:rPr>
                <w:rFonts w:ascii="宋体" w:hAnsi="宋体"/>
                <w:b/>
                <w:color w:val="000000" w:themeColor="text1"/>
                <w:szCs w:val="21"/>
                <w14:textFill>
                  <w14:solidFill>
                    <w14:schemeClr w14:val="tx1"/>
                  </w14:solidFill>
                </w14:textFill>
              </w:rPr>
              <w:t>2</w:t>
            </w:r>
            <w:r>
              <w:rPr>
                <w:rFonts w:hint="eastAsia" w:ascii="宋体" w:hAnsi="宋体"/>
                <w:b/>
                <w:color w:val="000000" w:themeColor="text1"/>
                <w:szCs w:val="21"/>
                <w:lang w:val="en-US" w:eastAsia="zh-CN"/>
                <w14:textFill>
                  <w14:solidFill>
                    <w14:schemeClr w14:val="tx1"/>
                  </w14:solidFill>
                </w14:textFill>
              </w:rPr>
              <w:t>4</w:t>
            </w:r>
            <w:r>
              <w:rPr>
                <w:rFonts w:hint="eastAsia" w:ascii="宋体" w:hAnsi="宋体"/>
                <w:b/>
                <w:color w:val="000000" w:themeColor="text1"/>
                <w:szCs w:val="21"/>
                <w14:textFill>
                  <w14:solidFill>
                    <w14:schemeClr w14:val="tx1"/>
                  </w14:solidFill>
                </w14:textFill>
              </w:rPr>
              <w:t>年</w:t>
            </w:r>
            <w:r>
              <w:rPr>
                <w:rFonts w:ascii="宋体" w:hAnsi="宋体"/>
                <w:b/>
                <w:color w:val="000000" w:themeColor="text1"/>
                <w:szCs w:val="21"/>
                <w14:textFill>
                  <w14:solidFill>
                    <w14:schemeClr w14:val="tx1"/>
                  </w14:solidFill>
                </w14:textFill>
              </w:rPr>
              <w:t>9</w:t>
            </w:r>
            <w:r>
              <w:rPr>
                <w:rFonts w:hint="eastAsia" w:ascii="宋体" w:hAnsi="宋体"/>
                <w:b/>
                <w:color w:val="000000" w:themeColor="text1"/>
                <w:szCs w:val="21"/>
                <w14:textFill>
                  <w14:solidFill>
                    <w14:schemeClr w14:val="tx1"/>
                  </w14:solidFill>
                </w14:textFill>
              </w:rPr>
              <w:t>月</w:t>
            </w:r>
            <w:r>
              <w:rPr>
                <w:rFonts w:hint="eastAsia" w:ascii="宋体" w:hAnsi="宋体"/>
                <w:b/>
                <w:color w:val="000000" w:themeColor="text1"/>
                <w:szCs w:val="21"/>
                <w:lang w:val="en-US" w:eastAsia="zh-CN"/>
                <w14:textFill>
                  <w14:solidFill>
                    <w14:schemeClr w14:val="tx1"/>
                  </w14:solidFill>
                </w14:textFill>
              </w:rPr>
              <w:t>24</w:t>
            </w:r>
            <w:r>
              <w:rPr>
                <w:rFonts w:hint="eastAsia" w:ascii="宋体" w:hAnsi="宋体"/>
                <w:b/>
                <w:color w:val="000000" w:themeColor="text1"/>
                <w:szCs w:val="21"/>
                <w14:textFill>
                  <w14:solidFill>
                    <w14:schemeClr w14:val="tx1"/>
                  </w14:solidFill>
                </w14:textFill>
              </w:rPr>
              <w:t>日基金净资产</w:t>
            </w:r>
          </w:p>
        </w:tc>
        <w:tc>
          <w:tcPr>
            <w:tcW w:w="5675" w:type="dxa"/>
            <w:vAlign w:val="center"/>
          </w:tcPr>
          <w:p>
            <w:pPr>
              <w:ind w:left="-80"/>
              <w:jc w:val="right"/>
              <w:rPr>
                <w:rFonts w:hint="eastAsia" w:ascii="Arial" w:hAnsi="Arial" w:cs="Arial"/>
                <w:b/>
                <w:color w:val="000000"/>
                <w:sz w:val="24"/>
              </w:rPr>
            </w:pPr>
            <w:r>
              <w:rPr>
                <w:rFonts w:hint="eastAsia" w:ascii="Arial" w:hAnsi="Arial" w:cs="Arial"/>
                <w:b/>
                <w:color w:val="000000"/>
                <w:sz w:val="24"/>
              </w:rPr>
              <w:t>8,633,413.93</w:t>
            </w:r>
          </w:p>
        </w:tc>
      </w:tr>
    </w:tbl>
    <w:p>
      <w:pPr>
        <w:pStyle w:val="24"/>
      </w:pPr>
      <w:r>
        <w:rPr>
          <w:rFonts w:hint="eastAsia"/>
        </w:rPr>
        <w:t>截至本次清算期结束日202</w:t>
      </w:r>
      <w:r>
        <w:rPr>
          <w:rFonts w:hint="eastAsia"/>
          <w:lang w:val="en-US" w:eastAsia="zh-CN"/>
        </w:rPr>
        <w:t>4</w:t>
      </w:r>
      <w:r>
        <w:rPr>
          <w:rFonts w:hint="eastAsia"/>
        </w:rPr>
        <w:t>年</w:t>
      </w:r>
      <w:r>
        <w:t>9</w:t>
      </w:r>
      <w:r>
        <w:rPr>
          <w:rFonts w:hint="eastAsia"/>
        </w:rPr>
        <w:t>月</w:t>
      </w:r>
      <w:r>
        <w:rPr>
          <w:rFonts w:hint="eastAsia"/>
          <w:lang w:val="en-US" w:eastAsia="zh-CN"/>
        </w:rPr>
        <w:t>24</w:t>
      </w:r>
      <w:r>
        <w:rPr>
          <w:rFonts w:hint="eastAsia"/>
        </w:rPr>
        <w:t>日，本基金剩余财产为人民币8,633,413.93元。自本次清算期结束日次日20</w:t>
      </w:r>
      <w:r>
        <w:t>2</w:t>
      </w:r>
      <w:r>
        <w:rPr>
          <w:rFonts w:hint="eastAsia"/>
          <w:lang w:val="en-US" w:eastAsia="zh-CN"/>
        </w:rPr>
        <w:t>4</w:t>
      </w:r>
      <w:r>
        <w:rPr>
          <w:rFonts w:hint="eastAsia"/>
        </w:rPr>
        <w:t>年</w:t>
      </w:r>
      <w:r>
        <w:t>9</w:t>
      </w:r>
      <w:r>
        <w:rPr>
          <w:rFonts w:hint="eastAsia"/>
        </w:rPr>
        <w:t>月</w:t>
      </w:r>
      <w:r>
        <w:rPr>
          <w:rFonts w:hint="eastAsia"/>
          <w:lang w:val="en-US" w:eastAsia="zh-CN"/>
        </w:rPr>
        <w:t>25</w:t>
      </w:r>
      <w:r>
        <w:rPr>
          <w:rFonts w:hint="eastAsia"/>
        </w:rPr>
        <w:t>日至清算款划出前一日的收益和费用由基金份额持有人享有和承担。</w:t>
      </w:r>
    </w:p>
    <w:p>
      <w:pPr>
        <w:spacing w:line="360" w:lineRule="auto"/>
        <w:ind w:firstLine="420" w:firstLineChars="200"/>
        <w:rPr>
          <w:rFonts w:ascii="宋体" w:hAnsi="宋体"/>
          <w:szCs w:val="21"/>
        </w:rPr>
      </w:pPr>
      <w:r>
        <w:rPr>
          <w:rFonts w:hint="eastAsia" w:ascii="宋体" w:hAnsi="宋体"/>
          <w:szCs w:val="21"/>
        </w:rPr>
        <w:t>本清算报告已经基金托管人复核，将与会计师事务所出具的清算审计报告、律师事务所出具的法律意见书一并报中国证监会备案后向基金份额持有人公告。清算报告公告后，基金管理人将遵照法律法规、基金合同等规定及时进行分配。</w:t>
      </w:r>
    </w:p>
    <w:p>
      <w:pPr>
        <w:pStyle w:val="2"/>
        <w:keepNext/>
        <w:keepLines/>
        <w:widowControl w:val="0"/>
        <w:spacing w:before="312" w:beforeLines="100" w:after="312" w:afterLines="100" w:line="360" w:lineRule="auto"/>
        <w:jc w:val="center"/>
        <w:rPr>
          <w:rStyle w:val="20"/>
          <w:rFonts w:ascii="宋体" w:hAnsi="宋体"/>
        </w:rPr>
      </w:pPr>
      <w:bookmarkStart w:id="51" w:name="_Toc409100108"/>
      <w:bookmarkStart w:id="52" w:name="_Toc476577307"/>
      <w:bookmarkStart w:id="53" w:name="_Toc225500055"/>
      <w:bookmarkStart w:id="54" w:name="_Toc145339101"/>
      <w:bookmarkStart w:id="55" w:name="_Toc361324903"/>
      <w:bookmarkStart w:id="56" w:name="_Toc484769810"/>
      <w:bookmarkStart w:id="57" w:name="_Toc409100471"/>
      <w:r>
        <w:rPr>
          <w:rStyle w:val="20"/>
          <w:rFonts w:hint="eastAsia" w:ascii="宋体" w:hAnsi="宋体"/>
        </w:rPr>
        <w:t>6、</w:t>
      </w:r>
      <w:r>
        <w:rPr>
          <w:rStyle w:val="20"/>
          <w:rFonts w:ascii="宋体" w:hAnsi="宋体"/>
        </w:rPr>
        <w:t>备查文件目录</w:t>
      </w:r>
      <w:bookmarkEnd w:id="51"/>
      <w:bookmarkEnd w:id="52"/>
      <w:bookmarkEnd w:id="53"/>
      <w:bookmarkEnd w:id="54"/>
      <w:bookmarkEnd w:id="55"/>
      <w:bookmarkEnd w:id="56"/>
      <w:bookmarkEnd w:id="57"/>
    </w:p>
    <w:p>
      <w:pPr>
        <w:pStyle w:val="3"/>
        <w:spacing w:before="0" w:after="0"/>
        <w:rPr>
          <w:rFonts w:ascii="宋体" w:hAnsi="宋体" w:eastAsia="宋体"/>
          <w:kern w:val="0"/>
          <w:sz w:val="21"/>
          <w:szCs w:val="21"/>
        </w:rPr>
      </w:pPr>
      <w:bookmarkStart w:id="58" w:name="_Toc361324904"/>
      <w:bookmarkStart w:id="59" w:name="_Toc484769811"/>
      <w:bookmarkStart w:id="60" w:name="_Toc409100472"/>
      <w:bookmarkStart w:id="61" w:name="_Toc484607315"/>
      <w:bookmarkStart w:id="62" w:name="_Toc476577308"/>
      <w:bookmarkStart w:id="63" w:name="_Toc145339102"/>
      <w:bookmarkStart w:id="64" w:name="_Toc483396843"/>
      <w:bookmarkStart w:id="65" w:name="_Toc409100109"/>
      <w:r>
        <w:rPr>
          <w:rFonts w:hint="eastAsia" w:ascii="宋体" w:hAnsi="宋体" w:eastAsia="宋体"/>
          <w:kern w:val="0"/>
          <w:sz w:val="21"/>
          <w:szCs w:val="21"/>
        </w:rPr>
        <w:t>6</w:t>
      </w:r>
      <w:r>
        <w:rPr>
          <w:rFonts w:ascii="宋体" w:hAnsi="宋体" w:eastAsia="宋体"/>
          <w:kern w:val="0"/>
          <w:sz w:val="21"/>
          <w:szCs w:val="21"/>
        </w:rPr>
        <w:t>.1 备查文件目录</w:t>
      </w:r>
      <w:bookmarkEnd w:id="58"/>
      <w:bookmarkEnd w:id="59"/>
      <w:bookmarkEnd w:id="60"/>
      <w:bookmarkEnd w:id="61"/>
      <w:bookmarkEnd w:id="62"/>
      <w:bookmarkEnd w:id="63"/>
      <w:bookmarkEnd w:id="64"/>
      <w:bookmarkEnd w:id="65"/>
    </w:p>
    <w:p>
      <w:pPr>
        <w:spacing w:line="360" w:lineRule="auto"/>
        <w:ind w:firstLine="420" w:firstLineChars="200"/>
        <w:rPr>
          <w:rFonts w:ascii="宋体" w:hAnsi="宋体"/>
          <w:szCs w:val="21"/>
        </w:rPr>
      </w:pPr>
      <w:r>
        <w:rPr>
          <w:rFonts w:hint="eastAsia" w:ascii="宋体" w:hAnsi="宋体"/>
          <w:color w:val="000000"/>
          <w:szCs w:val="21"/>
        </w:rPr>
        <w:t>6.</w:t>
      </w:r>
      <w:r>
        <w:rPr>
          <w:rFonts w:ascii="宋体" w:hAnsi="宋体"/>
          <w:color w:val="000000"/>
          <w:szCs w:val="21"/>
        </w:rPr>
        <w:t>1.1</w:t>
      </w:r>
      <w:r>
        <w:rPr>
          <w:rFonts w:hint="eastAsia" w:ascii="宋体" w:hAnsi="宋体"/>
          <w:color w:val="000000"/>
          <w:szCs w:val="21"/>
        </w:rPr>
        <w:t>博时养老目标日期2045五年持有期混合型发起式基金中基金（FOF）</w:t>
      </w:r>
      <w:r>
        <w:rPr>
          <w:rFonts w:ascii="宋体" w:hAnsi="宋体"/>
          <w:color w:val="000000"/>
          <w:szCs w:val="21"/>
        </w:rPr>
        <w:t>清算审计报告</w:t>
      </w:r>
    </w:p>
    <w:p>
      <w:pPr>
        <w:spacing w:line="360" w:lineRule="auto"/>
        <w:ind w:firstLine="420" w:firstLineChars="200"/>
        <w:rPr>
          <w:rFonts w:ascii="宋体" w:hAnsi="宋体"/>
          <w:color w:val="000000"/>
          <w:szCs w:val="21"/>
        </w:rPr>
      </w:pPr>
      <w:r>
        <w:rPr>
          <w:rFonts w:hint="eastAsia" w:ascii="宋体" w:hAnsi="宋体"/>
          <w:color w:val="000000"/>
          <w:szCs w:val="21"/>
        </w:rPr>
        <w:t>6</w:t>
      </w:r>
      <w:r>
        <w:rPr>
          <w:rFonts w:ascii="宋体" w:hAnsi="宋体"/>
          <w:color w:val="000000"/>
          <w:szCs w:val="21"/>
        </w:rPr>
        <w:t>.1.2</w:t>
      </w:r>
      <w:r>
        <w:rPr>
          <w:rFonts w:hint="eastAsia" w:ascii="宋体" w:hAnsi="宋体"/>
          <w:color w:val="000000"/>
          <w:szCs w:val="21"/>
        </w:rPr>
        <w:t>关于博时养老目标日期2045五年持有期混合型发起式基金中基金（FOF）清算报告</w:t>
      </w:r>
      <w:r>
        <w:rPr>
          <w:rFonts w:ascii="宋体" w:hAnsi="宋体"/>
          <w:color w:val="000000"/>
          <w:szCs w:val="21"/>
        </w:rPr>
        <w:t>的法律意见书</w:t>
      </w:r>
    </w:p>
    <w:p>
      <w:pPr>
        <w:pStyle w:val="3"/>
        <w:spacing w:before="0" w:after="0"/>
        <w:rPr>
          <w:rFonts w:ascii="宋体" w:hAnsi="宋体" w:eastAsia="宋体"/>
          <w:kern w:val="0"/>
          <w:sz w:val="21"/>
          <w:szCs w:val="21"/>
        </w:rPr>
      </w:pPr>
      <w:bookmarkStart w:id="66" w:name="_Toc409100110"/>
      <w:bookmarkStart w:id="67" w:name="_Toc476577309"/>
      <w:bookmarkStart w:id="68" w:name="_Toc484607316"/>
      <w:bookmarkStart w:id="69" w:name="_Toc145339103"/>
      <w:bookmarkStart w:id="70" w:name="_Toc361324905"/>
      <w:bookmarkStart w:id="71" w:name="_Toc483396844"/>
      <w:bookmarkStart w:id="72" w:name="_Toc484769812"/>
      <w:bookmarkStart w:id="73" w:name="_Toc409100473"/>
      <w:r>
        <w:rPr>
          <w:rFonts w:hint="eastAsia" w:ascii="宋体" w:hAnsi="宋体" w:eastAsia="宋体"/>
          <w:kern w:val="0"/>
          <w:sz w:val="21"/>
          <w:szCs w:val="21"/>
        </w:rPr>
        <w:t>6</w:t>
      </w:r>
      <w:r>
        <w:rPr>
          <w:rFonts w:ascii="宋体" w:hAnsi="宋体" w:eastAsia="宋体"/>
          <w:kern w:val="0"/>
          <w:sz w:val="21"/>
          <w:szCs w:val="21"/>
        </w:rPr>
        <w:t>.2 存放地点</w:t>
      </w:r>
      <w:bookmarkEnd w:id="66"/>
      <w:bookmarkEnd w:id="67"/>
      <w:bookmarkEnd w:id="68"/>
      <w:bookmarkEnd w:id="69"/>
      <w:bookmarkEnd w:id="70"/>
      <w:bookmarkEnd w:id="71"/>
      <w:bookmarkEnd w:id="72"/>
      <w:bookmarkEnd w:id="73"/>
    </w:p>
    <w:p>
      <w:pPr>
        <w:spacing w:line="360" w:lineRule="auto"/>
        <w:ind w:firstLine="420" w:firstLineChars="200"/>
        <w:rPr>
          <w:rFonts w:ascii="宋体" w:hAnsi="宋体"/>
          <w:color w:val="000000"/>
          <w:szCs w:val="21"/>
        </w:rPr>
      </w:pPr>
      <w:r>
        <w:rPr>
          <w:rFonts w:ascii="宋体" w:hAnsi="宋体"/>
          <w:color w:val="000000"/>
          <w:szCs w:val="21"/>
        </w:rPr>
        <w:t>基金管理人、基金托管人处</w:t>
      </w:r>
    </w:p>
    <w:p>
      <w:pPr>
        <w:pStyle w:val="3"/>
        <w:spacing w:before="0" w:after="0"/>
        <w:rPr>
          <w:rFonts w:ascii="宋体" w:hAnsi="宋体" w:eastAsia="宋体"/>
          <w:kern w:val="0"/>
          <w:sz w:val="21"/>
          <w:szCs w:val="21"/>
        </w:rPr>
      </w:pPr>
      <w:bookmarkStart w:id="74" w:name="_Toc409100474"/>
      <w:bookmarkStart w:id="75" w:name="_Toc484607317"/>
      <w:bookmarkStart w:id="76" w:name="_Toc483396845"/>
      <w:bookmarkStart w:id="77" w:name="_Toc145339104"/>
      <w:bookmarkStart w:id="78" w:name="_Toc484769813"/>
      <w:bookmarkStart w:id="79" w:name="_Toc476577310"/>
      <w:bookmarkStart w:id="80" w:name="_Toc361324906"/>
      <w:bookmarkStart w:id="81" w:name="_Toc409100111"/>
      <w:r>
        <w:rPr>
          <w:rFonts w:hint="eastAsia" w:ascii="宋体" w:hAnsi="宋体" w:eastAsia="宋体"/>
          <w:kern w:val="0"/>
          <w:sz w:val="21"/>
          <w:szCs w:val="21"/>
        </w:rPr>
        <w:t>6</w:t>
      </w:r>
      <w:r>
        <w:rPr>
          <w:rFonts w:ascii="宋体" w:hAnsi="宋体" w:eastAsia="宋体"/>
          <w:kern w:val="0"/>
          <w:sz w:val="21"/>
          <w:szCs w:val="21"/>
        </w:rPr>
        <w:t>.3 查阅方式</w:t>
      </w:r>
      <w:bookmarkEnd w:id="74"/>
      <w:bookmarkEnd w:id="75"/>
      <w:bookmarkEnd w:id="76"/>
      <w:bookmarkEnd w:id="77"/>
      <w:bookmarkEnd w:id="78"/>
      <w:bookmarkEnd w:id="79"/>
      <w:bookmarkEnd w:id="80"/>
      <w:bookmarkEnd w:id="81"/>
    </w:p>
    <w:p>
      <w:pPr>
        <w:spacing w:line="360" w:lineRule="auto"/>
        <w:ind w:firstLine="420" w:firstLineChars="200"/>
        <w:rPr>
          <w:rFonts w:ascii="宋体" w:hAnsi="宋体"/>
          <w:color w:val="000000"/>
          <w:szCs w:val="21"/>
        </w:rPr>
      </w:pPr>
      <w:r>
        <w:rPr>
          <w:rFonts w:ascii="宋体" w:hAnsi="宋体"/>
          <w:color w:val="000000"/>
          <w:szCs w:val="21"/>
        </w:rPr>
        <w:t>投资者可在营业时间免费查阅，也可按工本费购买复印件</w:t>
      </w:r>
    </w:p>
    <w:p>
      <w:pPr>
        <w:spacing w:line="360" w:lineRule="auto"/>
        <w:ind w:firstLine="420" w:firstLineChars="200"/>
        <w:rPr>
          <w:rFonts w:ascii="宋体" w:hAnsi="宋体"/>
          <w:color w:val="000000"/>
          <w:szCs w:val="21"/>
        </w:rPr>
      </w:pPr>
      <w:r>
        <w:rPr>
          <w:rFonts w:ascii="宋体" w:hAnsi="宋体"/>
          <w:color w:val="000000"/>
          <w:szCs w:val="21"/>
        </w:rPr>
        <w:t>投资者对本报告书如有疑问，可咨询本基金</w:t>
      </w:r>
      <w:r>
        <w:rPr>
          <w:rFonts w:hint="eastAsia" w:ascii="宋体" w:hAnsi="宋体"/>
          <w:color w:val="000000"/>
          <w:szCs w:val="21"/>
        </w:rPr>
        <w:t>基金</w:t>
      </w:r>
      <w:r>
        <w:rPr>
          <w:rFonts w:ascii="宋体" w:hAnsi="宋体"/>
          <w:color w:val="000000"/>
          <w:szCs w:val="21"/>
        </w:rPr>
        <w:t>管理人博时基金管理有限公司</w:t>
      </w:r>
    </w:p>
    <w:p>
      <w:pPr>
        <w:spacing w:line="360" w:lineRule="auto"/>
        <w:ind w:firstLine="420" w:firstLineChars="200"/>
        <w:rPr>
          <w:rFonts w:ascii="宋体" w:hAnsi="宋体"/>
          <w:color w:val="000000"/>
          <w:szCs w:val="21"/>
        </w:rPr>
      </w:pPr>
      <w:r>
        <w:rPr>
          <w:rFonts w:ascii="宋体" w:hAnsi="宋体"/>
          <w:color w:val="000000"/>
          <w:szCs w:val="21"/>
        </w:rPr>
        <w:t>博时一线通：95105568（免长途话费）</w:t>
      </w:r>
    </w:p>
    <w:p>
      <w:pPr>
        <w:spacing w:line="360" w:lineRule="auto"/>
        <w:ind w:firstLine="315" w:firstLineChars="150"/>
        <w:rPr>
          <w:rFonts w:ascii="宋体" w:hAnsi="宋体"/>
          <w:bCs/>
          <w:color w:val="000000" w:themeColor="text1"/>
          <w:szCs w:val="21"/>
          <w14:textFill>
            <w14:solidFill>
              <w14:schemeClr w14:val="tx1"/>
            </w14:solidFill>
          </w14:textFill>
        </w:rPr>
      </w:pPr>
    </w:p>
    <w:p>
      <w:pPr>
        <w:spacing w:line="360" w:lineRule="auto"/>
        <w:ind w:firstLine="315" w:firstLineChars="150"/>
        <w:rPr>
          <w:rFonts w:ascii="宋体" w:hAnsi="宋体"/>
          <w:bCs/>
          <w:color w:val="000000" w:themeColor="text1"/>
          <w:szCs w:val="21"/>
          <w14:textFill>
            <w14:solidFill>
              <w14:schemeClr w14:val="tx1"/>
            </w14:solidFill>
          </w14:textFill>
        </w:rPr>
      </w:pPr>
    </w:p>
    <w:p>
      <w:pPr>
        <w:spacing w:line="360" w:lineRule="auto"/>
        <w:ind w:firstLine="315" w:firstLineChars="150"/>
        <w:rPr>
          <w:rFonts w:ascii="宋体" w:hAnsi="宋体"/>
          <w:bCs/>
          <w:color w:val="000000" w:themeColor="text1"/>
          <w:szCs w:val="21"/>
          <w14:textFill>
            <w14:solidFill>
              <w14:schemeClr w14:val="tx1"/>
            </w14:solidFill>
          </w14:textFill>
        </w:rPr>
      </w:pPr>
    </w:p>
    <w:p>
      <w:pPr>
        <w:spacing w:line="360" w:lineRule="auto"/>
        <w:ind w:firstLine="315" w:firstLineChars="150"/>
        <w:rPr>
          <w:rFonts w:ascii="宋体" w:hAnsi="宋体"/>
          <w:bCs/>
          <w:color w:val="000000" w:themeColor="text1"/>
          <w:szCs w:val="21"/>
          <w14:textFill>
            <w14:solidFill>
              <w14:schemeClr w14:val="tx1"/>
            </w14:solidFill>
          </w14:textFill>
        </w:rPr>
      </w:pPr>
    </w:p>
    <w:p>
      <w:pPr>
        <w:spacing w:line="360" w:lineRule="auto"/>
        <w:ind w:firstLine="315" w:firstLineChars="150"/>
        <w:rPr>
          <w:rFonts w:ascii="宋体" w:hAnsi="宋体"/>
          <w:bCs/>
          <w:color w:val="000000" w:themeColor="text1"/>
          <w:szCs w:val="21"/>
          <w14:textFill>
            <w14:solidFill>
              <w14:schemeClr w14:val="tx1"/>
            </w14:solidFill>
          </w14:textFill>
        </w:rPr>
      </w:pPr>
    </w:p>
    <w:p>
      <w:pPr>
        <w:spacing w:line="360" w:lineRule="auto"/>
        <w:ind w:firstLine="315" w:firstLineChars="150"/>
        <w:rPr>
          <w:rFonts w:ascii="宋体" w:hAnsi="宋体"/>
          <w:bCs/>
          <w:color w:val="000000" w:themeColor="text1"/>
          <w:szCs w:val="21"/>
          <w14:textFill>
            <w14:solidFill>
              <w14:schemeClr w14:val="tx1"/>
            </w14:solidFill>
          </w14:textFill>
        </w:rPr>
      </w:pPr>
    </w:p>
    <w:p>
      <w:pPr>
        <w:spacing w:line="360" w:lineRule="auto"/>
        <w:jc w:val="right"/>
        <w:rPr>
          <w:rFonts w:ascii="宋体" w:hAnsi="宋体"/>
          <w:bCs/>
          <w:szCs w:val="21"/>
        </w:rPr>
      </w:pPr>
      <w:r>
        <w:rPr>
          <w:rFonts w:hint="eastAsia"/>
        </w:rPr>
        <w:t>博时养老目标日期2045五年持有期混合型发起式基金中基金（FOF）基金</w:t>
      </w:r>
      <w:r>
        <w:rPr>
          <w:rFonts w:hint="eastAsia" w:ascii="宋体" w:hAnsi="宋体"/>
          <w:bCs/>
          <w:szCs w:val="21"/>
        </w:rPr>
        <w:t>财产清算小组</w:t>
      </w:r>
    </w:p>
    <w:p>
      <w:pPr>
        <w:wordWrap/>
        <w:spacing w:line="360" w:lineRule="auto"/>
        <w:ind w:left="840" w:right="420" w:firstLine="3885" w:firstLineChars="1850"/>
        <w:jc w:val="right"/>
      </w:pPr>
      <w:r>
        <w:rPr>
          <w:rFonts w:ascii="宋体" w:hAnsi="宋体"/>
          <w:bCs/>
          <w:szCs w:val="21"/>
        </w:rPr>
        <w:t>二〇</w:t>
      </w:r>
      <w:r>
        <w:rPr>
          <w:rFonts w:hint="eastAsia" w:ascii="宋体" w:hAnsi="宋体"/>
          <w:bCs/>
          <w:szCs w:val="21"/>
        </w:rPr>
        <w:t>二</w:t>
      </w:r>
      <w:r>
        <w:rPr>
          <w:rFonts w:hint="eastAsia" w:ascii="宋体" w:hAnsi="宋体"/>
          <w:bCs/>
          <w:szCs w:val="21"/>
          <w:lang w:val="en-US" w:eastAsia="zh-CN"/>
        </w:rPr>
        <w:t>四</w:t>
      </w:r>
      <w:r>
        <w:rPr>
          <w:rFonts w:ascii="宋体" w:hAnsi="宋体"/>
          <w:bCs/>
          <w:szCs w:val="21"/>
        </w:rPr>
        <w:t>年</w:t>
      </w:r>
      <w:r>
        <w:rPr>
          <w:rFonts w:hint="eastAsia" w:ascii="宋体" w:hAnsi="宋体"/>
          <w:bCs/>
          <w:szCs w:val="21"/>
          <w:lang w:val="en-US" w:eastAsia="zh-CN"/>
        </w:rPr>
        <w:t>十</w:t>
      </w:r>
      <w:r>
        <w:rPr>
          <w:rFonts w:ascii="宋体" w:hAnsi="宋体"/>
          <w:bCs/>
          <w:szCs w:val="21"/>
        </w:rPr>
        <w:t>月</w:t>
      </w:r>
      <w:r>
        <w:rPr>
          <w:rFonts w:hint="eastAsia" w:ascii="宋体" w:hAnsi="宋体"/>
          <w:bCs/>
          <w:szCs w:val="21"/>
          <w:lang w:val="en-US" w:eastAsia="zh-CN"/>
        </w:rPr>
        <w:t>十九</w:t>
      </w:r>
      <w:r>
        <w:rPr>
          <w:rFonts w:ascii="宋体" w:hAnsi="宋体"/>
          <w:bCs/>
          <w:szCs w:val="21"/>
        </w:rPr>
        <w:t>日</w:t>
      </w:r>
    </w:p>
    <w:sectPr>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宋体棬　僬　.">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10446840"/>
      <w:docPartObj>
        <w:docPartGallery w:val="autotext"/>
      </w:docPartObj>
    </w:sdtPr>
    <w:sdtContent>
      <w:p>
        <w:pPr>
          <w:pStyle w:val="7"/>
          <w:jc w:val="center"/>
        </w:pPr>
        <w:r>
          <w:fldChar w:fldCharType="begin"/>
        </w:r>
        <w:r>
          <w:instrText xml:space="preserve">PAGE   \* MERGEFORMAT</w:instrText>
        </w:r>
        <w:r>
          <w:fldChar w:fldCharType="separate"/>
        </w:r>
        <w:r>
          <w:rPr>
            <w:lang w:val="zh-CN"/>
          </w:rPr>
          <w:t>1</w:t>
        </w:r>
        <w:r>
          <w:fldChar w:fldCharType="end"/>
        </w:r>
      </w:p>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6" w:space="0"/>
      </w:pBdr>
      <w:tabs>
        <w:tab w:val="left" w:pos="3105"/>
        <w:tab w:val="right" w:pos="9090"/>
      </w:tabs>
      <w:jc w:val="left"/>
    </w:pPr>
    <w:r>
      <w:rPr>
        <w:sz w:val="21"/>
        <w:szCs w:val="21"/>
      </w:rPr>
      <w:tab/>
    </w:r>
    <w:r>
      <w:rPr>
        <w:sz w:val="21"/>
        <w:szCs w:val="21"/>
      </w:rPr>
      <w:tab/>
    </w:r>
    <w:r>
      <w:drawing>
        <wp:anchor distT="0" distB="0" distL="114300" distR="114300" simplePos="0" relativeHeight="251660288" behindDoc="0" locked="0" layoutInCell="1" allowOverlap="1">
          <wp:simplePos x="0" y="0"/>
          <wp:positionH relativeFrom="column">
            <wp:posOffset>-13335</wp:posOffset>
          </wp:positionH>
          <wp:positionV relativeFrom="paragraph">
            <wp:posOffset>-190500</wp:posOffset>
          </wp:positionV>
          <wp:extent cx="1257300" cy="314325"/>
          <wp:effectExtent l="0" t="0" r="0" b="0"/>
          <wp:wrapNone/>
          <wp:docPr id="2" name="图片 2" descr="Boser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osera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257300" cy="314325"/>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6" w:space="0"/>
      </w:pBdr>
      <w:tabs>
        <w:tab w:val="left" w:pos="3105"/>
        <w:tab w:val="right" w:pos="9090"/>
      </w:tabs>
      <w:jc w:val="left"/>
    </w:pPr>
    <w:r>
      <w:rPr>
        <w:sz w:val="21"/>
        <w:szCs w:val="21"/>
      </w:rPr>
      <w:tab/>
    </w:r>
    <w:r>
      <w:rPr>
        <w:sz w:val="21"/>
        <w:szCs w:val="21"/>
      </w:rPr>
      <w:tab/>
    </w:r>
    <w:r>
      <w:drawing>
        <wp:anchor distT="0" distB="0" distL="114300" distR="114300" simplePos="0" relativeHeight="251659264" behindDoc="0" locked="0" layoutInCell="1" allowOverlap="1">
          <wp:simplePos x="0" y="0"/>
          <wp:positionH relativeFrom="column">
            <wp:posOffset>-13335</wp:posOffset>
          </wp:positionH>
          <wp:positionV relativeFrom="paragraph">
            <wp:posOffset>-190500</wp:posOffset>
          </wp:positionV>
          <wp:extent cx="1257300" cy="314325"/>
          <wp:effectExtent l="0" t="0" r="0" b="0"/>
          <wp:wrapNone/>
          <wp:docPr id="6" name="图片 6" descr="Boser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Bosera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257300" cy="31432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3E88B2"/>
    <w:multiLevelType w:val="singleLevel"/>
    <w:tmpl w:val="BF3E88B2"/>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06A"/>
    <w:rsid w:val="0000095F"/>
    <w:rsid w:val="000137FB"/>
    <w:rsid w:val="00022644"/>
    <w:rsid w:val="00030616"/>
    <w:rsid w:val="00030C19"/>
    <w:rsid w:val="00034D89"/>
    <w:rsid w:val="000357B6"/>
    <w:rsid w:val="000372AE"/>
    <w:rsid w:val="00041198"/>
    <w:rsid w:val="00047E84"/>
    <w:rsid w:val="00051857"/>
    <w:rsid w:val="000539E5"/>
    <w:rsid w:val="00055987"/>
    <w:rsid w:val="00056C1B"/>
    <w:rsid w:val="00060B36"/>
    <w:rsid w:val="00062D4B"/>
    <w:rsid w:val="00063498"/>
    <w:rsid w:val="000666D2"/>
    <w:rsid w:val="0007014B"/>
    <w:rsid w:val="000761E8"/>
    <w:rsid w:val="00080A17"/>
    <w:rsid w:val="000816AB"/>
    <w:rsid w:val="000843E5"/>
    <w:rsid w:val="00085A18"/>
    <w:rsid w:val="000902AA"/>
    <w:rsid w:val="000A67AD"/>
    <w:rsid w:val="000B435B"/>
    <w:rsid w:val="000B68F4"/>
    <w:rsid w:val="000C1A89"/>
    <w:rsid w:val="000C6268"/>
    <w:rsid w:val="000D2477"/>
    <w:rsid w:val="000E746C"/>
    <w:rsid w:val="000F0DB6"/>
    <w:rsid w:val="000F38A7"/>
    <w:rsid w:val="00106078"/>
    <w:rsid w:val="00112785"/>
    <w:rsid w:val="00120978"/>
    <w:rsid w:val="00134CCD"/>
    <w:rsid w:val="00137F90"/>
    <w:rsid w:val="001461B5"/>
    <w:rsid w:val="001469B6"/>
    <w:rsid w:val="00155FBE"/>
    <w:rsid w:val="00167779"/>
    <w:rsid w:val="0017200A"/>
    <w:rsid w:val="0017203A"/>
    <w:rsid w:val="00173F54"/>
    <w:rsid w:val="001837B1"/>
    <w:rsid w:val="00192433"/>
    <w:rsid w:val="0019354B"/>
    <w:rsid w:val="001943DA"/>
    <w:rsid w:val="001A25D5"/>
    <w:rsid w:val="001A6186"/>
    <w:rsid w:val="001A64D9"/>
    <w:rsid w:val="001B142B"/>
    <w:rsid w:val="001B307F"/>
    <w:rsid w:val="001B6418"/>
    <w:rsid w:val="001C2654"/>
    <w:rsid w:val="001C5110"/>
    <w:rsid w:val="001C5F1E"/>
    <w:rsid w:val="001D416C"/>
    <w:rsid w:val="001D4D02"/>
    <w:rsid w:val="001E1155"/>
    <w:rsid w:val="001F2833"/>
    <w:rsid w:val="0020164A"/>
    <w:rsid w:val="002025EA"/>
    <w:rsid w:val="00202D7F"/>
    <w:rsid w:val="002062C8"/>
    <w:rsid w:val="00214EB4"/>
    <w:rsid w:val="0021666C"/>
    <w:rsid w:val="00227A63"/>
    <w:rsid w:val="00231504"/>
    <w:rsid w:val="00232E19"/>
    <w:rsid w:val="00234000"/>
    <w:rsid w:val="0023623C"/>
    <w:rsid w:val="002411FB"/>
    <w:rsid w:val="0025064B"/>
    <w:rsid w:val="00255115"/>
    <w:rsid w:val="002563BA"/>
    <w:rsid w:val="00256EF7"/>
    <w:rsid w:val="00262F7B"/>
    <w:rsid w:val="002653B2"/>
    <w:rsid w:val="00265EEB"/>
    <w:rsid w:val="002661A0"/>
    <w:rsid w:val="00276A7B"/>
    <w:rsid w:val="00282DBC"/>
    <w:rsid w:val="002873D1"/>
    <w:rsid w:val="00293C87"/>
    <w:rsid w:val="0029757C"/>
    <w:rsid w:val="002A651B"/>
    <w:rsid w:val="002A67F8"/>
    <w:rsid w:val="002A74F4"/>
    <w:rsid w:val="002B3940"/>
    <w:rsid w:val="002B3A7F"/>
    <w:rsid w:val="002B64F0"/>
    <w:rsid w:val="002C0121"/>
    <w:rsid w:val="002C206A"/>
    <w:rsid w:val="002C5EE3"/>
    <w:rsid w:val="002D012A"/>
    <w:rsid w:val="002D2D31"/>
    <w:rsid w:val="002D5091"/>
    <w:rsid w:val="002E63F9"/>
    <w:rsid w:val="002E6C5A"/>
    <w:rsid w:val="002F6DA9"/>
    <w:rsid w:val="00301ED8"/>
    <w:rsid w:val="00306602"/>
    <w:rsid w:val="00307993"/>
    <w:rsid w:val="00326C6E"/>
    <w:rsid w:val="0033114F"/>
    <w:rsid w:val="00352E52"/>
    <w:rsid w:val="0035409D"/>
    <w:rsid w:val="00355DCE"/>
    <w:rsid w:val="00370C3B"/>
    <w:rsid w:val="00371301"/>
    <w:rsid w:val="00373891"/>
    <w:rsid w:val="003807A5"/>
    <w:rsid w:val="00382B7B"/>
    <w:rsid w:val="003835CB"/>
    <w:rsid w:val="00385C7D"/>
    <w:rsid w:val="00386448"/>
    <w:rsid w:val="00397293"/>
    <w:rsid w:val="003A31B4"/>
    <w:rsid w:val="003B1FF9"/>
    <w:rsid w:val="003C3F46"/>
    <w:rsid w:val="003C54DC"/>
    <w:rsid w:val="003C62D7"/>
    <w:rsid w:val="003D0371"/>
    <w:rsid w:val="003E15EB"/>
    <w:rsid w:val="003E2B75"/>
    <w:rsid w:val="003E5A9A"/>
    <w:rsid w:val="003F309E"/>
    <w:rsid w:val="00430500"/>
    <w:rsid w:val="00434B13"/>
    <w:rsid w:val="00436D7F"/>
    <w:rsid w:val="00442E63"/>
    <w:rsid w:val="0044360C"/>
    <w:rsid w:val="0044397B"/>
    <w:rsid w:val="004454E6"/>
    <w:rsid w:val="0045486C"/>
    <w:rsid w:val="00455367"/>
    <w:rsid w:val="00455ED0"/>
    <w:rsid w:val="00456810"/>
    <w:rsid w:val="004612B6"/>
    <w:rsid w:val="0047525E"/>
    <w:rsid w:val="004840C9"/>
    <w:rsid w:val="004850AB"/>
    <w:rsid w:val="00492489"/>
    <w:rsid w:val="00492EFF"/>
    <w:rsid w:val="004A1313"/>
    <w:rsid w:val="004A154B"/>
    <w:rsid w:val="004A4000"/>
    <w:rsid w:val="004B1C28"/>
    <w:rsid w:val="004B48B5"/>
    <w:rsid w:val="004B5C9E"/>
    <w:rsid w:val="004C29F5"/>
    <w:rsid w:val="004C71DC"/>
    <w:rsid w:val="004D414E"/>
    <w:rsid w:val="004D4509"/>
    <w:rsid w:val="004D4D05"/>
    <w:rsid w:val="004D6178"/>
    <w:rsid w:val="004D6B20"/>
    <w:rsid w:val="00502816"/>
    <w:rsid w:val="00502DD9"/>
    <w:rsid w:val="00506722"/>
    <w:rsid w:val="00516AB2"/>
    <w:rsid w:val="00521F84"/>
    <w:rsid w:val="00523B76"/>
    <w:rsid w:val="0052764B"/>
    <w:rsid w:val="005342D6"/>
    <w:rsid w:val="00534804"/>
    <w:rsid w:val="00564FC0"/>
    <w:rsid w:val="005660DC"/>
    <w:rsid w:val="00566D31"/>
    <w:rsid w:val="00573997"/>
    <w:rsid w:val="00573CCA"/>
    <w:rsid w:val="00577499"/>
    <w:rsid w:val="005827CB"/>
    <w:rsid w:val="00583125"/>
    <w:rsid w:val="00586461"/>
    <w:rsid w:val="00587EB1"/>
    <w:rsid w:val="00591E34"/>
    <w:rsid w:val="00595DB8"/>
    <w:rsid w:val="005A5F19"/>
    <w:rsid w:val="005B00B8"/>
    <w:rsid w:val="005B1434"/>
    <w:rsid w:val="005B1DA8"/>
    <w:rsid w:val="005B7910"/>
    <w:rsid w:val="005C2636"/>
    <w:rsid w:val="005D2BBF"/>
    <w:rsid w:val="005D3C26"/>
    <w:rsid w:val="005D4DFB"/>
    <w:rsid w:val="005D726C"/>
    <w:rsid w:val="005E0013"/>
    <w:rsid w:val="005E066D"/>
    <w:rsid w:val="005E2E0C"/>
    <w:rsid w:val="005E4AD0"/>
    <w:rsid w:val="005E5893"/>
    <w:rsid w:val="00602945"/>
    <w:rsid w:val="00612741"/>
    <w:rsid w:val="00633070"/>
    <w:rsid w:val="0063424C"/>
    <w:rsid w:val="00635482"/>
    <w:rsid w:val="00635B20"/>
    <w:rsid w:val="00644DD9"/>
    <w:rsid w:val="006458AE"/>
    <w:rsid w:val="00652E32"/>
    <w:rsid w:val="00654582"/>
    <w:rsid w:val="006568DA"/>
    <w:rsid w:val="00662751"/>
    <w:rsid w:val="006631AD"/>
    <w:rsid w:val="00665EC2"/>
    <w:rsid w:val="00680A32"/>
    <w:rsid w:val="0068199C"/>
    <w:rsid w:val="006845C6"/>
    <w:rsid w:val="00686F4D"/>
    <w:rsid w:val="00694032"/>
    <w:rsid w:val="00696A99"/>
    <w:rsid w:val="006A0CA9"/>
    <w:rsid w:val="006A13B2"/>
    <w:rsid w:val="006A3E46"/>
    <w:rsid w:val="006B68D9"/>
    <w:rsid w:val="006C1070"/>
    <w:rsid w:val="006C1BF7"/>
    <w:rsid w:val="006D3ABB"/>
    <w:rsid w:val="006D7EE7"/>
    <w:rsid w:val="006E09FA"/>
    <w:rsid w:val="006E57F3"/>
    <w:rsid w:val="006E60B5"/>
    <w:rsid w:val="006E7668"/>
    <w:rsid w:val="006F10F0"/>
    <w:rsid w:val="006F5492"/>
    <w:rsid w:val="006F6162"/>
    <w:rsid w:val="006F661D"/>
    <w:rsid w:val="006F6EDE"/>
    <w:rsid w:val="007057BB"/>
    <w:rsid w:val="00714FE5"/>
    <w:rsid w:val="007152F3"/>
    <w:rsid w:val="00716593"/>
    <w:rsid w:val="00716C2D"/>
    <w:rsid w:val="007249F8"/>
    <w:rsid w:val="007250DC"/>
    <w:rsid w:val="007302D4"/>
    <w:rsid w:val="00731E72"/>
    <w:rsid w:val="00733FD6"/>
    <w:rsid w:val="00735BC7"/>
    <w:rsid w:val="00741ECC"/>
    <w:rsid w:val="00751255"/>
    <w:rsid w:val="00752AA1"/>
    <w:rsid w:val="00762677"/>
    <w:rsid w:val="007654B6"/>
    <w:rsid w:val="00765C51"/>
    <w:rsid w:val="007710E0"/>
    <w:rsid w:val="00772D62"/>
    <w:rsid w:val="00772F4C"/>
    <w:rsid w:val="00774DA5"/>
    <w:rsid w:val="0077601B"/>
    <w:rsid w:val="00777874"/>
    <w:rsid w:val="00784118"/>
    <w:rsid w:val="00791012"/>
    <w:rsid w:val="00794F7D"/>
    <w:rsid w:val="007A111F"/>
    <w:rsid w:val="007A1382"/>
    <w:rsid w:val="007A3D67"/>
    <w:rsid w:val="007A4276"/>
    <w:rsid w:val="007B1F39"/>
    <w:rsid w:val="007C224B"/>
    <w:rsid w:val="007C63DE"/>
    <w:rsid w:val="007C7E15"/>
    <w:rsid w:val="007D01A7"/>
    <w:rsid w:val="007D0824"/>
    <w:rsid w:val="007D2C21"/>
    <w:rsid w:val="007D368E"/>
    <w:rsid w:val="007E174D"/>
    <w:rsid w:val="007E3A28"/>
    <w:rsid w:val="007F4BB0"/>
    <w:rsid w:val="007F7773"/>
    <w:rsid w:val="00800E5D"/>
    <w:rsid w:val="00801C52"/>
    <w:rsid w:val="00804275"/>
    <w:rsid w:val="00815886"/>
    <w:rsid w:val="00815FC5"/>
    <w:rsid w:val="00824898"/>
    <w:rsid w:val="00831C44"/>
    <w:rsid w:val="00834E30"/>
    <w:rsid w:val="008459F8"/>
    <w:rsid w:val="00845FBE"/>
    <w:rsid w:val="00846CD0"/>
    <w:rsid w:val="00850DF4"/>
    <w:rsid w:val="00862C4E"/>
    <w:rsid w:val="00872860"/>
    <w:rsid w:val="00876515"/>
    <w:rsid w:val="00881D41"/>
    <w:rsid w:val="00893D5F"/>
    <w:rsid w:val="008A157A"/>
    <w:rsid w:val="008A2534"/>
    <w:rsid w:val="008A2CED"/>
    <w:rsid w:val="008A3541"/>
    <w:rsid w:val="008A37AA"/>
    <w:rsid w:val="008A3F14"/>
    <w:rsid w:val="008A7F7B"/>
    <w:rsid w:val="008B2371"/>
    <w:rsid w:val="008B50E8"/>
    <w:rsid w:val="008D2268"/>
    <w:rsid w:val="008D28CA"/>
    <w:rsid w:val="008F1E69"/>
    <w:rsid w:val="008F313A"/>
    <w:rsid w:val="00905F06"/>
    <w:rsid w:val="00907090"/>
    <w:rsid w:val="009102A8"/>
    <w:rsid w:val="009104DA"/>
    <w:rsid w:val="00912B1F"/>
    <w:rsid w:val="0091569A"/>
    <w:rsid w:val="009164BB"/>
    <w:rsid w:val="00916F0F"/>
    <w:rsid w:val="00924654"/>
    <w:rsid w:val="00927D2F"/>
    <w:rsid w:val="00933D33"/>
    <w:rsid w:val="00941D16"/>
    <w:rsid w:val="00946EAA"/>
    <w:rsid w:val="00965BAF"/>
    <w:rsid w:val="009837FE"/>
    <w:rsid w:val="00987D82"/>
    <w:rsid w:val="00993E2D"/>
    <w:rsid w:val="009A0A73"/>
    <w:rsid w:val="009A446F"/>
    <w:rsid w:val="009C16D2"/>
    <w:rsid w:val="009E2DFE"/>
    <w:rsid w:val="009E6B28"/>
    <w:rsid w:val="009E6D6B"/>
    <w:rsid w:val="009F6E54"/>
    <w:rsid w:val="00A001EB"/>
    <w:rsid w:val="00A01676"/>
    <w:rsid w:val="00A14A60"/>
    <w:rsid w:val="00A23D46"/>
    <w:rsid w:val="00A306BF"/>
    <w:rsid w:val="00A36A44"/>
    <w:rsid w:val="00A44F0D"/>
    <w:rsid w:val="00A46614"/>
    <w:rsid w:val="00A50F44"/>
    <w:rsid w:val="00A5445B"/>
    <w:rsid w:val="00A674AD"/>
    <w:rsid w:val="00A679A5"/>
    <w:rsid w:val="00A7090F"/>
    <w:rsid w:val="00A728B4"/>
    <w:rsid w:val="00A74683"/>
    <w:rsid w:val="00A862A8"/>
    <w:rsid w:val="00A91EE9"/>
    <w:rsid w:val="00A93929"/>
    <w:rsid w:val="00A93D68"/>
    <w:rsid w:val="00AA1B4D"/>
    <w:rsid w:val="00AA2704"/>
    <w:rsid w:val="00AA33F7"/>
    <w:rsid w:val="00AA6506"/>
    <w:rsid w:val="00AB4223"/>
    <w:rsid w:val="00AC1A32"/>
    <w:rsid w:val="00AC4AE4"/>
    <w:rsid w:val="00AC71D8"/>
    <w:rsid w:val="00AC75BE"/>
    <w:rsid w:val="00AD05C8"/>
    <w:rsid w:val="00AD1682"/>
    <w:rsid w:val="00AD5603"/>
    <w:rsid w:val="00AE14B8"/>
    <w:rsid w:val="00AE5F6A"/>
    <w:rsid w:val="00AE730F"/>
    <w:rsid w:val="00B04DF8"/>
    <w:rsid w:val="00B12304"/>
    <w:rsid w:val="00B16F0F"/>
    <w:rsid w:val="00B233AC"/>
    <w:rsid w:val="00B23421"/>
    <w:rsid w:val="00B305AF"/>
    <w:rsid w:val="00B339F1"/>
    <w:rsid w:val="00B42763"/>
    <w:rsid w:val="00B43A95"/>
    <w:rsid w:val="00B65F7A"/>
    <w:rsid w:val="00B7273F"/>
    <w:rsid w:val="00B72BCE"/>
    <w:rsid w:val="00B86766"/>
    <w:rsid w:val="00B915CA"/>
    <w:rsid w:val="00B92205"/>
    <w:rsid w:val="00B942D8"/>
    <w:rsid w:val="00BB4559"/>
    <w:rsid w:val="00BB63F5"/>
    <w:rsid w:val="00BB738A"/>
    <w:rsid w:val="00BC47E7"/>
    <w:rsid w:val="00BE4A70"/>
    <w:rsid w:val="00BF5EF2"/>
    <w:rsid w:val="00C04232"/>
    <w:rsid w:val="00C11810"/>
    <w:rsid w:val="00C135C6"/>
    <w:rsid w:val="00C14A9A"/>
    <w:rsid w:val="00C17166"/>
    <w:rsid w:val="00C210B3"/>
    <w:rsid w:val="00C34DAD"/>
    <w:rsid w:val="00C360D7"/>
    <w:rsid w:val="00C403BF"/>
    <w:rsid w:val="00C4132F"/>
    <w:rsid w:val="00C525B7"/>
    <w:rsid w:val="00C55365"/>
    <w:rsid w:val="00C630D5"/>
    <w:rsid w:val="00C63D6E"/>
    <w:rsid w:val="00C6730A"/>
    <w:rsid w:val="00C70690"/>
    <w:rsid w:val="00C7478B"/>
    <w:rsid w:val="00C80BA7"/>
    <w:rsid w:val="00C80C26"/>
    <w:rsid w:val="00C81D4D"/>
    <w:rsid w:val="00C8253B"/>
    <w:rsid w:val="00CA0EF6"/>
    <w:rsid w:val="00CA5C95"/>
    <w:rsid w:val="00CA5E5C"/>
    <w:rsid w:val="00CB5771"/>
    <w:rsid w:val="00CB5D33"/>
    <w:rsid w:val="00CC2DA9"/>
    <w:rsid w:val="00CC6E89"/>
    <w:rsid w:val="00CD347D"/>
    <w:rsid w:val="00CD5F8A"/>
    <w:rsid w:val="00CD6DE4"/>
    <w:rsid w:val="00CD7E4B"/>
    <w:rsid w:val="00CE40F8"/>
    <w:rsid w:val="00CE52AA"/>
    <w:rsid w:val="00CF22FE"/>
    <w:rsid w:val="00D00B39"/>
    <w:rsid w:val="00D044DD"/>
    <w:rsid w:val="00D05B80"/>
    <w:rsid w:val="00D06B35"/>
    <w:rsid w:val="00D17073"/>
    <w:rsid w:val="00D31973"/>
    <w:rsid w:val="00D32BD2"/>
    <w:rsid w:val="00D454FE"/>
    <w:rsid w:val="00D54137"/>
    <w:rsid w:val="00D54D70"/>
    <w:rsid w:val="00D65D2C"/>
    <w:rsid w:val="00D747C5"/>
    <w:rsid w:val="00D77529"/>
    <w:rsid w:val="00D87AB1"/>
    <w:rsid w:val="00D908BA"/>
    <w:rsid w:val="00D910E6"/>
    <w:rsid w:val="00D911E2"/>
    <w:rsid w:val="00DA392A"/>
    <w:rsid w:val="00DA69B2"/>
    <w:rsid w:val="00DA6F9B"/>
    <w:rsid w:val="00DB3DDE"/>
    <w:rsid w:val="00DC709B"/>
    <w:rsid w:val="00DD0701"/>
    <w:rsid w:val="00DE1E11"/>
    <w:rsid w:val="00DE2718"/>
    <w:rsid w:val="00DE5ED4"/>
    <w:rsid w:val="00DF0830"/>
    <w:rsid w:val="00DF0A36"/>
    <w:rsid w:val="00DF381F"/>
    <w:rsid w:val="00E036D0"/>
    <w:rsid w:val="00E04E1A"/>
    <w:rsid w:val="00E0513D"/>
    <w:rsid w:val="00E120A8"/>
    <w:rsid w:val="00E157FD"/>
    <w:rsid w:val="00E16F00"/>
    <w:rsid w:val="00E21B3B"/>
    <w:rsid w:val="00E23186"/>
    <w:rsid w:val="00E25C0F"/>
    <w:rsid w:val="00E30EBF"/>
    <w:rsid w:val="00E34DF3"/>
    <w:rsid w:val="00E444C3"/>
    <w:rsid w:val="00E54EFB"/>
    <w:rsid w:val="00E6420A"/>
    <w:rsid w:val="00E667C5"/>
    <w:rsid w:val="00E66B03"/>
    <w:rsid w:val="00E73493"/>
    <w:rsid w:val="00E7448F"/>
    <w:rsid w:val="00E83CB9"/>
    <w:rsid w:val="00E94390"/>
    <w:rsid w:val="00EF778A"/>
    <w:rsid w:val="00F001E5"/>
    <w:rsid w:val="00F01202"/>
    <w:rsid w:val="00F03A4C"/>
    <w:rsid w:val="00F154E0"/>
    <w:rsid w:val="00F15C3A"/>
    <w:rsid w:val="00F17DA5"/>
    <w:rsid w:val="00F31C2E"/>
    <w:rsid w:val="00F349E5"/>
    <w:rsid w:val="00F36E31"/>
    <w:rsid w:val="00F374DD"/>
    <w:rsid w:val="00F40A90"/>
    <w:rsid w:val="00F4536A"/>
    <w:rsid w:val="00F45604"/>
    <w:rsid w:val="00F512A6"/>
    <w:rsid w:val="00F52468"/>
    <w:rsid w:val="00F52622"/>
    <w:rsid w:val="00F567B8"/>
    <w:rsid w:val="00F82B25"/>
    <w:rsid w:val="00F869AE"/>
    <w:rsid w:val="00FB16E2"/>
    <w:rsid w:val="00FB4D56"/>
    <w:rsid w:val="00FB67B2"/>
    <w:rsid w:val="00FB68D0"/>
    <w:rsid w:val="00FC1B34"/>
    <w:rsid w:val="00FC33B1"/>
    <w:rsid w:val="00FC557E"/>
    <w:rsid w:val="00FC7F9D"/>
    <w:rsid w:val="00FD1FC1"/>
    <w:rsid w:val="00FD7B6F"/>
    <w:rsid w:val="00FE3491"/>
    <w:rsid w:val="00FE7CDD"/>
    <w:rsid w:val="00FF26D8"/>
    <w:rsid w:val="010121B4"/>
    <w:rsid w:val="04C5285F"/>
    <w:rsid w:val="06343D3A"/>
    <w:rsid w:val="07002189"/>
    <w:rsid w:val="08807182"/>
    <w:rsid w:val="090A4A40"/>
    <w:rsid w:val="0A8330D0"/>
    <w:rsid w:val="0EE06222"/>
    <w:rsid w:val="0F1E2B32"/>
    <w:rsid w:val="0F581D93"/>
    <w:rsid w:val="0FC04ECD"/>
    <w:rsid w:val="0FD03282"/>
    <w:rsid w:val="108465A8"/>
    <w:rsid w:val="11277FB0"/>
    <w:rsid w:val="112E1A4E"/>
    <w:rsid w:val="11C760C7"/>
    <w:rsid w:val="12315F5B"/>
    <w:rsid w:val="12FB6C31"/>
    <w:rsid w:val="14F078C9"/>
    <w:rsid w:val="166866D0"/>
    <w:rsid w:val="16810AFC"/>
    <w:rsid w:val="16C72C35"/>
    <w:rsid w:val="17824257"/>
    <w:rsid w:val="17AE026A"/>
    <w:rsid w:val="1B550FE4"/>
    <w:rsid w:val="1BCF73D5"/>
    <w:rsid w:val="1C1119BB"/>
    <w:rsid w:val="1C762006"/>
    <w:rsid w:val="1F056DB4"/>
    <w:rsid w:val="20162EC1"/>
    <w:rsid w:val="20EC0311"/>
    <w:rsid w:val="22D401B1"/>
    <w:rsid w:val="23DE0664"/>
    <w:rsid w:val="23F643F7"/>
    <w:rsid w:val="24974DB4"/>
    <w:rsid w:val="26013FB1"/>
    <w:rsid w:val="26275E41"/>
    <w:rsid w:val="26FC6F17"/>
    <w:rsid w:val="270D41CD"/>
    <w:rsid w:val="27866676"/>
    <w:rsid w:val="28BA3B86"/>
    <w:rsid w:val="28E848A9"/>
    <w:rsid w:val="29877AB3"/>
    <w:rsid w:val="29E14AC1"/>
    <w:rsid w:val="2B665F42"/>
    <w:rsid w:val="2BD8717A"/>
    <w:rsid w:val="2D0E1794"/>
    <w:rsid w:val="2D9F23FB"/>
    <w:rsid w:val="2DF378D7"/>
    <w:rsid w:val="2E243FD5"/>
    <w:rsid w:val="2E8B4F66"/>
    <w:rsid w:val="30002D86"/>
    <w:rsid w:val="31E0037E"/>
    <w:rsid w:val="331D1716"/>
    <w:rsid w:val="34B3170A"/>
    <w:rsid w:val="355D3219"/>
    <w:rsid w:val="371E31D3"/>
    <w:rsid w:val="37A30ED5"/>
    <w:rsid w:val="38C52678"/>
    <w:rsid w:val="39CB3D5D"/>
    <w:rsid w:val="39F32D23"/>
    <w:rsid w:val="3BAE7776"/>
    <w:rsid w:val="3D591787"/>
    <w:rsid w:val="3ED57FA3"/>
    <w:rsid w:val="409958E1"/>
    <w:rsid w:val="44111330"/>
    <w:rsid w:val="44571500"/>
    <w:rsid w:val="460A7FF5"/>
    <w:rsid w:val="46302433"/>
    <w:rsid w:val="47367762"/>
    <w:rsid w:val="48004C2D"/>
    <w:rsid w:val="4ADA22A5"/>
    <w:rsid w:val="4B2B1C05"/>
    <w:rsid w:val="4C074AC8"/>
    <w:rsid w:val="4D7F68B2"/>
    <w:rsid w:val="4E162E04"/>
    <w:rsid w:val="4E545991"/>
    <w:rsid w:val="4FFA3743"/>
    <w:rsid w:val="50164808"/>
    <w:rsid w:val="506F5273"/>
    <w:rsid w:val="518E3B9E"/>
    <w:rsid w:val="53902026"/>
    <w:rsid w:val="56D82649"/>
    <w:rsid w:val="57DF5B38"/>
    <w:rsid w:val="58C15E50"/>
    <w:rsid w:val="58EC6F6F"/>
    <w:rsid w:val="594572F4"/>
    <w:rsid w:val="5CD72D5D"/>
    <w:rsid w:val="5F3A7FC8"/>
    <w:rsid w:val="5F3C0F58"/>
    <w:rsid w:val="6017717F"/>
    <w:rsid w:val="671C39B6"/>
    <w:rsid w:val="67F07212"/>
    <w:rsid w:val="691A347C"/>
    <w:rsid w:val="711018B8"/>
    <w:rsid w:val="71463539"/>
    <w:rsid w:val="72E41CD5"/>
    <w:rsid w:val="744246C9"/>
    <w:rsid w:val="748260BD"/>
    <w:rsid w:val="74AF0F5C"/>
    <w:rsid w:val="752A2448"/>
    <w:rsid w:val="758B1ECB"/>
    <w:rsid w:val="77CE1429"/>
    <w:rsid w:val="77DA64AE"/>
    <w:rsid w:val="77DA7BF8"/>
    <w:rsid w:val="78723C1C"/>
    <w:rsid w:val="79432505"/>
    <w:rsid w:val="7961727E"/>
    <w:rsid w:val="7A330B73"/>
    <w:rsid w:val="7AF5317C"/>
    <w:rsid w:val="7BF34634"/>
    <w:rsid w:val="7CA64E0D"/>
    <w:rsid w:val="7CC0433D"/>
    <w:rsid w:val="7D87797E"/>
    <w:rsid w:val="7EB96A42"/>
    <w:rsid w:val="7F721B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9"/>
    <w:qFormat/>
    <w:uiPriority w:val="99"/>
    <w:pPr>
      <w:widowControl/>
      <w:jc w:val="left"/>
      <w:outlineLvl w:val="0"/>
    </w:pPr>
    <w:rPr>
      <w:kern w:val="0"/>
      <w:sz w:val="24"/>
      <w:szCs w:val="20"/>
      <w:lang w:val="en-GB"/>
    </w:rPr>
  </w:style>
  <w:style w:type="paragraph" w:styleId="3">
    <w:name w:val="heading 2"/>
    <w:basedOn w:val="1"/>
    <w:next w:val="1"/>
    <w:link w:val="2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unhideWhenUsed/>
    <w:qFormat/>
    <w:uiPriority w:val="99"/>
    <w:pPr>
      <w:jc w:val="left"/>
    </w:pPr>
  </w:style>
  <w:style w:type="paragraph" w:styleId="5">
    <w:name w:val="Body Text Indent 2"/>
    <w:basedOn w:val="1"/>
    <w:link w:val="27"/>
    <w:qFormat/>
    <w:uiPriority w:val="0"/>
    <w:pPr>
      <w:spacing w:line="560" w:lineRule="exact"/>
      <w:ind w:firstLine="480" w:firstLineChars="200"/>
    </w:pPr>
    <w:rPr>
      <w:rFonts w:ascii="宋体" w:hAnsi="宋体"/>
      <w:color w:val="FF0000"/>
      <w:sz w:val="24"/>
    </w:rPr>
  </w:style>
  <w:style w:type="paragraph" w:styleId="6">
    <w:name w:val="Balloon Text"/>
    <w:basedOn w:val="1"/>
    <w:link w:val="31"/>
    <w:semiHidden/>
    <w:unhideWhenUsed/>
    <w:qFormat/>
    <w:uiPriority w:val="99"/>
    <w:rPr>
      <w:sz w:val="18"/>
      <w:szCs w:val="18"/>
    </w:rPr>
  </w:style>
  <w:style w:type="paragraph" w:styleId="7">
    <w:name w:val="footer"/>
    <w:basedOn w:val="1"/>
    <w:link w:val="18"/>
    <w:unhideWhenUsed/>
    <w:qFormat/>
    <w:uiPriority w:val="99"/>
    <w:pPr>
      <w:tabs>
        <w:tab w:val="center" w:pos="4153"/>
        <w:tab w:val="right" w:pos="8306"/>
      </w:tabs>
      <w:snapToGrid w:val="0"/>
      <w:jc w:val="left"/>
    </w:pPr>
    <w:rPr>
      <w:sz w:val="18"/>
      <w:szCs w:val="18"/>
    </w:rPr>
  </w:style>
  <w:style w:type="paragraph" w:styleId="8">
    <w:name w:val="header"/>
    <w:basedOn w:val="1"/>
    <w:link w:val="17"/>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style>
  <w:style w:type="paragraph" w:styleId="10">
    <w:name w:val="toc 2"/>
    <w:basedOn w:val="1"/>
    <w:next w:val="1"/>
    <w:unhideWhenUsed/>
    <w:qFormat/>
    <w:uiPriority w:val="39"/>
    <w:pPr>
      <w:ind w:left="420" w:leftChars="200"/>
    </w:pPr>
  </w:style>
  <w:style w:type="paragraph" w:styleId="11">
    <w:name w:val="Normal (Web)"/>
    <w:basedOn w:val="1"/>
    <w:unhideWhenUsed/>
    <w:qFormat/>
    <w:uiPriority w:val="0"/>
    <w:pPr>
      <w:widowControl/>
      <w:spacing w:before="100" w:beforeAutospacing="1" w:after="100" w:afterAutospacing="1"/>
      <w:jc w:val="left"/>
    </w:pPr>
    <w:rPr>
      <w:rFonts w:ascii="Arial Unicode MS" w:hAnsi="Arial Unicode MS" w:eastAsia="Arial Unicode MS" w:cs="Arial Unicode MS"/>
      <w:kern w:val="0"/>
      <w:sz w:val="24"/>
      <w:lang w:val="en-GB" w:eastAsia="en-US"/>
    </w:rPr>
  </w:style>
  <w:style w:type="paragraph" w:styleId="12">
    <w:name w:val="annotation subject"/>
    <w:basedOn w:val="4"/>
    <w:next w:val="4"/>
    <w:link w:val="30"/>
    <w:semiHidden/>
    <w:unhideWhenUsed/>
    <w:qFormat/>
    <w:uiPriority w:val="99"/>
    <w:rPr>
      <w:b/>
      <w:bCs/>
    </w:rPr>
  </w:style>
  <w:style w:type="character" w:styleId="15">
    <w:name w:val="Hyperlink"/>
    <w:basedOn w:val="14"/>
    <w:unhideWhenUsed/>
    <w:qFormat/>
    <w:uiPriority w:val="99"/>
    <w:rPr>
      <w:color w:val="0000FF" w:themeColor="hyperlink"/>
      <w:u w:val="single"/>
      <w14:textFill>
        <w14:solidFill>
          <w14:schemeClr w14:val="hlink"/>
        </w14:solidFill>
      </w14:textFill>
    </w:rPr>
  </w:style>
  <w:style w:type="character" w:styleId="16">
    <w:name w:val="annotation reference"/>
    <w:basedOn w:val="14"/>
    <w:semiHidden/>
    <w:unhideWhenUsed/>
    <w:qFormat/>
    <w:uiPriority w:val="99"/>
    <w:rPr>
      <w:sz w:val="21"/>
      <w:szCs w:val="21"/>
    </w:rPr>
  </w:style>
  <w:style w:type="character" w:customStyle="1" w:styleId="17">
    <w:name w:val="页眉 字符"/>
    <w:basedOn w:val="14"/>
    <w:link w:val="8"/>
    <w:qFormat/>
    <w:uiPriority w:val="0"/>
    <w:rPr>
      <w:sz w:val="18"/>
      <w:szCs w:val="18"/>
    </w:rPr>
  </w:style>
  <w:style w:type="character" w:customStyle="1" w:styleId="18">
    <w:name w:val="页脚 字符"/>
    <w:basedOn w:val="14"/>
    <w:link w:val="7"/>
    <w:qFormat/>
    <w:uiPriority w:val="99"/>
    <w:rPr>
      <w:sz w:val="18"/>
      <w:szCs w:val="18"/>
    </w:rPr>
  </w:style>
  <w:style w:type="character" w:customStyle="1" w:styleId="19">
    <w:name w:val="标题 1 字符"/>
    <w:basedOn w:val="14"/>
    <w:link w:val="2"/>
    <w:qFormat/>
    <w:uiPriority w:val="99"/>
    <w:rPr>
      <w:rFonts w:ascii="Times New Roman" w:hAnsi="Times New Roman" w:eastAsia="宋体" w:cs="Times New Roman"/>
      <w:kern w:val="0"/>
      <w:sz w:val="24"/>
      <w:szCs w:val="20"/>
      <w:lang w:val="en-GB"/>
    </w:rPr>
  </w:style>
  <w:style w:type="character" w:customStyle="1" w:styleId="20">
    <w:name w:val="标题 2 Char Char Char"/>
    <w:qFormat/>
    <w:uiPriority w:val="0"/>
    <w:rPr>
      <w:rFonts w:ascii="Arial" w:hAnsi="Arial" w:eastAsia="宋体"/>
      <w:b/>
      <w:kern w:val="2"/>
      <w:sz w:val="28"/>
      <w:szCs w:val="28"/>
      <w:lang w:val="en-US" w:eastAsia="zh-CN" w:bidi="ar-SA"/>
    </w:rPr>
  </w:style>
  <w:style w:type="character" w:customStyle="1" w:styleId="21">
    <w:name w:val="标题 2 字符"/>
    <w:basedOn w:val="14"/>
    <w:link w:val="3"/>
    <w:semiHidden/>
    <w:qFormat/>
    <w:uiPriority w:val="9"/>
    <w:rPr>
      <w:rFonts w:asciiTheme="majorHAnsi" w:hAnsiTheme="majorHAnsi" w:eastAsiaTheme="majorEastAsia" w:cstheme="majorBidi"/>
      <w:b/>
      <w:bCs/>
      <w:sz w:val="32"/>
      <w:szCs w:val="32"/>
    </w:rPr>
  </w:style>
  <w:style w:type="paragraph" w:customStyle="1" w:styleId="22">
    <w:name w:val="2级"/>
    <w:basedOn w:val="1"/>
    <w:link w:val="23"/>
    <w:qFormat/>
    <w:uiPriority w:val="0"/>
    <w:pPr>
      <w:keepNext/>
      <w:keepLines/>
      <w:widowControl/>
      <w:spacing w:before="260" w:after="260"/>
      <w:jc w:val="left"/>
      <w:outlineLvl w:val="1"/>
    </w:pPr>
    <w:rPr>
      <w:rFonts w:asciiTheme="minorEastAsia" w:hAnsiTheme="minorEastAsia" w:cstheme="minorBidi"/>
      <w:b/>
      <w:bCs/>
      <w:sz w:val="24"/>
    </w:rPr>
  </w:style>
  <w:style w:type="character" w:customStyle="1" w:styleId="23">
    <w:name w:val="2级 Char"/>
    <w:basedOn w:val="14"/>
    <w:link w:val="22"/>
    <w:qFormat/>
    <w:uiPriority w:val="0"/>
    <w:rPr>
      <w:rFonts w:eastAsia="宋体" w:asciiTheme="minorEastAsia" w:hAnsiTheme="minorEastAsia"/>
      <w:b/>
      <w:bCs/>
      <w:sz w:val="24"/>
      <w:szCs w:val="24"/>
    </w:rPr>
  </w:style>
  <w:style w:type="paragraph" w:customStyle="1" w:styleId="24">
    <w:name w:val="正文XB"/>
    <w:basedOn w:val="1"/>
    <w:link w:val="25"/>
    <w:qFormat/>
    <w:uiPriority w:val="0"/>
    <w:pPr>
      <w:spacing w:line="360" w:lineRule="auto"/>
      <w:ind w:firstLine="420" w:firstLineChars="200"/>
    </w:pPr>
    <w:rPr>
      <w:rFonts w:ascii="宋体" w:hAnsi="宋体"/>
      <w:color w:val="000000"/>
      <w:szCs w:val="21"/>
    </w:rPr>
  </w:style>
  <w:style w:type="character" w:customStyle="1" w:styleId="25">
    <w:name w:val="正文XB Char"/>
    <w:basedOn w:val="14"/>
    <w:link w:val="24"/>
    <w:qFormat/>
    <w:uiPriority w:val="0"/>
    <w:rPr>
      <w:rFonts w:ascii="宋体" w:hAnsi="宋体" w:eastAsia="宋体" w:cs="Times New Roman"/>
      <w:color w:val="000000"/>
      <w:szCs w:val="21"/>
    </w:rPr>
  </w:style>
  <w:style w:type="paragraph" w:styleId="26">
    <w:name w:val="List Paragraph"/>
    <w:basedOn w:val="1"/>
    <w:unhideWhenUsed/>
    <w:qFormat/>
    <w:uiPriority w:val="99"/>
    <w:pPr>
      <w:ind w:firstLine="420" w:firstLineChars="200"/>
    </w:pPr>
  </w:style>
  <w:style w:type="character" w:customStyle="1" w:styleId="27">
    <w:name w:val="正文文本缩进 2 字符"/>
    <w:basedOn w:val="14"/>
    <w:link w:val="5"/>
    <w:qFormat/>
    <w:uiPriority w:val="0"/>
    <w:rPr>
      <w:rFonts w:ascii="宋体" w:hAnsi="宋体" w:eastAsia="宋体" w:cs="Times New Roman"/>
      <w:color w:val="FF0000"/>
      <w:sz w:val="24"/>
      <w:szCs w:val="24"/>
    </w:rPr>
  </w:style>
  <w:style w:type="paragraph" w:customStyle="1" w:styleId="28">
    <w:name w:val="Default"/>
    <w:qFormat/>
    <w:uiPriority w:val="0"/>
    <w:pPr>
      <w:widowControl w:val="0"/>
      <w:autoSpaceDE w:val="0"/>
      <w:autoSpaceDN w:val="0"/>
      <w:adjustRightInd w:val="0"/>
    </w:pPr>
    <w:rPr>
      <w:rFonts w:ascii="宋体棬　僬　." w:eastAsia="宋体棬　僬　." w:cs="宋体棬　僬　." w:hAnsiTheme="minorHAnsi"/>
      <w:color w:val="000000"/>
      <w:kern w:val="0"/>
      <w:sz w:val="24"/>
      <w:szCs w:val="24"/>
      <w:lang w:val="en-US" w:eastAsia="zh-CN" w:bidi="ar-SA"/>
    </w:rPr>
  </w:style>
  <w:style w:type="character" w:customStyle="1" w:styleId="29">
    <w:name w:val="批注文字 字符"/>
    <w:basedOn w:val="14"/>
    <w:link w:val="4"/>
    <w:qFormat/>
    <w:uiPriority w:val="99"/>
    <w:rPr>
      <w:rFonts w:ascii="Times New Roman" w:hAnsi="Times New Roman" w:eastAsia="宋体" w:cs="Times New Roman"/>
      <w:szCs w:val="24"/>
    </w:rPr>
  </w:style>
  <w:style w:type="character" w:customStyle="1" w:styleId="30">
    <w:name w:val="批注主题 字符"/>
    <w:basedOn w:val="29"/>
    <w:link w:val="12"/>
    <w:semiHidden/>
    <w:qFormat/>
    <w:uiPriority w:val="99"/>
    <w:rPr>
      <w:rFonts w:ascii="Times New Roman" w:hAnsi="Times New Roman" w:eastAsia="宋体" w:cs="Times New Roman"/>
      <w:b/>
      <w:bCs/>
      <w:szCs w:val="24"/>
    </w:rPr>
  </w:style>
  <w:style w:type="character" w:customStyle="1" w:styleId="31">
    <w:name w:val="批注框文本 字符"/>
    <w:basedOn w:val="14"/>
    <w:link w:val="6"/>
    <w:semiHidden/>
    <w:qFormat/>
    <w:uiPriority w:val="99"/>
    <w:rPr>
      <w:rFonts w:ascii="Times New Roman" w:hAnsi="Times New Roman" w:eastAsia="宋体" w:cs="Times New Roman"/>
      <w:sz w:val="18"/>
      <w:szCs w:val="18"/>
    </w:rPr>
  </w:style>
  <w:style w:type="paragraph" w:customStyle="1" w:styleId="32">
    <w:name w:val="TOC Heading"/>
    <w:basedOn w:val="2"/>
    <w:next w:val="1"/>
    <w:semiHidden/>
    <w:unhideWhenUsed/>
    <w:qFormat/>
    <w:uiPriority w:val="39"/>
    <w:pPr>
      <w:keepNext/>
      <w:keepLines/>
      <w:spacing w:before="480" w:line="276" w:lineRule="auto"/>
      <w:outlineLvl w:val="9"/>
    </w:pPr>
    <w:rPr>
      <w:rFonts w:asciiTheme="majorHAnsi" w:hAnsiTheme="majorHAnsi" w:eastAsiaTheme="majorEastAsia" w:cstheme="majorBidi"/>
      <w:b/>
      <w:bCs/>
      <w:color w:val="376092" w:themeColor="accent1" w:themeShade="BF"/>
      <w:sz w:val="28"/>
      <w:szCs w:val="28"/>
      <w:lang w:val="en-US"/>
    </w:rPr>
  </w:style>
  <w:style w:type="paragraph" w:styleId="33">
    <w:name w:val="No Spacing"/>
    <w:basedOn w:val="1"/>
    <w:link w:val="34"/>
    <w:qFormat/>
    <w:uiPriority w:val="1"/>
    <w:pPr>
      <w:widowControl/>
      <w:jc w:val="left"/>
    </w:pPr>
    <w:rPr>
      <w:rFonts w:asciiTheme="minorHAnsi" w:hAnsiTheme="minorHAnsi" w:eastAsiaTheme="minorEastAsia" w:cstheme="minorBidi"/>
      <w:szCs w:val="21"/>
    </w:rPr>
  </w:style>
  <w:style w:type="character" w:customStyle="1" w:styleId="34">
    <w:name w:val="无间隔 字符"/>
    <w:basedOn w:val="14"/>
    <w:link w:val="33"/>
    <w:qFormat/>
    <w:locked/>
    <w:uiPriority w:val="1"/>
    <w:rPr>
      <w:szCs w:val="21"/>
    </w:rPr>
  </w:style>
  <w:style w:type="paragraph" w:customStyle="1" w:styleId="35">
    <w:name w:val="Revision"/>
    <w:hidden/>
    <w:semiHidden/>
    <w:qFormat/>
    <w:uiPriority w:val="99"/>
    <w:rPr>
      <w:rFonts w:ascii="Times New Roman" w:hAnsi="Times New Roman" w:eastAsia="宋体" w:cs="Times New Roman"/>
      <w:kern w:val="2"/>
      <w:sz w:val="21"/>
      <w:szCs w:val="24"/>
      <w:lang w:val="en-US" w:eastAsia="zh-CN" w:bidi="ar-SA"/>
    </w:rPr>
  </w:style>
  <w:style w:type="paragraph" w:customStyle="1" w:styleId="36">
    <w:name w:val="无缩进备注"/>
    <w:basedOn w:val="1"/>
    <w:link w:val="37"/>
    <w:qFormat/>
    <w:uiPriority w:val="0"/>
    <w:pPr>
      <w:tabs>
        <w:tab w:val="left" w:pos="426"/>
      </w:tabs>
      <w:jc w:val="left"/>
    </w:pPr>
    <w:rPr>
      <w:rFonts w:ascii="宋体" w:hAnsi="宋体"/>
      <w:kern w:val="0"/>
      <w:szCs w:val="21"/>
    </w:rPr>
  </w:style>
  <w:style w:type="character" w:customStyle="1" w:styleId="37">
    <w:name w:val="无缩进备注 Char"/>
    <w:basedOn w:val="14"/>
    <w:link w:val="36"/>
    <w:qFormat/>
    <w:uiPriority w:val="0"/>
    <w:rPr>
      <w:rFonts w:ascii="宋体" w:hAnsi="宋体" w:eastAsia="宋体" w:cs="Times New Roman"/>
      <w:kern w:val="0"/>
      <w:szCs w:val="21"/>
    </w:rPr>
  </w:style>
  <w:style w:type="character" w:customStyle="1" w:styleId="38">
    <w:name w:val="read1"/>
    <w:basedOn w:val="14"/>
    <w:qFormat/>
    <w:uiPriority w:val="0"/>
    <w:rPr>
      <w:rFonts w:hint="default"/>
      <w:color w:val="000000"/>
      <w:spacing w:val="450"/>
      <w:u w:val="none"/>
    </w:rPr>
  </w:style>
  <w:style w:type="paragraph" w:customStyle="1" w:styleId="39">
    <w:name w:val="xl27"/>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Arial Unicode MS" w:hAnsi="Arial Unicode MS" w:eastAsia="Arial Unicode MS" w:cs="Arial Unicode MS"/>
      <w:b/>
      <w:bCs/>
      <w:color w:val="000000"/>
      <w:kern w:val="0"/>
      <w:sz w:val="12"/>
      <w:szCs w:val="12"/>
    </w:rPr>
  </w:style>
  <w:style w:type="paragraph" w:customStyle="1" w:styleId="40">
    <w:name w:val="正文XB半年报"/>
    <w:basedOn w:val="5"/>
    <w:qFormat/>
    <w:uiPriority w:val="0"/>
    <w:pPr>
      <w:spacing w:line="360" w:lineRule="auto"/>
      <w:ind w:firstLine="200"/>
    </w:pPr>
    <w:rPr>
      <w:color w:val="auto"/>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7FFCAB-F433-4161-9572-4451A507CD04}">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Pages>
  <Words>1577</Words>
  <Characters>8994</Characters>
  <Lines>74</Lines>
  <Paragraphs>21</Paragraphs>
  <TotalTime>3</TotalTime>
  <ScaleCrop>false</ScaleCrop>
  <LinksUpToDate>false</LinksUpToDate>
  <CharactersWithSpaces>10550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2021-05-19T06:43:00Z</dcterms:created>
  <dc:creator>段宏竹</dc:creator>
  <cp:lastModifiedBy>tangl</cp:lastModifiedBy>
  <dcterms:modified xsi:type="dcterms:W3CDTF">2024-10-17T08:44:46Z</dcterms:modified>
  <cp:revision>688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AD1CDFFE2C6345EA8E9CC2C548547BDC</vt:lpwstr>
  </property>
</Properties>
</file>