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26" w:rsidRDefault="00591C26">
      <w:pPr>
        <w:pStyle w:val="Default"/>
      </w:pPr>
    </w:p>
    <w:p w:rsidR="00591C26" w:rsidRDefault="00CB6052">
      <w:pPr>
        <w:pStyle w:val="Default"/>
        <w:spacing w:line="480" w:lineRule="auto"/>
        <w:jc w:val="center"/>
        <w:rPr>
          <w:b/>
          <w:szCs w:val="23"/>
        </w:rPr>
      </w:pPr>
      <w:r>
        <w:rPr>
          <w:rFonts w:hint="eastAsia"/>
          <w:b/>
          <w:szCs w:val="23"/>
        </w:rPr>
        <w:t>华富基金管理有限公司</w:t>
      </w:r>
    </w:p>
    <w:p w:rsidR="00591C26" w:rsidRDefault="00CB6052">
      <w:pPr>
        <w:pStyle w:val="Default"/>
        <w:spacing w:line="480" w:lineRule="auto"/>
        <w:jc w:val="center"/>
        <w:rPr>
          <w:b/>
          <w:szCs w:val="23"/>
        </w:rPr>
      </w:pPr>
      <w:r>
        <w:rPr>
          <w:rFonts w:hint="eastAsia"/>
          <w:b/>
          <w:szCs w:val="23"/>
        </w:rPr>
        <w:t>关于提高华富恒利债券型证券投资基金基金份额净值精度</w:t>
      </w:r>
    </w:p>
    <w:p w:rsidR="00591C26" w:rsidRDefault="00CB6052">
      <w:pPr>
        <w:pStyle w:val="Default"/>
        <w:spacing w:line="480" w:lineRule="auto"/>
        <w:jc w:val="center"/>
        <w:rPr>
          <w:rFonts w:hAnsi="Calibri"/>
          <w:b/>
          <w:szCs w:val="23"/>
        </w:rPr>
      </w:pPr>
      <w:r>
        <w:rPr>
          <w:rFonts w:hint="eastAsia"/>
          <w:b/>
          <w:szCs w:val="23"/>
        </w:rPr>
        <w:t>并修改基金合同等法律文件的公告</w:t>
      </w:r>
    </w:p>
    <w:p w:rsidR="00591C26" w:rsidRDefault="00591C26">
      <w:pPr>
        <w:pStyle w:val="Default"/>
        <w:rPr>
          <w:rFonts w:hAnsi="Calibri"/>
          <w:sz w:val="23"/>
          <w:szCs w:val="23"/>
        </w:rPr>
      </w:pPr>
    </w:p>
    <w:p w:rsidR="00591C26" w:rsidRDefault="00CB6052">
      <w:pPr>
        <w:pStyle w:val="Default"/>
        <w:numPr>
          <w:ilvl w:val="255"/>
          <w:numId w:val="0"/>
        </w:numPr>
        <w:spacing w:line="360" w:lineRule="auto"/>
        <w:ind w:firstLineChars="200" w:firstLine="420"/>
        <w:jc w:val="both"/>
        <w:rPr>
          <w:rFonts w:hAnsi="Calibri"/>
          <w:sz w:val="21"/>
          <w:szCs w:val="21"/>
        </w:rPr>
      </w:pPr>
      <w:r>
        <w:rPr>
          <w:rFonts w:hAnsi="Calibri" w:hint="eastAsia"/>
          <w:sz w:val="21"/>
          <w:szCs w:val="21"/>
        </w:rPr>
        <w:t>为了更好地满足投资者的投资需求，根据《中华人民共和国证券投资基金法》《公开募集证券投资基金运作管理办法》等法律法规的规定及基金合同的有关约定，华富基金</w:t>
      </w:r>
      <w:r>
        <w:rPr>
          <w:rFonts w:hAnsi="Calibri"/>
          <w:sz w:val="21"/>
          <w:szCs w:val="21"/>
        </w:rPr>
        <w:t>管理有限公司（以下简称</w:t>
      </w:r>
      <w:r>
        <w:rPr>
          <w:rFonts w:hAnsi="Calibri" w:hint="eastAsia"/>
          <w:sz w:val="21"/>
          <w:szCs w:val="21"/>
        </w:rPr>
        <w:t>“本公司”或“基金管理人”）经与基金托管人招商</w:t>
      </w:r>
      <w:r>
        <w:rPr>
          <w:rFonts w:hAnsi="Calibri"/>
          <w:sz w:val="21"/>
          <w:szCs w:val="21"/>
        </w:rPr>
        <w:t>银行股份有限公司</w:t>
      </w:r>
      <w:r>
        <w:rPr>
          <w:rFonts w:hAnsi="Calibri" w:hint="eastAsia"/>
          <w:sz w:val="21"/>
          <w:szCs w:val="21"/>
        </w:rPr>
        <w:t>协商一致，决定自</w:t>
      </w:r>
      <w:r>
        <w:rPr>
          <w:rFonts w:hAnsi="Calibri"/>
          <w:sz w:val="21"/>
          <w:szCs w:val="21"/>
        </w:rPr>
        <w:t>202</w:t>
      </w:r>
      <w:r>
        <w:rPr>
          <w:rFonts w:hAnsi="Calibri" w:hint="eastAsia"/>
          <w:sz w:val="21"/>
          <w:szCs w:val="21"/>
        </w:rPr>
        <w:t>4</w:t>
      </w:r>
      <w:r>
        <w:rPr>
          <w:rFonts w:hAnsi="Calibri" w:hint="eastAsia"/>
          <w:sz w:val="21"/>
          <w:szCs w:val="21"/>
        </w:rPr>
        <w:t>年</w:t>
      </w:r>
      <w:r>
        <w:rPr>
          <w:rFonts w:hAnsi="Calibri" w:hint="eastAsia"/>
          <w:sz w:val="21"/>
          <w:szCs w:val="21"/>
        </w:rPr>
        <w:t>10</w:t>
      </w:r>
      <w:r>
        <w:rPr>
          <w:rFonts w:hAnsi="Calibri" w:hint="eastAsia"/>
          <w:sz w:val="21"/>
          <w:szCs w:val="21"/>
        </w:rPr>
        <w:t>月</w:t>
      </w:r>
      <w:r>
        <w:rPr>
          <w:rFonts w:hAnsi="Calibri" w:hint="eastAsia"/>
          <w:sz w:val="21"/>
          <w:szCs w:val="21"/>
        </w:rPr>
        <w:t>21</w:t>
      </w:r>
      <w:r>
        <w:rPr>
          <w:rFonts w:hAnsi="Calibri" w:hint="eastAsia"/>
          <w:sz w:val="21"/>
          <w:szCs w:val="21"/>
        </w:rPr>
        <w:t>日起，提高华富恒利债券型证券投资基金（以下简称“本基金”）的基金份额净值精度，净值精度由保留到小数点后</w:t>
      </w:r>
      <w:r>
        <w:rPr>
          <w:rFonts w:hAnsi="Calibri" w:hint="eastAsia"/>
          <w:sz w:val="21"/>
          <w:szCs w:val="21"/>
        </w:rPr>
        <w:t>3</w:t>
      </w:r>
      <w:r>
        <w:rPr>
          <w:rFonts w:hAnsi="Calibri" w:hint="eastAsia"/>
          <w:sz w:val="21"/>
          <w:szCs w:val="21"/>
        </w:rPr>
        <w:t>位（</w:t>
      </w:r>
      <w:r>
        <w:rPr>
          <w:rFonts w:hAnsi="Calibri" w:hint="eastAsia"/>
          <w:sz w:val="21"/>
          <w:szCs w:val="21"/>
        </w:rPr>
        <w:t>0.001</w:t>
      </w:r>
      <w:r>
        <w:rPr>
          <w:rFonts w:hAnsi="Calibri" w:hint="eastAsia"/>
          <w:sz w:val="21"/>
          <w:szCs w:val="21"/>
        </w:rPr>
        <w:t>元）提高至保留到小数点后</w:t>
      </w:r>
      <w:r>
        <w:rPr>
          <w:rFonts w:hAnsi="Calibri" w:hint="eastAsia"/>
          <w:sz w:val="21"/>
          <w:szCs w:val="21"/>
        </w:rPr>
        <w:t>4</w:t>
      </w:r>
      <w:r>
        <w:rPr>
          <w:rFonts w:hAnsi="Calibri" w:hint="eastAsia"/>
          <w:sz w:val="21"/>
          <w:szCs w:val="21"/>
        </w:rPr>
        <w:t>位（</w:t>
      </w:r>
      <w:r>
        <w:rPr>
          <w:rFonts w:hAnsi="Calibri" w:hint="eastAsia"/>
          <w:sz w:val="21"/>
          <w:szCs w:val="21"/>
        </w:rPr>
        <w:t>0.0001</w:t>
      </w:r>
      <w:r>
        <w:rPr>
          <w:rFonts w:hAnsi="Calibri" w:hint="eastAsia"/>
          <w:sz w:val="21"/>
          <w:szCs w:val="21"/>
        </w:rPr>
        <w:t>元），小数点后第</w:t>
      </w:r>
      <w:r>
        <w:rPr>
          <w:rFonts w:hAnsi="Calibri" w:hint="eastAsia"/>
          <w:sz w:val="21"/>
          <w:szCs w:val="21"/>
        </w:rPr>
        <w:t>5</w:t>
      </w:r>
      <w:r>
        <w:rPr>
          <w:rFonts w:hAnsi="Calibri" w:hint="eastAsia"/>
          <w:sz w:val="21"/>
          <w:szCs w:val="21"/>
        </w:rPr>
        <w:t>位四舍五入，并对本基金基金合同、托管协议等相关法律文件做相应修改。现将具体事宜公告如下：</w:t>
      </w:r>
    </w:p>
    <w:p w:rsidR="00591C26" w:rsidRDefault="00CB6052">
      <w:pPr>
        <w:pStyle w:val="Default"/>
        <w:numPr>
          <w:ilvl w:val="255"/>
          <w:numId w:val="0"/>
        </w:numPr>
        <w:spacing w:line="360" w:lineRule="auto"/>
        <w:ind w:firstLineChars="200" w:firstLine="422"/>
        <w:jc w:val="both"/>
        <w:rPr>
          <w:rFonts w:hAnsi="Calibri"/>
          <w:b/>
          <w:bCs/>
          <w:sz w:val="21"/>
          <w:szCs w:val="21"/>
        </w:rPr>
      </w:pPr>
      <w:r>
        <w:rPr>
          <w:rFonts w:hAnsi="Calibri" w:hint="eastAsia"/>
          <w:b/>
          <w:bCs/>
          <w:sz w:val="21"/>
          <w:szCs w:val="21"/>
        </w:rPr>
        <w:t>一、提高基金份额净值精度</w:t>
      </w:r>
    </w:p>
    <w:p w:rsidR="00591C26" w:rsidRDefault="00CB6052">
      <w:pPr>
        <w:pStyle w:val="Default"/>
        <w:numPr>
          <w:ilvl w:val="255"/>
          <w:numId w:val="0"/>
        </w:numPr>
        <w:spacing w:line="360" w:lineRule="auto"/>
        <w:ind w:firstLineChars="200" w:firstLine="420"/>
        <w:jc w:val="both"/>
        <w:rPr>
          <w:rFonts w:hAnsi="Calibri"/>
          <w:sz w:val="21"/>
          <w:szCs w:val="21"/>
        </w:rPr>
      </w:pPr>
      <w:r>
        <w:rPr>
          <w:rFonts w:hAnsi="Calibri" w:hint="eastAsia"/>
          <w:sz w:val="21"/>
          <w:szCs w:val="21"/>
        </w:rPr>
        <w:t>本基金基金份额净值精度由保留到小数点后</w:t>
      </w:r>
      <w:r>
        <w:rPr>
          <w:rFonts w:hAnsi="Calibri" w:hint="eastAsia"/>
          <w:sz w:val="21"/>
          <w:szCs w:val="21"/>
        </w:rPr>
        <w:t>3</w:t>
      </w:r>
      <w:r>
        <w:rPr>
          <w:rFonts w:hAnsi="Calibri" w:hint="eastAsia"/>
          <w:sz w:val="21"/>
          <w:szCs w:val="21"/>
        </w:rPr>
        <w:t>位（</w:t>
      </w:r>
      <w:r>
        <w:rPr>
          <w:rFonts w:hAnsi="Calibri" w:hint="eastAsia"/>
          <w:sz w:val="21"/>
          <w:szCs w:val="21"/>
        </w:rPr>
        <w:t>0.001</w:t>
      </w:r>
      <w:r>
        <w:rPr>
          <w:rFonts w:hAnsi="Calibri" w:hint="eastAsia"/>
          <w:sz w:val="21"/>
          <w:szCs w:val="21"/>
        </w:rPr>
        <w:t>元）提高至保留到小数点后</w:t>
      </w:r>
      <w:r>
        <w:rPr>
          <w:rFonts w:hAnsi="Calibri" w:hint="eastAsia"/>
          <w:sz w:val="21"/>
          <w:szCs w:val="21"/>
        </w:rPr>
        <w:t>4</w:t>
      </w:r>
      <w:r>
        <w:rPr>
          <w:rFonts w:hAnsi="Calibri" w:hint="eastAsia"/>
          <w:sz w:val="21"/>
          <w:szCs w:val="21"/>
        </w:rPr>
        <w:t>位（</w:t>
      </w:r>
      <w:r>
        <w:rPr>
          <w:rFonts w:hAnsi="Calibri" w:hint="eastAsia"/>
          <w:sz w:val="21"/>
          <w:szCs w:val="21"/>
        </w:rPr>
        <w:t>0.0001</w:t>
      </w:r>
      <w:r>
        <w:rPr>
          <w:rFonts w:hAnsi="Calibri" w:hint="eastAsia"/>
          <w:sz w:val="21"/>
          <w:szCs w:val="21"/>
        </w:rPr>
        <w:t>元），小数点后第</w:t>
      </w:r>
      <w:r>
        <w:rPr>
          <w:rFonts w:hAnsi="Calibri" w:hint="eastAsia"/>
          <w:sz w:val="21"/>
          <w:szCs w:val="21"/>
        </w:rPr>
        <w:t>5</w:t>
      </w:r>
      <w:r>
        <w:rPr>
          <w:rFonts w:hAnsi="Calibri" w:hint="eastAsia"/>
          <w:sz w:val="21"/>
          <w:szCs w:val="21"/>
        </w:rPr>
        <w:t>位四舍五入。</w:t>
      </w:r>
    </w:p>
    <w:p w:rsidR="00591C26" w:rsidRDefault="00CB6052">
      <w:pPr>
        <w:pStyle w:val="Default"/>
        <w:numPr>
          <w:ilvl w:val="255"/>
          <w:numId w:val="0"/>
        </w:numPr>
        <w:spacing w:line="360" w:lineRule="auto"/>
        <w:ind w:firstLineChars="200" w:firstLine="422"/>
        <w:jc w:val="both"/>
        <w:rPr>
          <w:rFonts w:hAnsi="Calibri"/>
          <w:sz w:val="21"/>
          <w:szCs w:val="21"/>
        </w:rPr>
      </w:pPr>
      <w:r>
        <w:rPr>
          <w:rFonts w:hAnsi="Calibri" w:hint="eastAsia"/>
          <w:b/>
          <w:bCs/>
          <w:sz w:val="21"/>
          <w:szCs w:val="21"/>
        </w:rPr>
        <w:t>二、</w:t>
      </w:r>
      <w:r>
        <w:rPr>
          <w:rFonts w:hAnsi="Calibri"/>
          <w:b/>
          <w:bCs/>
          <w:sz w:val="21"/>
          <w:szCs w:val="21"/>
        </w:rPr>
        <w:t>基金合同的修改</w:t>
      </w:r>
      <w:r>
        <w:rPr>
          <w:rFonts w:hAnsi="Calibri" w:hint="eastAsia"/>
          <w:b/>
          <w:bCs/>
          <w:sz w:val="21"/>
          <w:szCs w:val="21"/>
        </w:rPr>
        <w:t>内容</w:t>
      </w:r>
    </w:p>
    <w:p w:rsidR="00591C26" w:rsidRDefault="00CB6052">
      <w:pPr>
        <w:pStyle w:val="Default"/>
        <w:spacing w:line="360" w:lineRule="auto"/>
        <w:ind w:firstLineChars="200" w:firstLine="420"/>
        <w:rPr>
          <w:rFonts w:hAnsi="Calibri"/>
          <w:sz w:val="21"/>
          <w:szCs w:val="21"/>
        </w:rPr>
      </w:pPr>
      <w:r>
        <w:rPr>
          <w:rFonts w:hAnsi="Calibri" w:hint="eastAsia"/>
          <w:sz w:val="21"/>
          <w:szCs w:val="21"/>
        </w:rPr>
        <w:t>本基金基金合同的修订对本基金原有基金份额持有人的利益无实质性不利影</w:t>
      </w:r>
      <w:r>
        <w:rPr>
          <w:rFonts w:hAnsi="Calibri" w:hint="eastAsia"/>
          <w:sz w:val="21"/>
          <w:szCs w:val="21"/>
        </w:rPr>
        <w:t>响，根据基金合同的约定可由基金管理人和基金托管人协商后修改，无需召开基金份额持有人大会。本公司已就修订内容履行了规定的程序，符合相关法律法规及基金合同的规定。本基金</w:t>
      </w:r>
      <w:r>
        <w:rPr>
          <w:rFonts w:hAnsi="Calibri"/>
          <w:sz w:val="21"/>
          <w:szCs w:val="21"/>
        </w:rPr>
        <w:t>基金合同的修改详见附件。</w:t>
      </w:r>
    </w:p>
    <w:p w:rsidR="00591C26" w:rsidRDefault="00CB6052">
      <w:pPr>
        <w:pStyle w:val="Default"/>
        <w:ind w:firstLineChars="200" w:firstLine="422"/>
        <w:rPr>
          <w:rFonts w:hAnsi="Calibri"/>
          <w:b/>
          <w:sz w:val="21"/>
          <w:szCs w:val="21"/>
        </w:rPr>
      </w:pPr>
      <w:r>
        <w:rPr>
          <w:rFonts w:hAnsi="Calibri" w:hint="eastAsia"/>
          <w:b/>
          <w:sz w:val="21"/>
          <w:szCs w:val="21"/>
        </w:rPr>
        <w:t>三、重要提示</w:t>
      </w:r>
    </w:p>
    <w:p w:rsidR="00591C26" w:rsidRDefault="00CB6052">
      <w:pPr>
        <w:pStyle w:val="Default"/>
        <w:spacing w:line="360" w:lineRule="auto"/>
        <w:ind w:firstLineChars="200" w:firstLine="420"/>
        <w:rPr>
          <w:rFonts w:hAnsi="Calibri"/>
          <w:sz w:val="21"/>
          <w:szCs w:val="21"/>
        </w:rPr>
      </w:pPr>
      <w:r>
        <w:rPr>
          <w:rFonts w:hAnsi="Calibri"/>
          <w:sz w:val="21"/>
          <w:szCs w:val="21"/>
        </w:rPr>
        <w:t>1</w:t>
      </w:r>
      <w:r>
        <w:rPr>
          <w:rFonts w:hAnsi="Calibri" w:hint="eastAsia"/>
          <w:sz w:val="21"/>
          <w:szCs w:val="21"/>
        </w:rPr>
        <w:t>、本公司将根据修改后的基金合同对托管协议及招募说明书进行相应的修改和更新。修改后的基金合同、托管协议自</w:t>
      </w:r>
      <w:r>
        <w:rPr>
          <w:rFonts w:hAnsi="Calibri"/>
          <w:sz w:val="21"/>
          <w:szCs w:val="21"/>
        </w:rPr>
        <w:t>202</w:t>
      </w:r>
      <w:r>
        <w:rPr>
          <w:rFonts w:hAnsi="Calibri" w:hint="eastAsia"/>
          <w:sz w:val="21"/>
          <w:szCs w:val="21"/>
        </w:rPr>
        <w:t>4</w:t>
      </w:r>
      <w:r>
        <w:rPr>
          <w:rFonts w:hAnsi="Calibri" w:hint="eastAsia"/>
          <w:sz w:val="21"/>
          <w:szCs w:val="21"/>
        </w:rPr>
        <w:t>年</w:t>
      </w:r>
      <w:r>
        <w:rPr>
          <w:rFonts w:hAnsi="Calibri" w:hint="eastAsia"/>
          <w:sz w:val="21"/>
          <w:szCs w:val="21"/>
        </w:rPr>
        <w:t>10</w:t>
      </w:r>
      <w:r>
        <w:rPr>
          <w:rFonts w:hAnsi="Calibri" w:hint="eastAsia"/>
          <w:sz w:val="21"/>
          <w:szCs w:val="21"/>
        </w:rPr>
        <w:t>月</w:t>
      </w:r>
      <w:r>
        <w:rPr>
          <w:rFonts w:hAnsi="Calibri" w:hint="eastAsia"/>
          <w:sz w:val="21"/>
          <w:szCs w:val="21"/>
        </w:rPr>
        <w:t>21</w:t>
      </w:r>
      <w:bookmarkStart w:id="0" w:name="_GoBack"/>
      <w:bookmarkEnd w:id="0"/>
      <w:r>
        <w:rPr>
          <w:rFonts w:hAnsi="Calibri" w:hint="eastAsia"/>
          <w:sz w:val="21"/>
          <w:szCs w:val="21"/>
        </w:rPr>
        <w:t>日起生效。</w:t>
      </w:r>
    </w:p>
    <w:p w:rsidR="00591C26" w:rsidRDefault="00CB6052">
      <w:pPr>
        <w:pStyle w:val="Default"/>
        <w:spacing w:line="360" w:lineRule="auto"/>
        <w:ind w:firstLineChars="200" w:firstLine="420"/>
        <w:jc w:val="both"/>
        <w:rPr>
          <w:rFonts w:hAnsi="Calibri"/>
          <w:sz w:val="21"/>
          <w:szCs w:val="21"/>
        </w:rPr>
      </w:pPr>
      <w:r>
        <w:rPr>
          <w:rFonts w:hAnsi="Calibri"/>
          <w:sz w:val="21"/>
          <w:szCs w:val="21"/>
        </w:rPr>
        <w:t>2</w:t>
      </w:r>
      <w:r>
        <w:rPr>
          <w:rFonts w:hAnsi="Calibri" w:hint="eastAsia"/>
          <w:sz w:val="21"/>
          <w:szCs w:val="21"/>
        </w:rPr>
        <w:t>、本公告仅对本基金提高基金份额净值精度的有关事项予以说明。投资人欲了解本基金的详细情况，请仔细阅读刊登于本公司网站（</w:t>
      </w:r>
      <w:r>
        <w:rPr>
          <w:rFonts w:hAnsi="Calibri" w:hint="eastAsia"/>
          <w:sz w:val="21"/>
          <w:szCs w:val="21"/>
        </w:rPr>
        <w:t>www.hffund.com</w:t>
      </w:r>
      <w:r>
        <w:rPr>
          <w:rFonts w:hAnsi="Calibri" w:hint="eastAsia"/>
          <w:sz w:val="21"/>
          <w:szCs w:val="21"/>
        </w:rPr>
        <w:t>）和中国证监会基金电子披露</w:t>
      </w:r>
      <w:r>
        <w:rPr>
          <w:rFonts w:hAnsi="Calibri" w:hint="eastAsia"/>
          <w:sz w:val="21"/>
          <w:szCs w:val="21"/>
        </w:rPr>
        <w:t>网站（</w:t>
      </w:r>
      <w:r>
        <w:rPr>
          <w:rFonts w:hAnsi="Calibri" w:hint="eastAsia"/>
          <w:sz w:val="21"/>
          <w:szCs w:val="21"/>
        </w:rPr>
        <w:t>http://eid.csrc.gov.cn/fund</w:t>
      </w:r>
      <w:r>
        <w:rPr>
          <w:rFonts w:hAnsi="Calibri" w:hint="eastAsia"/>
          <w:sz w:val="21"/>
          <w:szCs w:val="21"/>
        </w:rPr>
        <w:t>）的基金合同、招募说明书等文件及其更新，以及相关业务公告。</w:t>
      </w:r>
    </w:p>
    <w:p w:rsidR="00591C26" w:rsidRDefault="00CB6052">
      <w:pPr>
        <w:pStyle w:val="Default"/>
        <w:spacing w:line="360" w:lineRule="auto"/>
        <w:ind w:firstLineChars="200" w:firstLine="420"/>
        <w:rPr>
          <w:rFonts w:hAnsi="Calibri"/>
          <w:szCs w:val="21"/>
        </w:rPr>
      </w:pPr>
      <w:r>
        <w:rPr>
          <w:rFonts w:hAnsi="Calibri"/>
          <w:sz w:val="21"/>
          <w:szCs w:val="21"/>
        </w:rPr>
        <w:t>3</w:t>
      </w:r>
      <w:r>
        <w:rPr>
          <w:rFonts w:hAnsi="Calibri" w:hint="eastAsia"/>
          <w:sz w:val="21"/>
          <w:szCs w:val="21"/>
        </w:rPr>
        <w:t>、投资者可以通过以下途径了解或咨询有关事宜：</w:t>
      </w:r>
    </w:p>
    <w:p w:rsidR="00591C26" w:rsidRDefault="00CB6052">
      <w:pPr>
        <w:pStyle w:val="Default"/>
        <w:spacing w:line="360" w:lineRule="auto"/>
        <w:ind w:firstLineChars="200" w:firstLine="420"/>
        <w:rPr>
          <w:rFonts w:hAnsi="Calibri"/>
          <w:szCs w:val="21"/>
        </w:rPr>
      </w:pPr>
      <w:r>
        <w:rPr>
          <w:rFonts w:hAnsi="Calibri" w:hint="eastAsia"/>
          <w:sz w:val="21"/>
          <w:szCs w:val="21"/>
        </w:rPr>
        <w:t>（</w:t>
      </w:r>
      <w:r>
        <w:rPr>
          <w:rFonts w:hAnsi="Calibri" w:hint="eastAsia"/>
          <w:sz w:val="21"/>
          <w:szCs w:val="21"/>
        </w:rPr>
        <w:t>1</w:t>
      </w:r>
      <w:r>
        <w:rPr>
          <w:rFonts w:hAnsi="Calibri" w:hint="eastAsia"/>
          <w:sz w:val="21"/>
          <w:szCs w:val="21"/>
        </w:rPr>
        <w:t>）本公司客户服务热线：</w:t>
      </w:r>
      <w:r>
        <w:rPr>
          <w:rFonts w:hAnsi="Calibri" w:hint="eastAsia"/>
          <w:sz w:val="21"/>
          <w:szCs w:val="21"/>
        </w:rPr>
        <w:t>400</w:t>
      </w:r>
      <w:r>
        <w:rPr>
          <w:rFonts w:hAnsi="Calibri" w:hint="eastAsia"/>
          <w:sz w:val="21"/>
          <w:szCs w:val="21"/>
        </w:rPr>
        <w:t>－</w:t>
      </w:r>
      <w:r>
        <w:rPr>
          <w:rFonts w:hAnsi="Calibri" w:hint="eastAsia"/>
          <w:sz w:val="21"/>
          <w:szCs w:val="21"/>
        </w:rPr>
        <w:t>700</w:t>
      </w:r>
      <w:r>
        <w:rPr>
          <w:rFonts w:hAnsi="Calibri" w:hint="eastAsia"/>
          <w:sz w:val="21"/>
          <w:szCs w:val="21"/>
        </w:rPr>
        <w:t>－</w:t>
      </w:r>
      <w:r>
        <w:rPr>
          <w:rFonts w:hAnsi="Calibri" w:hint="eastAsia"/>
          <w:sz w:val="21"/>
          <w:szCs w:val="21"/>
        </w:rPr>
        <w:t>8001</w:t>
      </w:r>
      <w:r>
        <w:rPr>
          <w:rFonts w:hAnsi="Calibri" w:hint="eastAsia"/>
          <w:sz w:val="21"/>
          <w:szCs w:val="21"/>
        </w:rPr>
        <w:t>；</w:t>
      </w:r>
    </w:p>
    <w:p w:rsidR="00591C26" w:rsidRDefault="00CB6052">
      <w:pPr>
        <w:pStyle w:val="Default"/>
        <w:spacing w:line="360" w:lineRule="auto"/>
        <w:ind w:firstLineChars="200" w:firstLine="420"/>
        <w:rPr>
          <w:rFonts w:hAnsi="Calibri"/>
          <w:szCs w:val="21"/>
        </w:rPr>
      </w:pPr>
      <w:r>
        <w:rPr>
          <w:rFonts w:hAnsi="Calibri" w:hint="eastAsia"/>
          <w:sz w:val="21"/>
          <w:szCs w:val="21"/>
        </w:rPr>
        <w:t>（</w:t>
      </w:r>
      <w:r>
        <w:rPr>
          <w:rFonts w:hAnsi="Calibri" w:hint="eastAsia"/>
          <w:sz w:val="21"/>
          <w:szCs w:val="21"/>
        </w:rPr>
        <w:t>2</w:t>
      </w:r>
      <w:r>
        <w:rPr>
          <w:rFonts w:hAnsi="Calibri" w:hint="eastAsia"/>
          <w:sz w:val="21"/>
          <w:szCs w:val="21"/>
        </w:rPr>
        <w:t>）本公司网址：</w:t>
      </w:r>
      <w:r>
        <w:rPr>
          <w:rFonts w:hAnsi="Calibri" w:hint="eastAsia"/>
          <w:sz w:val="21"/>
          <w:szCs w:val="21"/>
        </w:rPr>
        <w:t>www.hffund.com</w:t>
      </w:r>
      <w:r>
        <w:rPr>
          <w:rFonts w:hAnsi="Calibri" w:hint="eastAsia"/>
          <w:sz w:val="21"/>
          <w:szCs w:val="21"/>
        </w:rPr>
        <w:t>。</w:t>
      </w:r>
    </w:p>
    <w:p w:rsidR="00591C26" w:rsidRDefault="00591C26">
      <w:pPr>
        <w:pStyle w:val="Default"/>
        <w:spacing w:line="360" w:lineRule="auto"/>
        <w:ind w:firstLineChars="200" w:firstLine="480"/>
        <w:rPr>
          <w:rFonts w:hAnsi="Calibri"/>
          <w:szCs w:val="21"/>
        </w:rPr>
      </w:pPr>
    </w:p>
    <w:p w:rsidR="00591C26" w:rsidRDefault="00CB6052">
      <w:pPr>
        <w:pStyle w:val="Default"/>
        <w:spacing w:line="360" w:lineRule="auto"/>
        <w:ind w:firstLineChars="200" w:firstLine="420"/>
        <w:rPr>
          <w:rFonts w:hAnsi="Calibri"/>
          <w:sz w:val="21"/>
          <w:szCs w:val="21"/>
        </w:rPr>
      </w:pPr>
      <w:r>
        <w:rPr>
          <w:rFonts w:hAnsi="Calibri" w:hint="eastAsia"/>
          <w:sz w:val="21"/>
          <w:szCs w:val="21"/>
        </w:rPr>
        <w:t>风险提示：</w:t>
      </w:r>
    </w:p>
    <w:p w:rsidR="00591C26" w:rsidRDefault="00CB6052">
      <w:pPr>
        <w:pStyle w:val="Default"/>
        <w:spacing w:line="360" w:lineRule="auto"/>
        <w:ind w:firstLineChars="200" w:firstLine="420"/>
        <w:rPr>
          <w:rFonts w:hAnsi="Calibri"/>
          <w:sz w:val="21"/>
          <w:szCs w:val="21"/>
        </w:rPr>
      </w:pPr>
      <w:r>
        <w:rPr>
          <w:rFonts w:hAnsi="Calibri" w:hint="eastAsia"/>
          <w:sz w:val="21"/>
          <w:szCs w:val="21"/>
        </w:rPr>
        <w:t>本基金管理人承诺以恪尽职守、诚实信用、谨慎勤勉的原则管理和运用基金资产，但不保证本基金一定盈利，也不保证最低收益。基金管理人管理的其他基金的业绩并不构成对本基金业绩表现的保证。投资者应当认真阅读基金合同、基金招募说明书、基金产品资料概要等信息披露文件，自主判断基金的投资价值，自主做出投资决策，自行承担投资风险。</w:t>
      </w:r>
    </w:p>
    <w:p w:rsidR="00591C26" w:rsidRDefault="00591C26">
      <w:pPr>
        <w:pStyle w:val="Default"/>
        <w:spacing w:line="360" w:lineRule="auto"/>
        <w:ind w:firstLineChars="200" w:firstLine="420"/>
        <w:rPr>
          <w:rFonts w:hAnsi="Calibri"/>
          <w:sz w:val="21"/>
          <w:szCs w:val="21"/>
        </w:rPr>
      </w:pPr>
    </w:p>
    <w:p w:rsidR="00591C26" w:rsidRDefault="00CB6052">
      <w:pPr>
        <w:pStyle w:val="Default"/>
        <w:spacing w:line="360" w:lineRule="auto"/>
        <w:ind w:firstLineChars="200" w:firstLine="420"/>
        <w:rPr>
          <w:rFonts w:hAnsi="Calibri"/>
          <w:szCs w:val="21"/>
        </w:rPr>
      </w:pPr>
      <w:r>
        <w:rPr>
          <w:rFonts w:hAnsi="Calibri" w:hint="eastAsia"/>
          <w:sz w:val="21"/>
          <w:szCs w:val="21"/>
        </w:rPr>
        <w:t>特此公告。</w:t>
      </w:r>
    </w:p>
    <w:p w:rsidR="00591C26" w:rsidRDefault="00591C26">
      <w:pPr>
        <w:spacing w:line="360" w:lineRule="auto"/>
      </w:pPr>
    </w:p>
    <w:p w:rsidR="00591C26" w:rsidRDefault="00591C26">
      <w:pPr>
        <w:spacing w:line="360" w:lineRule="auto"/>
      </w:pPr>
    </w:p>
    <w:p w:rsidR="00591C26" w:rsidRDefault="00CB6052">
      <w:pPr>
        <w:spacing w:line="360" w:lineRule="auto"/>
        <w:jc w:val="right"/>
      </w:pPr>
      <w:r>
        <w:rPr>
          <w:rFonts w:hint="eastAsia"/>
        </w:rPr>
        <w:t>华富基金管理有限公司</w:t>
      </w:r>
    </w:p>
    <w:p w:rsidR="00591C26" w:rsidRDefault="00CB6052">
      <w:pPr>
        <w:spacing w:line="360" w:lineRule="auto"/>
        <w:ind w:right="210"/>
        <w:jc w:val="right"/>
      </w:pPr>
      <w:r>
        <w:t>202</w:t>
      </w:r>
      <w:r>
        <w:rPr>
          <w:rFonts w:hint="eastAsia"/>
        </w:rPr>
        <w:t>4</w:t>
      </w:r>
      <w:r>
        <w:rPr>
          <w:rFonts w:hint="eastAsia"/>
        </w:rPr>
        <w:t>年</w:t>
      </w:r>
      <w:r>
        <w:rPr>
          <w:rFonts w:hint="eastAsia"/>
        </w:rPr>
        <w:t>10</w:t>
      </w:r>
      <w:r>
        <w:rPr>
          <w:rFonts w:hint="eastAsia"/>
        </w:rPr>
        <w:t>月</w:t>
      </w:r>
      <w:r>
        <w:rPr>
          <w:rFonts w:hint="eastAsia"/>
        </w:rPr>
        <w:t>18</w:t>
      </w:r>
      <w:r>
        <w:rPr>
          <w:rFonts w:hint="eastAsia"/>
        </w:rPr>
        <w:t>日</w:t>
      </w: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591C26">
      <w:pPr>
        <w:spacing w:line="360" w:lineRule="auto"/>
        <w:jc w:val="center"/>
        <w:rPr>
          <w:b/>
          <w:sz w:val="24"/>
          <w:szCs w:val="28"/>
        </w:rPr>
      </w:pPr>
    </w:p>
    <w:p w:rsidR="00591C26" w:rsidRDefault="00CB6052">
      <w:pPr>
        <w:spacing w:line="360" w:lineRule="auto"/>
        <w:jc w:val="center"/>
        <w:rPr>
          <w:b/>
          <w:sz w:val="24"/>
          <w:szCs w:val="28"/>
        </w:rPr>
      </w:pPr>
      <w:r>
        <w:rPr>
          <w:rFonts w:hint="eastAsia"/>
          <w:b/>
          <w:sz w:val="24"/>
          <w:szCs w:val="28"/>
        </w:rPr>
        <w:lastRenderedPageBreak/>
        <w:t>附件、《华富恒利债券型证券投资基金基金合同》</w:t>
      </w:r>
    </w:p>
    <w:p w:rsidR="00591C26" w:rsidRDefault="00CB6052">
      <w:pPr>
        <w:spacing w:line="360" w:lineRule="auto"/>
        <w:jc w:val="center"/>
        <w:rPr>
          <w:b/>
          <w:sz w:val="24"/>
          <w:szCs w:val="28"/>
        </w:rPr>
      </w:pPr>
      <w:r>
        <w:rPr>
          <w:rFonts w:hint="eastAsia"/>
          <w:b/>
          <w:sz w:val="24"/>
          <w:szCs w:val="28"/>
        </w:rPr>
        <w:t>修改对照表</w:t>
      </w:r>
    </w:p>
    <w:p w:rsidR="00591C26" w:rsidRDefault="00591C26">
      <w:pPr>
        <w:spacing w:line="360" w:lineRule="auto"/>
        <w:jc w:val="left"/>
        <w:rPr>
          <w:b/>
        </w:rPr>
      </w:pPr>
    </w:p>
    <w:tbl>
      <w:tblPr>
        <w:tblStyle w:val="a8"/>
        <w:tblW w:w="10490" w:type="dxa"/>
        <w:tblInd w:w="-1026" w:type="dxa"/>
        <w:tblLook w:val="04A0"/>
      </w:tblPr>
      <w:tblGrid>
        <w:gridCol w:w="1134"/>
        <w:gridCol w:w="4678"/>
        <w:gridCol w:w="4678"/>
      </w:tblGrid>
      <w:tr w:rsidR="00591C26">
        <w:tc>
          <w:tcPr>
            <w:tcW w:w="1134" w:type="dxa"/>
          </w:tcPr>
          <w:p w:rsidR="00591C26" w:rsidRDefault="00CB6052">
            <w:pPr>
              <w:jc w:val="center"/>
              <w:rPr>
                <w:rFonts w:asciiTheme="minorEastAsia" w:hAnsiTheme="minorEastAsia"/>
                <w:b/>
                <w:bCs/>
                <w:sz w:val="20"/>
                <w:szCs w:val="20"/>
              </w:rPr>
            </w:pPr>
            <w:bookmarkStart w:id="1" w:name="_Hlk136346657"/>
            <w:r>
              <w:rPr>
                <w:rFonts w:asciiTheme="minorEastAsia" w:hAnsiTheme="minorEastAsia" w:hint="eastAsia"/>
                <w:b/>
                <w:bCs/>
                <w:sz w:val="20"/>
                <w:szCs w:val="20"/>
              </w:rPr>
              <w:t>章节</w:t>
            </w:r>
          </w:p>
        </w:tc>
        <w:tc>
          <w:tcPr>
            <w:tcW w:w="4678" w:type="dxa"/>
          </w:tcPr>
          <w:p w:rsidR="00591C26" w:rsidRDefault="00CB6052">
            <w:pPr>
              <w:jc w:val="center"/>
              <w:rPr>
                <w:rFonts w:asciiTheme="minorEastAsia" w:hAnsiTheme="minorEastAsia"/>
                <w:b/>
                <w:bCs/>
                <w:sz w:val="20"/>
                <w:szCs w:val="20"/>
              </w:rPr>
            </w:pPr>
            <w:r>
              <w:rPr>
                <w:rFonts w:asciiTheme="minorEastAsia" w:hAnsiTheme="minorEastAsia" w:hint="eastAsia"/>
                <w:b/>
                <w:bCs/>
                <w:sz w:val="20"/>
                <w:szCs w:val="20"/>
              </w:rPr>
              <w:t>原基金合同表述</w:t>
            </w:r>
          </w:p>
        </w:tc>
        <w:tc>
          <w:tcPr>
            <w:tcW w:w="4678" w:type="dxa"/>
          </w:tcPr>
          <w:p w:rsidR="00591C26" w:rsidRDefault="00CB6052">
            <w:pPr>
              <w:jc w:val="center"/>
              <w:rPr>
                <w:rFonts w:asciiTheme="minorEastAsia" w:hAnsiTheme="minorEastAsia"/>
                <w:b/>
                <w:bCs/>
                <w:sz w:val="20"/>
                <w:szCs w:val="20"/>
              </w:rPr>
            </w:pPr>
            <w:r>
              <w:rPr>
                <w:rFonts w:asciiTheme="minorEastAsia" w:hAnsiTheme="minorEastAsia" w:hint="eastAsia"/>
                <w:b/>
                <w:bCs/>
                <w:sz w:val="20"/>
                <w:szCs w:val="20"/>
              </w:rPr>
              <w:t>修改后表述</w:t>
            </w:r>
          </w:p>
        </w:tc>
      </w:tr>
      <w:tr w:rsidR="00591C26">
        <w:tc>
          <w:tcPr>
            <w:tcW w:w="1134" w:type="dxa"/>
          </w:tcPr>
          <w:p w:rsidR="00591C26" w:rsidRDefault="00CB6052">
            <w:pPr>
              <w:rPr>
                <w:rFonts w:asciiTheme="minorEastAsia" w:hAnsiTheme="minorEastAsia"/>
                <w:bCs/>
                <w:sz w:val="20"/>
                <w:szCs w:val="20"/>
              </w:rPr>
            </w:pPr>
            <w:r>
              <w:rPr>
                <w:rFonts w:asciiTheme="minorEastAsia" w:hAnsiTheme="minorEastAsia" w:hint="eastAsia"/>
                <w:bCs/>
                <w:sz w:val="20"/>
                <w:szCs w:val="20"/>
              </w:rPr>
              <w:t>第六部分</w:t>
            </w:r>
            <w:r>
              <w:rPr>
                <w:rFonts w:asciiTheme="minorEastAsia" w:hAnsiTheme="minorEastAsia" w:hint="eastAsia"/>
                <w:bCs/>
                <w:sz w:val="20"/>
                <w:szCs w:val="20"/>
              </w:rPr>
              <w:t xml:space="preserve">  </w:t>
            </w:r>
            <w:r>
              <w:rPr>
                <w:rFonts w:asciiTheme="minorEastAsia" w:hAnsiTheme="minorEastAsia" w:hint="eastAsia"/>
                <w:bCs/>
                <w:sz w:val="20"/>
                <w:szCs w:val="20"/>
              </w:rPr>
              <w:t>基金份额的申购与赎回</w:t>
            </w:r>
          </w:p>
        </w:tc>
        <w:tc>
          <w:tcPr>
            <w:tcW w:w="4678" w:type="dxa"/>
          </w:tcPr>
          <w:p w:rsidR="00591C26" w:rsidRDefault="00CB6052">
            <w:pPr>
              <w:rPr>
                <w:rFonts w:asciiTheme="minorEastAsia" w:hAnsiTheme="minorEastAsia"/>
                <w:bCs/>
                <w:sz w:val="20"/>
                <w:szCs w:val="20"/>
              </w:rPr>
            </w:pPr>
            <w:r>
              <w:rPr>
                <w:rFonts w:asciiTheme="minorEastAsia" w:hAnsiTheme="minorEastAsia" w:hint="eastAsia"/>
                <w:bCs/>
                <w:sz w:val="20"/>
                <w:szCs w:val="20"/>
              </w:rPr>
              <w:t>六、申购和赎回的价格、费用及其用途</w:t>
            </w:r>
          </w:p>
          <w:p w:rsidR="00591C26" w:rsidRDefault="00CB6052">
            <w:pP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hint="eastAsia"/>
                <w:bCs/>
                <w:sz w:val="20"/>
                <w:szCs w:val="20"/>
              </w:rPr>
              <w:t>、由于基金费用的不同，本基金</w:t>
            </w:r>
            <w:r>
              <w:rPr>
                <w:rFonts w:asciiTheme="minorEastAsia" w:hAnsiTheme="minorEastAsia" w:hint="eastAsia"/>
                <w:bCs/>
                <w:sz w:val="20"/>
                <w:szCs w:val="20"/>
              </w:rPr>
              <w:t>A</w:t>
            </w:r>
            <w:r>
              <w:rPr>
                <w:rFonts w:asciiTheme="minorEastAsia" w:hAnsiTheme="minorEastAsia" w:hint="eastAsia"/>
                <w:bCs/>
                <w:sz w:val="20"/>
                <w:szCs w:val="20"/>
              </w:rPr>
              <w:t>类基金份额和</w:t>
            </w:r>
            <w:r>
              <w:rPr>
                <w:rFonts w:asciiTheme="minorEastAsia" w:hAnsiTheme="minorEastAsia" w:hint="eastAsia"/>
                <w:bCs/>
                <w:sz w:val="20"/>
                <w:szCs w:val="20"/>
              </w:rPr>
              <w:t>C</w:t>
            </w:r>
            <w:r>
              <w:rPr>
                <w:rFonts w:asciiTheme="minorEastAsia" w:hAnsiTheme="minorEastAsia" w:hint="eastAsia"/>
                <w:bCs/>
                <w:sz w:val="20"/>
                <w:szCs w:val="20"/>
              </w:rPr>
              <w:t>类基金份额将分别计算基金份额净值。计算公式为</w:t>
            </w:r>
            <w:r>
              <w:rPr>
                <w:rFonts w:asciiTheme="minorEastAsia" w:hAnsiTheme="minorEastAsia" w:hint="eastAsia"/>
                <w:bCs/>
                <w:sz w:val="20"/>
                <w:szCs w:val="20"/>
              </w:rPr>
              <w:t>:</w:t>
            </w:r>
          </w:p>
          <w:p w:rsidR="00591C26" w:rsidRDefault="00CB6052">
            <w:pPr>
              <w:rPr>
                <w:rFonts w:asciiTheme="minorEastAsia" w:hAnsiTheme="minorEastAsia"/>
                <w:bCs/>
                <w:sz w:val="20"/>
                <w:szCs w:val="20"/>
              </w:rPr>
            </w:pPr>
            <w:r>
              <w:rPr>
                <w:rFonts w:asciiTheme="minorEastAsia" w:hAnsiTheme="minorEastAsia" w:hint="eastAsia"/>
                <w:bCs/>
                <w:sz w:val="20"/>
                <w:szCs w:val="20"/>
              </w:rPr>
              <w:t>计算日某类基金份额净值＝计算日该类基金份额的基金资产净值</w:t>
            </w:r>
            <w:r>
              <w:rPr>
                <w:rFonts w:asciiTheme="minorEastAsia" w:hAnsiTheme="minorEastAsia" w:hint="eastAsia"/>
                <w:bCs/>
                <w:sz w:val="20"/>
                <w:szCs w:val="20"/>
              </w:rPr>
              <w:t>/</w:t>
            </w:r>
            <w:r>
              <w:rPr>
                <w:rFonts w:asciiTheme="minorEastAsia" w:hAnsiTheme="minorEastAsia" w:hint="eastAsia"/>
                <w:bCs/>
                <w:sz w:val="20"/>
                <w:szCs w:val="20"/>
              </w:rPr>
              <w:t>计算日该类基金份额余额总数</w:t>
            </w:r>
          </w:p>
          <w:p w:rsidR="00591C26" w:rsidRDefault="00CB6052">
            <w:pPr>
              <w:rPr>
                <w:rFonts w:asciiTheme="minorEastAsia" w:hAnsiTheme="minorEastAsia"/>
                <w:bCs/>
                <w:sz w:val="20"/>
                <w:szCs w:val="20"/>
              </w:rPr>
            </w:pPr>
            <w:r>
              <w:rPr>
                <w:rFonts w:asciiTheme="minorEastAsia" w:hAnsiTheme="minorEastAsia" w:hint="eastAsia"/>
                <w:bCs/>
                <w:sz w:val="20"/>
                <w:szCs w:val="20"/>
              </w:rPr>
              <w:t>本基金份额净值的计算，保留到小数点后</w:t>
            </w:r>
            <w:r>
              <w:rPr>
                <w:rFonts w:asciiTheme="minorEastAsia" w:hAnsiTheme="minorEastAsia" w:hint="eastAsia"/>
                <w:bCs/>
                <w:sz w:val="20"/>
                <w:szCs w:val="20"/>
              </w:rPr>
              <w:t>3</w:t>
            </w:r>
            <w:r>
              <w:rPr>
                <w:rFonts w:asciiTheme="minorEastAsia" w:hAnsiTheme="minorEastAsia" w:hint="eastAsia"/>
                <w:bCs/>
                <w:sz w:val="20"/>
                <w:szCs w:val="20"/>
              </w:rPr>
              <w:t>位，小数点后第</w:t>
            </w:r>
            <w:r>
              <w:rPr>
                <w:rFonts w:asciiTheme="minorEastAsia" w:hAnsiTheme="minorEastAsia" w:hint="eastAsia"/>
                <w:bCs/>
                <w:sz w:val="20"/>
                <w:szCs w:val="20"/>
              </w:rPr>
              <w:t>4</w:t>
            </w:r>
            <w:r>
              <w:rPr>
                <w:rFonts w:asciiTheme="minorEastAsia" w:hAnsiTheme="minorEastAsia" w:hint="eastAsia"/>
                <w:bCs/>
                <w:sz w:val="20"/>
                <w:szCs w:val="20"/>
              </w:rPr>
              <w:t>位四舍五入，由此产生的收益或损失由基金财产承担。</w:t>
            </w:r>
            <w:r>
              <w:rPr>
                <w:rFonts w:asciiTheme="minorEastAsia" w:hAnsiTheme="minorEastAsia" w:hint="eastAsia"/>
                <w:bCs/>
                <w:sz w:val="20"/>
                <w:szCs w:val="20"/>
              </w:rPr>
              <w:t>T</w:t>
            </w:r>
            <w:r>
              <w:rPr>
                <w:rFonts w:asciiTheme="minorEastAsia" w:hAnsiTheme="minorEastAsia" w:hint="eastAsia"/>
                <w:bCs/>
                <w:sz w:val="20"/>
                <w:szCs w:val="20"/>
              </w:rPr>
              <w:t>日的基金份额净值在当天收市后计算，并在</w:t>
            </w:r>
            <w:r>
              <w:rPr>
                <w:rFonts w:asciiTheme="minorEastAsia" w:hAnsiTheme="minorEastAsia" w:hint="eastAsia"/>
                <w:bCs/>
                <w:sz w:val="20"/>
                <w:szCs w:val="20"/>
              </w:rPr>
              <w:t>T+1</w:t>
            </w:r>
            <w:r>
              <w:rPr>
                <w:rFonts w:asciiTheme="minorEastAsia" w:hAnsiTheme="minorEastAsia" w:hint="eastAsia"/>
                <w:bCs/>
                <w:sz w:val="20"/>
                <w:szCs w:val="20"/>
              </w:rPr>
              <w:t>日内公告。遇特殊情况，经中国证监会同意，可以适当延迟计算或公告。</w:t>
            </w:r>
          </w:p>
        </w:tc>
        <w:tc>
          <w:tcPr>
            <w:tcW w:w="4678" w:type="dxa"/>
          </w:tcPr>
          <w:p w:rsidR="00591C26" w:rsidRDefault="00CB6052">
            <w:pPr>
              <w:rPr>
                <w:rFonts w:asciiTheme="minorEastAsia" w:hAnsiTheme="minorEastAsia"/>
                <w:bCs/>
                <w:sz w:val="20"/>
                <w:szCs w:val="20"/>
              </w:rPr>
            </w:pPr>
            <w:r>
              <w:rPr>
                <w:rFonts w:asciiTheme="minorEastAsia" w:hAnsiTheme="minorEastAsia" w:hint="eastAsia"/>
                <w:bCs/>
                <w:sz w:val="20"/>
                <w:szCs w:val="20"/>
              </w:rPr>
              <w:t>六、申购和赎回的价格、费用及其用途</w:t>
            </w:r>
          </w:p>
          <w:p w:rsidR="00591C26" w:rsidRDefault="00CB6052">
            <w:pP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hint="eastAsia"/>
                <w:bCs/>
                <w:sz w:val="20"/>
                <w:szCs w:val="20"/>
              </w:rPr>
              <w:t>、由于基金</w:t>
            </w:r>
            <w:r>
              <w:rPr>
                <w:rFonts w:asciiTheme="minorEastAsia" w:hAnsiTheme="minorEastAsia" w:hint="eastAsia"/>
                <w:bCs/>
                <w:sz w:val="20"/>
                <w:szCs w:val="20"/>
              </w:rPr>
              <w:t>费用的不同，本基金</w:t>
            </w:r>
            <w:r>
              <w:rPr>
                <w:rFonts w:asciiTheme="minorEastAsia" w:hAnsiTheme="minorEastAsia" w:hint="eastAsia"/>
                <w:bCs/>
                <w:sz w:val="20"/>
                <w:szCs w:val="20"/>
              </w:rPr>
              <w:t>A</w:t>
            </w:r>
            <w:r>
              <w:rPr>
                <w:rFonts w:asciiTheme="minorEastAsia" w:hAnsiTheme="minorEastAsia" w:hint="eastAsia"/>
                <w:bCs/>
                <w:sz w:val="20"/>
                <w:szCs w:val="20"/>
              </w:rPr>
              <w:t>类基金份额和</w:t>
            </w:r>
            <w:r>
              <w:rPr>
                <w:rFonts w:asciiTheme="minorEastAsia" w:hAnsiTheme="minorEastAsia" w:hint="eastAsia"/>
                <w:bCs/>
                <w:sz w:val="20"/>
                <w:szCs w:val="20"/>
              </w:rPr>
              <w:t>C</w:t>
            </w:r>
            <w:r>
              <w:rPr>
                <w:rFonts w:asciiTheme="minorEastAsia" w:hAnsiTheme="minorEastAsia" w:hint="eastAsia"/>
                <w:bCs/>
                <w:sz w:val="20"/>
                <w:szCs w:val="20"/>
              </w:rPr>
              <w:t>类基金份额将分别计算基金份额净值。计算公式为</w:t>
            </w:r>
            <w:r>
              <w:rPr>
                <w:rFonts w:asciiTheme="minorEastAsia" w:hAnsiTheme="minorEastAsia" w:hint="eastAsia"/>
                <w:bCs/>
                <w:sz w:val="20"/>
                <w:szCs w:val="20"/>
              </w:rPr>
              <w:t>:</w:t>
            </w:r>
          </w:p>
          <w:p w:rsidR="00591C26" w:rsidRDefault="00CB6052">
            <w:pPr>
              <w:rPr>
                <w:rFonts w:asciiTheme="minorEastAsia" w:hAnsiTheme="minorEastAsia"/>
                <w:bCs/>
                <w:sz w:val="20"/>
                <w:szCs w:val="20"/>
              </w:rPr>
            </w:pPr>
            <w:r>
              <w:rPr>
                <w:rFonts w:asciiTheme="minorEastAsia" w:hAnsiTheme="minorEastAsia" w:hint="eastAsia"/>
                <w:bCs/>
                <w:sz w:val="20"/>
                <w:szCs w:val="20"/>
              </w:rPr>
              <w:t>计算日某类基金份额净值＝计算日该类基金份额的基金资产净值</w:t>
            </w:r>
            <w:r>
              <w:rPr>
                <w:rFonts w:asciiTheme="minorEastAsia" w:hAnsiTheme="minorEastAsia" w:hint="eastAsia"/>
                <w:bCs/>
                <w:sz w:val="20"/>
                <w:szCs w:val="20"/>
              </w:rPr>
              <w:t>/</w:t>
            </w:r>
            <w:r>
              <w:rPr>
                <w:rFonts w:asciiTheme="minorEastAsia" w:hAnsiTheme="minorEastAsia" w:hint="eastAsia"/>
                <w:bCs/>
                <w:sz w:val="20"/>
                <w:szCs w:val="20"/>
              </w:rPr>
              <w:t>计算日该类基金份额余额总数</w:t>
            </w:r>
          </w:p>
          <w:p w:rsidR="00591C26" w:rsidRDefault="00CB6052">
            <w:pPr>
              <w:rPr>
                <w:rFonts w:asciiTheme="minorEastAsia" w:hAnsiTheme="minorEastAsia"/>
                <w:bCs/>
                <w:sz w:val="20"/>
                <w:szCs w:val="20"/>
              </w:rPr>
            </w:pPr>
            <w:r>
              <w:rPr>
                <w:rFonts w:asciiTheme="minorEastAsia" w:hAnsiTheme="minorEastAsia" w:hint="eastAsia"/>
                <w:bCs/>
                <w:sz w:val="20"/>
                <w:szCs w:val="20"/>
              </w:rPr>
              <w:t>本基金份额净值的计算，保留到小数点后</w:t>
            </w:r>
            <w:r>
              <w:rPr>
                <w:rFonts w:asciiTheme="minorEastAsia" w:hAnsiTheme="minorEastAsia" w:hint="eastAsia"/>
                <w:b/>
                <w:sz w:val="20"/>
                <w:szCs w:val="20"/>
              </w:rPr>
              <w:t>4</w:t>
            </w:r>
            <w:r>
              <w:rPr>
                <w:rFonts w:asciiTheme="minorEastAsia" w:hAnsiTheme="minorEastAsia" w:hint="eastAsia"/>
                <w:bCs/>
                <w:sz w:val="20"/>
                <w:szCs w:val="20"/>
              </w:rPr>
              <w:t>位，小数点后第</w:t>
            </w:r>
            <w:r>
              <w:rPr>
                <w:rFonts w:asciiTheme="minorEastAsia" w:hAnsiTheme="minorEastAsia" w:hint="eastAsia"/>
                <w:b/>
                <w:sz w:val="20"/>
                <w:szCs w:val="20"/>
              </w:rPr>
              <w:t>5</w:t>
            </w:r>
            <w:r>
              <w:rPr>
                <w:rFonts w:asciiTheme="minorEastAsia" w:hAnsiTheme="minorEastAsia" w:hint="eastAsia"/>
                <w:bCs/>
                <w:sz w:val="20"/>
                <w:szCs w:val="20"/>
              </w:rPr>
              <w:t>位四舍五入，由此产生的收益或损失由基金财产承担。</w:t>
            </w:r>
            <w:r>
              <w:rPr>
                <w:rFonts w:asciiTheme="minorEastAsia" w:hAnsiTheme="minorEastAsia" w:hint="eastAsia"/>
                <w:bCs/>
                <w:sz w:val="20"/>
                <w:szCs w:val="20"/>
              </w:rPr>
              <w:t>T</w:t>
            </w:r>
            <w:r>
              <w:rPr>
                <w:rFonts w:asciiTheme="minorEastAsia" w:hAnsiTheme="minorEastAsia" w:hint="eastAsia"/>
                <w:bCs/>
                <w:sz w:val="20"/>
                <w:szCs w:val="20"/>
              </w:rPr>
              <w:t>日的基金份额净值在当天收市后计算，并在</w:t>
            </w:r>
            <w:r>
              <w:rPr>
                <w:rFonts w:asciiTheme="minorEastAsia" w:hAnsiTheme="minorEastAsia" w:hint="eastAsia"/>
                <w:bCs/>
                <w:sz w:val="20"/>
                <w:szCs w:val="20"/>
              </w:rPr>
              <w:t>T+1</w:t>
            </w:r>
            <w:r>
              <w:rPr>
                <w:rFonts w:asciiTheme="minorEastAsia" w:hAnsiTheme="minorEastAsia" w:hint="eastAsia"/>
                <w:bCs/>
                <w:sz w:val="20"/>
                <w:szCs w:val="20"/>
              </w:rPr>
              <w:t>日内公告。遇特殊情况，经中国证监会同意，可以适当延迟计算或公告。</w:t>
            </w:r>
          </w:p>
        </w:tc>
      </w:tr>
      <w:tr w:rsidR="00591C26">
        <w:trPr>
          <w:trHeight w:val="1538"/>
        </w:trPr>
        <w:tc>
          <w:tcPr>
            <w:tcW w:w="1134" w:type="dxa"/>
          </w:tcPr>
          <w:p w:rsidR="00591C26" w:rsidRDefault="00CB6052">
            <w:pPr>
              <w:rPr>
                <w:rFonts w:asciiTheme="minorEastAsia" w:hAnsiTheme="minorEastAsia"/>
                <w:bCs/>
                <w:sz w:val="20"/>
                <w:szCs w:val="20"/>
              </w:rPr>
            </w:pPr>
            <w:r>
              <w:rPr>
                <w:rFonts w:asciiTheme="minorEastAsia" w:hAnsiTheme="minorEastAsia" w:hint="eastAsia"/>
                <w:bCs/>
                <w:sz w:val="20"/>
                <w:szCs w:val="20"/>
              </w:rPr>
              <w:t>第十四部分</w:t>
            </w:r>
            <w:r>
              <w:rPr>
                <w:rFonts w:asciiTheme="minorEastAsia" w:hAnsiTheme="minorEastAsia" w:hint="eastAsia"/>
                <w:bCs/>
                <w:sz w:val="20"/>
                <w:szCs w:val="20"/>
              </w:rPr>
              <w:t xml:space="preserve"> </w:t>
            </w:r>
            <w:r>
              <w:rPr>
                <w:rFonts w:asciiTheme="minorEastAsia" w:hAnsiTheme="minorEastAsia" w:hint="eastAsia"/>
                <w:bCs/>
                <w:sz w:val="20"/>
                <w:szCs w:val="20"/>
              </w:rPr>
              <w:t>基金资产估值</w:t>
            </w:r>
          </w:p>
        </w:tc>
        <w:tc>
          <w:tcPr>
            <w:tcW w:w="4678" w:type="dxa"/>
          </w:tcPr>
          <w:p w:rsidR="00591C26" w:rsidRDefault="00CB6052">
            <w:pPr>
              <w:rPr>
                <w:rFonts w:asciiTheme="minorEastAsia" w:hAnsiTheme="minorEastAsia"/>
                <w:bCs/>
                <w:sz w:val="20"/>
                <w:szCs w:val="20"/>
              </w:rPr>
            </w:pPr>
            <w:r>
              <w:rPr>
                <w:rFonts w:asciiTheme="minorEastAsia" w:hAnsiTheme="minorEastAsia"/>
                <w:bCs/>
                <w:sz w:val="20"/>
                <w:szCs w:val="20"/>
              </w:rPr>
              <w:t>四、估值程序</w:t>
            </w:r>
          </w:p>
          <w:p w:rsidR="00591C26" w:rsidRDefault="00CB6052">
            <w:pPr>
              <w:rPr>
                <w:rFonts w:asciiTheme="minorEastAsia" w:hAnsiTheme="minorEastAsia"/>
                <w:bCs/>
                <w:sz w:val="20"/>
                <w:szCs w:val="20"/>
              </w:rPr>
            </w:pPr>
            <w:r>
              <w:rPr>
                <w:rFonts w:asciiTheme="minorEastAsia" w:hAnsiTheme="minorEastAsia"/>
                <w:bCs/>
                <w:sz w:val="20"/>
                <w:szCs w:val="20"/>
              </w:rPr>
              <w:t>1</w:t>
            </w:r>
            <w:r>
              <w:rPr>
                <w:rFonts w:asciiTheme="minorEastAsia" w:hAnsiTheme="minorEastAsia"/>
                <w:bCs/>
                <w:sz w:val="20"/>
                <w:szCs w:val="20"/>
              </w:rPr>
              <w:t>、基金份额净值是按照每个工作日闭市后，基金资产净值除以当日基金份额的余额数量计算，精确到</w:t>
            </w:r>
            <w:r>
              <w:rPr>
                <w:rFonts w:asciiTheme="minorEastAsia" w:hAnsiTheme="minorEastAsia"/>
                <w:bCs/>
                <w:sz w:val="20"/>
                <w:szCs w:val="20"/>
              </w:rPr>
              <w:t>0.001</w:t>
            </w:r>
            <w:r>
              <w:rPr>
                <w:rFonts w:asciiTheme="minorEastAsia" w:hAnsiTheme="minorEastAsia"/>
                <w:bCs/>
                <w:sz w:val="20"/>
                <w:szCs w:val="20"/>
              </w:rPr>
              <w:t>元，小数点后第</w:t>
            </w:r>
            <w:r>
              <w:rPr>
                <w:rFonts w:asciiTheme="minorEastAsia" w:hAnsiTheme="minorEastAsia"/>
                <w:bCs/>
                <w:sz w:val="20"/>
                <w:szCs w:val="20"/>
              </w:rPr>
              <w:t>4</w:t>
            </w:r>
            <w:r>
              <w:rPr>
                <w:rFonts w:asciiTheme="minorEastAsia" w:hAnsiTheme="minorEastAsia"/>
                <w:bCs/>
                <w:sz w:val="20"/>
                <w:szCs w:val="20"/>
              </w:rPr>
              <w:t>位四舍五入。国家另有规定的，从其规定。</w:t>
            </w:r>
          </w:p>
          <w:p w:rsidR="00591C26" w:rsidRDefault="00CB6052">
            <w:pPr>
              <w:rPr>
                <w:rFonts w:asciiTheme="minorEastAsia" w:hAnsiTheme="minorEastAsia"/>
                <w:bCs/>
                <w:sz w:val="20"/>
                <w:szCs w:val="20"/>
              </w:rPr>
            </w:pPr>
            <w:r>
              <w:rPr>
                <w:rFonts w:asciiTheme="minorEastAsia" w:hAnsiTheme="minorEastAsia" w:hint="eastAsia"/>
                <w:bCs/>
                <w:sz w:val="20"/>
                <w:szCs w:val="20"/>
              </w:rPr>
              <w:t>......</w:t>
            </w:r>
          </w:p>
          <w:p w:rsidR="00591C26" w:rsidRDefault="00CB6052">
            <w:pPr>
              <w:rPr>
                <w:rFonts w:asciiTheme="minorEastAsia" w:hAnsiTheme="minorEastAsia"/>
                <w:bCs/>
                <w:sz w:val="20"/>
                <w:szCs w:val="20"/>
              </w:rPr>
            </w:pPr>
            <w:r>
              <w:rPr>
                <w:rFonts w:asciiTheme="minorEastAsia" w:hAnsiTheme="minorEastAsia"/>
                <w:bCs/>
                <w:sz w:val="20"/>
                <w:szCs w:val="20"/>
              </w:rPr>
              <w:t>五、估值错误的处理</w:t>
            </w:r>
          </w:p>
          <w:p w:rsidR="00591C26" w:rsidRDefault="00CB6052">
            <w:pPr>
              <w:rPr>
                <w:rFonts w:asciiTheme="minorEastAsia" w:hAnsiTheme="minorEastAsia"/>
                <w:bCs/>
                <w:sz w:val="20"/>
                <w:szCs w:val="20"/>
              </w:rPr>
            </w:pPr>
            <w:r>
              <w:rPr>
                <w:rFonts w:asciiTheme="minorEastAsia" w:hAnsiTheme="minorEastAsia"/>
                <w:bCs/>
                <w:sz w:val="20"/>
                <w:szCs w:val="20"/>
              </w:rPr>
              <w:t>基金管理人和基金托管人将采取必要、适当、合理的措施确保基金资产估值的准确性、及时性。当基金份额净值小数点后</w:t>
            </w:r>
            <w:r>
              <w:rPr>
                <w:rFonts w:asciiTheme="minorEastAsia" w:hAnsiTheme="minorEastAsia"/>
                <w:bCs/>
                <w:sz w:val="20"/>
                <w:szCs w:val="20"/>
              </w:rPr>
              <w:t>3</w:t>
            </w:r>
            <w:r>
              <w:rPr>
                <w:rFonts w:asciiTheme="minorEastAsia" w:hAnsiTheme="minorEastAsia"/>
                <w:bCs/>
                <w:sz w:val="20"/>
                <w:szCs w:val="20"/>
              </w:rPr>
              <w:t>位以内</w:t>
            </w:r>
            <w:r>
              <w:rPr>
                <w:rFonts w:asciiTheme="minorEastAsia" w:hAnsiTheme="minorEastAsia"/>
                <w:bCs/>
                <w:sz w:val="20"/>
                <w:szCs w:val="20"/>
              </w:rPr>
              <w:t>(</w:t>
            </w:r>
            <w:r>
              <w:rPr>
                <w:rFonts w:asciiTheme="minorEastAsia" w:hAnsiTheme="minorEastAsia"/>
                <w:bCs/>
                <w:sz w:val="20"/>
                <w:szCs w:val="20"/>
              </w:rPr>
              <w:t>含第</w:t>
            </w:r>
            <w:r>
              <w:rPr>
                <w:rFonts w:asciiTheme="minorEastAsia" w:hAnsiTheme="minorEastAsia"/>
                <w:bCs/>
                <w:sz w:val="20"/>
                <w:szCs w:val="20"/>
              </w:rPr>
              <w:t>3</w:t>
            </w:r>
            <w:r>
              <w:rPr>
                <w:rFonts w:asciiTheme="minorEastAsia" w:hAnsiTheme="minorEastAsia"/>
                <w:bCs/>
                <w:sz w:val="20"/>
                <w:szCs w:val="20"/>
              </w:rPr>
              <w:t>位</w:t>
            </w:r>
            <w:r>
              <w:rPr>
                <w:rFonts w:asciiTheme="minorEastAsia" w:hAnsiTheme="minorEastAsia"/>
                <w:bCs/>
                <w:sz w:val="20"/>
                <w:szCs w:val="20"/>
              </w:rPr>
              <w:t>)</w:t>
            </w:r>
            <w:r>
              <w:rPr>
                <w:rFonts w:asciiTheme="minorEastAsia" w:hAnsiTheme="minorEastAsia"/>
                <w:bCs/>
                <w:sz w:val="20"/>
                <w:szCs w:val="20"/>
              </w:rPr>
              <w:t>发生估值错误时，视为基金份额净值错误。</w:t>
            </w:r>
          </w:p>
        </w:tc>
        <w:tc>
          <w:tcPr>
            <w:tcW w:w="4678" w:type="dxa"/>
          </w:tcPr>
          <w:p w:rsidR="00591C26" w:rsidRDefault="00CB6052">
            <w:pPr>
              <w:rPr>
                <w:rFonts w:asciiTheme="minorEastAsia" w:hAnsiTheme="minorEastAsia"/>
                <w:bCs/>
                <w:sz w:val="20"/>
                <w:szCs w:val="20"/>
              </w:rPr>
            </w:pPr>
            <w:r>
              <w:rPr>
                <w:rFonts w:asciiTheme="minorEastAsia" w:hAnsiTheme="minorEastAsia" w:hint="eastAsia"/>
                <w:bCs/>
                <w:sz w:val="20"/>
                <w:szCs w:val="20"/>
              </w:rPr>
              <w:t>四、估值程序</w:t>
            </w:r>
          </w:p>
          <w:p w:rsidR="00591C26" w:rsidRDefault="00CB6052">
            <w:pP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hint="eastAsia"/>
                <w:bCs/>
                <w:sz w:val="20"/>
                <w:szCs w:val="20"/>
              </w:rPr>
              <w:t>、基金份额净值是按照每个工作日闭市后，基金资产净值除以当日基金份额的余额数量计算，精确到</w:t>
            </w:r>
            <w:r>
              <w:rPr>
                <w:rFonts w:asciiTheme="minorEastAsia" w:hAnsiTheme="minorEastAsia" w:hint="eastAsia"/>
                <w:b/>
                <w:sz w:val="20"/>
                <w:szCs w:val="20"/>
              </w:rPr>
              <w:t>0.0001</w:t>
            </w:r>
            <w:r>
              <w:rPr>
                <w:rFonts w:asciiTheme="minorEastAsia" w:hAnsiTheme="minorEastAsia" w:hint="eastAsia"/>
                <w:bCs/>
                <w:sz w:val="20"/>
                <w:szCs w:val="20"/>
              </w:rPr>
              <w:t>元，小数点后第</w:t>
            </w:r>
            <w:r>
              <w:rPr>
                <w:rFonts w:asciiTheme="minorEastAsia" w:hAnsiTheme="minorEastAsia" w:hint="eastAsia"/>
                <w:b/>
                <w:sz w:val="20"/>
                <w:szCs w:val="20"/>
              </w:rPr>
              <w:t>5</w:t>
            </w:r>
            <w:r>
              <w:rPr>
                <w:rFonts w:asciiTheme="minorEastAsia" w:hAnsiTheme="minorEastAsia" w:hint="eastAsia"/>
                <w:bCs/>
                <w:sz w:val="20"/>
                <w:szCs w:val="20"/>
              </w:rPr>
              <w:t>位四舍五入。国家另有规定</w:t>
            </w:r>
            <w:r>
              <w:rPr>
                <w:rFonts w:asciiTheme="minorEastAsia" w:hAnsiTheme="minorEastAsia" w:hint="eastAsia"/>
                <w:bCs/>
                <w:sz w:val="20"/>
                <w:szCs w:val="20"/>
              </w:rPr>
              <w:t>的，从其规定。</w:t>
            </w:r>
          </w:p>
          <w:p w:rsidR="00591C26" w:rsidRDefault="00CB6052">
            <w:pPr>
              <w:rPr>
                <w:rFonts w:asciiTheme="minorEastAsia" w:hAnsiTheme="minorEastAsia"/>
                <w:bCs/>
                <w:sz w:val="20"/>
                <w:szCs w:val="20"/>
              </w:rPr>
            </w:pPr>
            <w:r>
              <w:rPr>
                <w:rFonts w:asciiTheme="minorEastAsia" w:hAnsiTheme="minorEastAsia" w:hint="eastAsia"/>
                <w:bCs/>
                <w:sz w:val="20"/>
                <w:szCs w:val="20"/>
              </w:rPr>
              <w:t>......</w:t>
            </w:r>
          </w:p>
          <w:p w:rsidR="00591C26" w:rsidRDefault="00CB6052">
            <w:pPr>
              <w:rPr>
                <w:rFonts w:asciiTheme="minorEastAsia" w:hAnsiTheme="minorEastAsia"/>
                <w:bCs/>
                <w:sz w:val="20"/>
                <w:szCs w:val="20"/>
              </w:rPr>
            </w:pPr>
            <w:r>
              <w:rPr>
                <w:rFonts w:asciiTheme="minorEastAsia" w:hAnsiTheme="minorEastAsia"/>
                <w:bCs/>
                <w:sz w:val="20"/>
                <w:szCs w:val="20"/>
              </w:rPr>
              <w:t>五、估值错误的处理</w:t>
            </w:r>
          </w:p>
          <w:p w:rsidR="00591C26" w:rsidRDefault="00CB6052">
            <w:pPr>
              <w:rPr>
                <w:rFonts w:asciiTheme="minorEastAsia" w:hAnsiTheme="minorEastAsia"/>
                <w:bCs/>
                <w:sz w:val="20"/>
                <w:szCs w:val="20"/>
              </w:rPr>
            </w:pPr>
            <w:r>
              <w:rPr>
                <w:rFonts w:asciiTheme="minorEastAsia" w:hAnsiTheme="minorEastAsia"/>
                <w:bCs/>
                <w:sz w:val="20"/>
                <w:szCs w:val="20"/>
              </w:rPr>
              <w:t>基金管理人和基金托管人将采取必要、适当、合理的措施确保基金资产估值的准确性、及时性。当基金份额净值小数点后</w:t>
            </w:r>
            <w:r>
              <w:rPr>
                <w:rFonts w:asciiTheme="minorEastAsia" w:hAnsiTheme="minorEastAsia"/>
                <w:b/>
                <w:sz w:val="20"/>
                <w:szCs w:val="20"/>
              </w:rPr>
              <w:t>4</w:t>
            </w:r>
            <w:r>
              <w:rPr>
                <w:rFonts w:asciiTheme="minorEastAsia" w:hAnsiTheme="minorEastAsia"/>
                <w:bCs/>
                <w:sz w:val="20"/>
                <w:szCs w:val="20"/>
              </w:rPr>
              <w:t>位以内</w:t>
            </w:r>
            <w:r>
              <w:rPr>
                <w:rFonts w:asciiTheme="minorEastAsia" w:hAnsiTheme="minorEastAsia"/>
                <w:bCs/>
                <w:sz w:val="20"/>
                <w:szCs w:val="20"/>
              </w:rPr>
              <w:t>(</w:t>
            </w:r>
            <w:r>
              <w:rPr>
                <w:rFonts w:asciiTheme="minorEastAsia" w:hAnsiTheme="minorEastAsia"/>
                <w:bCs/>
                <w:sz w:val="20"/>
                <w:szCs w:val="20"/>
              </w:rPr>
              <w:t>含第</w:t>
            </w:r>
            <w:r>
              <w:rPr>
                <w:rFonts w:asciiTheme="minorEastAsia" w:hAnsiTheme="minorEastAsia"/>
                <w:b/>
                <w:sz w:val="20"/>
                <w:szCs w:val="20"/>
              </w:rPr>
              <w:t>4</w:t>
            </w:r>
            <w:r>
              <w:rPr>
                <w:rFonts w:asciiTheme="minorEastAsia" w:hAnsiTheme="minorEastAsia"/>
                <w:bCs/>
                <w:sz w:val="20"/>
                <w:szCs w:val="20"/>
              </w:rPr>
              <w:t>位</w:t>
            </w:r>
            <w:r>
              <w:rPr>
                <w:rFonts w:asciiTheme="minorEastAsia" w:hAnsiTheme="minorEastAsia"/>
                <w:bCs/>
                <w:sz w:val="20"/>
                <w:szCs w:val="20"/>
              </w:rPr>
              <w:t>)</w:t>
            </w:r>
            <w:r>
              <w:rPr>
                <w:rFonts w:asciiTheme="minorEastAsia" w:hAnsiTheme="minorEastAsia"/>
                <w:bCs/>
                <w:sz w:val="20"/>
                <w:szCs w:val="20"/>
              </w:rPr>
              <w:t>发生估值错误时，视为基金份额净值错误。</w:t>
            </w:r>
          </w:p>
        </w:tc>
      </w:tr>
      <w:tr w:rsidR="00591C26">
        <w:trPr>
          <w:trHeight w:val="338"/>
        </w:trPr>
        <w:tc>
          <w:tcPr>
            <w:tcW w:w="10490" w:type="dxa"/>
            <w:gridSpan w:val="3"/>
          </w:tcPr>
          <w:p w:rsidR="00591C26" w:rsidRDefault="00CB6052">
            <w:pPr>
              <w:jc w:val="center"/>
              <w:rPr>
                <w:rFonts w:asciiTheme="minorEastAsia" w:hAnsiTheme="minorEastAsia"/>
                <w:bCs/>
                <w:sz w:val="20"/>
                <w:szCs w:val="20"/>
              </w:rPr>
            </w:pPr>
            <w:r>
              <w:rPr>
                <w:rFonts w:asciiTheme="minorEastAsia" w:hAnsiTheme="minorEastAsia" w:hint="eastAsia"/>
                <w:bCs/>
                <w:sz w:val="20"/>
                <w:szCs w:val="20"/>
              </w:rPr>
              <w:t>基金合同摘要根据上述修改相应更新</w:t>
            </w:r>
          </w:p>
        </w:tc>
      </w:tr>
      <w:bookmarkEnd w:id="1"/>
    </w:tbl>
    <w:p w:rsidR="00591C26" w:rsidRDefault="00591C26">
      <w:pPr>
        <w:spacing w:line="360" w:lineRule="auto"/>
        <w:jc w:val="right"/>
      </w:pPr>
    </w:p>
    <w:p w:rsidR="00591C26" w:rsidRDefault="00591C26">
      <w:pPr>
        <w:spacing w:line="360" w:lineRule="auto"/>
        <w:jc w:val="right"/>
      </w:pPr>
    </w:p>
    <w:p w:rsidR="00591C26" w:rsidRDefault="00591C26">
      <w:pPr>
        <w:spacing w:line="360" w:lineRule="auto"/>
        <w:jc w:val="right"/>
      </w:pPr>
    </w:p>
    <w:p w:rsidR="00591C26" w:rsidRDefault="00591C26">
      <w:pPr>
        <w:spacing w:line="360" w:lineRule="auto"/>
        <w:jc w:val="right"/>
      </w:pPr>
    </w:p>
    <w:sectPr w:rsidR="00591C26" w:rsidSect="00591C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WNiNDRlNmFiOTVmMjliN2M1ZDdjZDdmNGU3ODFjMTcifQ=="/>
    <w:docVar w:name="KSO_WPS_MARK_KEY" w:val="9ac35240-6e64-490d-a580-e283c8d639f0"/>
  </w:docVars>
  <w:rsids>
    <w:rsidRoot w:val="00AA1988"/>
    <w:rsid w:val="00014547"/>
    <w:rsid w:val="0001514E"/>
    <w:rsid w:val="000335E2"/>
    <w:rsid w:val="000462A5"/>
    <w:rsid w:val="00057759"/>
    <w:rsid w:val="00075F5E"/>
    <w:rsid w:val="00082F28"/>
    <w:rsid w:val="00085241"/>
    <w:rsid w:val="00087971"/>
    <w:rsid w:val="000961C3"/>
    <w:rsid w:val="000A2C90"/>
    <w:rsid w:val="000B761A"/>
    <w:rsid w:val="000C360F"/>
    <w:rsid w:val="000D6B94"/>
    <w:rsid w:val="000E6C2B"/>
    <w:rsid w:val="000E6F8E"/>
    <w:rsid w:val="000F3A0E"/>
    <w:rsid w:val="001177D0"/>
    <w:rsid w:val="00121BAC"/>
    <w:rsid w:val="001325D3"/>
    <w:rsid w:val="00133DA8"/>
    <w:rsid w:val="001403FF"/>
    <w:rsid w:val="00140D01"/>
    <w:rsid w:val="00154380"/>
    <w:rsid w:val="00156BD8"/>
    <w:rsid w:val="00156C11"/>
    <w:rsid w:val="00157443"/>
    <w:rsid w:val="00167883"/>
    <w:rsid w:val="00177B17"/>
    <w:rsid w:val="00191AC0"/>
    <w:rsid w:val="00192C85"/>
    <w:rsid w:val="001A705D"/>
    <w:rsid w:val="001B1B21"/>
    <w:rsid w:val="001D3263"/>
    <w:rsid w:val="001E51BA"/>
    <w:rsid w:val="001F20F3"/>
    <w:rsid w:val="002006E4"/>
    <w:rsid w:val="00205321"/>
    <w:rsid w:val="0021048C"/>
    <w:rsid w:val="00213E0E"/>
    <w:rsid w:val="00224CFC"/>
    <w:rsid w:val="002354AF"/>
    <w:rsid w:val="002461A0"/>
    <w:rsid w:val="002568DF"/>
    <w:rsid w:val="002665E9"/>
    <w:rsid w:val="002776EE"/>
    <w:rsid w:val="00281AE3"/>
    <w:rsid w:val="0028393F"/>
    <w:rsid w:val="00287623"/>
    <w:rsid w:val="00287D64"/>
    <w:rsid w:val="002B33FF"/>
    <w:rsid w:val="002B4309"/>
    <w:rsid w:val="002C54B3"/>
    <w:rsid w:val="002C65AD"/>
    <w:rsid w:val="002F0969"/>
    <w:rsid w:val="002F14A2"/>
    <w:rsid w:val="003013C4"/>
    <w:rsid w:val="00321D22"/>
    <w:rsid w:val="003275F9"/>
    <w:rsid w:val="00360313"/>
    <w:rsid w:val="003B5124"/>
    <w:rsid w:val="003E0320"/>
    <w:rsid w:val="003F7626"/>
    <w:rsid w:val="003F7D2C"/>
    <w:rsid w:val="00403159"/>
    <w:rsid w:val="004031E6"/>
    <w:rsid w:val="004134A9"/>
    <w:rsid w:val="0042210F"/>
    <w:rsid w:val="00424027"/>
    <w:rsid w:val="00441964"/>
    <w:rsid w:val="0045033E"/>
    <w:rsid w:val="00473A43"/>
    <w:rsid w:val="00484B57"/>
    <w:rsid w:val="004A2FC2"/>
    <w:rsid w:val="004C74CA"/>
    <w:rsid w:val="004D6070"/>
    <w:rsid w:val="005027C5"/>
    <w:rsid w:val="00504F53"/>
    <w:rsid w:val="00520B3D"/>
    <w:rsid w:val="00552AE6"/>
    <w:rsid w:val="00554225"/>
    <w:rsid w:val="0056178E"/>
    <w:rsid w:val="005674FB"/>
    <w:rsid w:val="0057300D"/>
    <w:rsid w:val="005837C7"/>
    <w:rsid w:val="00591C26"/>
    <w:rsid w:val="00594601"/>
    <w:rsid w:val="005968CF"/>
    <w:rsid w:val="005A540A"/>
    <w:rsid w:val="005C70C0"/>
    <w:rsid w:val="005D502F"/>
    <w:rsid w:val="005D6D7D"/>
    <w:rsid w:val="005E00EC"/>
    <w:rsid w:val="005E2A84"/>
    <w:rsid w:val="005F2E7A"/>
    <w:rsid w:val="00606092"/>
    <w:rsid w:val="00611CDD"/>
    <w:rsid w:val="00612B61"/>
    <w:rsid w:val="006300EF"/>
    <w:rsid w:val="0063352D"/>
    <w:rsid w:val="00647A45"/>
    <w:rsid w:val="00651A76"/>
    <w:rsid w:val="00661149"/>
    <w:rsid w:val="00665CF7"/>
    <w:rsid w:val="006672CF"/>
    <w:rsid w:val="0068533E"/>
    <w:rsid w:val="006B49E6"/>
    <w:rsid w:val="006B525F"/>
    <w:rsid w:val="006B5BA3"/>
    <w:rsid w:val="006C79D7"/>
    <w:rsid w:val="006D0B28"/>
    <w:rsid w:val="006D46B1"/>
    <w:rsid w:val="006E36CC"/>
    <w:rsid w:val="007004A6"/>
    <w:rsid w:val="00711460"/>
    <w:rsid w:val="00722EA3"/>
    <w:rsid w:val="007243C6"/>
    <w:rsid w:val="00724C86"/>
    <w:rsid w:val="00725D5D"/>
    <w:rsid w:val="0073586F"/>
    <w:rsid w:val="00753BC5"/>
    <w:rsid w:val="00796115"/>
    <w:rsid w:val="007A7105"/>
    <w:rsid w:val="007A7951"/>
    <w:rsid w:val="007B7FC5"/>
    <w:rsid w:val="007C452E"/>
    <w:rsid w:val="007D3246"/>
    <w:rsid w:val="008001F9"/>
    <w:rsid w:val="00803362"/>
    <w:rsid w:val="0080472A"/>
    <w:rsid w:val="00806F0E"/>
    <w:rsid w:val="00807732"/>
    <w:rsid w:val="008160E2"/>
    <w:rsid w:val="008215BC"/>
    <w:rsid w:val="008233E6"/>
    <w:rsid w:val="00823871"/>
    <w:rsid w:val="00826280"/>
    <w:rsid w:val="0083310A"/>
    <w:rsid w:val="00846472"/>
    <w:rsid w:val="00851AA1"/>
    <w:rsid w:val="00873D8F"/>
    <w:rsid w:val="008744F5"/>
    <w:rsid w:val="00885B23"/>
    <w:rsid w:val="0089119C"/>
    <w:rsid w:val="00891F49"/>
    <w:rsid w:val="008B3014"/>
    <w:rsid w:val="008B559C"/>
    <w:rsid w:val="008D5F07"/>
    <w:rsid w:val="00906BFE"/>
    <w:rsid w:val="0091258B"/>
    <w:rsid w:val="009131AB"/>
    <w:rsid w:val="009265E5"/>
    <w:rsid w:val="00927F99"/>
    <w:rsid w:val="00940C99"/>
    <w:rsid w:val="009423CE"/>
    <w:rsid w:val="00946707"/>
    <w:rsid w:val="00976B30"/>
    <w:rsid w:val="00976FA8"/>
    <w:rsid w:val="00987DFD"/>
    <w:rsid w:val="009A4019"/>
    <w:rsid w:val="009A77D9"/>
    <w:rsid w:val="009B1DA6"/>
    <w:rsid w:val="009B3006"/>
    <w:rsid w:val="009B3904"/>
    <w:rsid w:val="009B727C"/>
    <w:rsid w:val="009C0FE7"/>
    <w:rsid w:val="009D1B84"/>
    <w:rsid w:val="009E36CF"/>
    <w:rsid w:val="00A3201A"/>
    <w:rsid w:val="00A35273"/>
    <w:rsid w:val="00A4513B"/>
    <w:rsid w:val="00A66270"/>
    <w:rsid w:val="00AA1988"/>
    <w:rsid w:val="00AA4854"/>
    <w:rsid w:val="00AC5FDC"/>
    <w:rsid w:val="00AD03F7"/>
    <w:rsid w:val="00B14E2C"/>
    <w:rsid w:val="00B27F69"/>
    <w:rsid w:val="00B4768D"/>
    <w:rsid w:val="00B50141"/>
    <w:rsid w:val="00B74D79"/>
    <w:rsid w:val="00B80DAE"/>
    <w:rsid w:val="00B94375"/>
    <w:rsid w:val="00B96158"/>
    <w:rsid w:val="00BB3C26"/>
    <w:rsid w:val="00BB7090"/>
    <w:rsid w:val="00BC153D"/>
    <w:rsid w:val="00BC5D4D"/>
    <w:rsid w:val="00BD4598"/>
    <w:rsid w:val="00BE5171"/>
    <w:rsid w:val="00BE7200"/>
    <w:rsid w:val="00BF258B"/>
    <w:rsid w:val="00C022CF"/>
    <w:rsid w:val="00C13621"/>
    <w:rsid w:val="00C14B3B"/>
    <w:rsid w:val="00C14EE1"/>
    <w:rsid w:val="00C1600C"/>
    <w:rsid w:val="00C23577"/>
    <w:rsid w:val="00C3076D"/>
    <w:rsid w:val="00C32210"/>
    <w:rsid w:val="00C53602"/>
    <w:rsid w:val="00C63ECE"/>
    <w:rsid w:val="00C65EE1"/>
    <w:rsid w:val="00C8543C"/>
    <w:rsid w:val="00C90A04"/>
    <w:rsid w:val="00CB6052"/>
    <w:rsid w:val="00CD55BC"/>
    <w:rsid w:val="00CE1992"/>
    <w:rsid w:val="00CE3400"/>
    <w:rsid w:val="00D04D24"/>
    <w:rsid w:val="00D22E30"/>
    <w:rsid w:val="00D442A0"/>
    <w:rsid w:val="00D65827"/>
    <w:rsid w:val="00D6767A"/>
    <w:rsid w:val="00D67DB4"/>
    <w:rsid w:val="00D73757"/>
    <w:rsid w:val="00D85559"/>
    <w:rsid w:val="00D85AFF"/>
    <w:rsid w:val="00D913E2"/>
    <w:rsid w:val="00D95AB3"/>
    <w:rsid w:val="00DA06CC"/>
    <w:rsid w:val="00DA0C0B"/>
    <w:rsid w:val="00DC2B35"/>
    <w:rsid w:val="00DD06DF"/>
    <w:rsid w:val="00DD39B8"/>
    <w:rsid w:val="00DD4A50"/>
    <w:rsid w:val="00DD4F63"/>
    <w:rsid w:val="00DE5200"/>
    <w:rsid w:val="00DE740F"/>
    <w:rsid w:val="00DF52FE"/>
    <w:rsid w:val="00E04F80"/>
    <w:rsid w:val="00E065A5"/>
    <w:rsid w:val="00E33E2B"/>
    <w:rsid w:val="00E4042A"/>
    <w:rsid w:val="00E46263"/>
    <w:rsid w:val="00E50DEB"/>
    <w:rsid w:val="00E6056B"/>
    <w:rsid w:val="00E642CA"/>
    <w:rsid w:val="00E66DFF"/>
    <w:rsid w:val="00E66E6B"/>
    <w:rsid w:val="00E678CE"/>
    <w:rsid w:val="00EA2361"/>
    <w:rsid w:val="00EB6D59"/>
    <w:rsid w:val="00EC5D4C"/>
    <w:rsid w:val="00ED327C"/>
    <w:rsid w:val="00ED3343"/>
    <w:rsid w:val="00ED71AB"/>
    <w:rsid w:val="00F008B5"/>
    <w:rsid w:val="00F05889"/>
    <w:rsid w:val="00F06457"/>
    <w:rsid w:val="00F06977"/>
    <w:rsid w:val="00F24B38"/>
    <w:rsid w:val="00F418E2"/>
    <w:rsid w:val="00F9505D"/>
    <w:rsid w:val="00FB5934"/>
    <w:rsid w:val="00FC2B00"/>
    <w:rsid w:val="00FC6D15"/>
    <w:rsid w:val="00FD5322"/>
    <w:rsid w:val="00FF18C1"/>
    <w:rsid w:val="01143756"/>
    <w:rsid w:val="011B1F32"/>
    <w:rsid w:val="039307D4"/>
    <w:rsid w:val="04194CE4"/>
    <w:rsid w:val="05BD16C0"/>
    <w:rsid w:val="05DB66F5"/>
    <w:rsid w:val="06100E4B"/>
    <w:rsid w:val="06367DD0"/>
    <w:rsid w:val="0788780A"/>
    <w:rsid w:val="08446A22"/>
    <w:rsid w:val="094D4B32"/>
    <w:rsid w:val="097529BD"/>
    <w:rsid w:val="0BDB744F"/>
    <w:rsid w:val="0C3E03C0"/>
    <w:rsid w:val="0D423A4C"/>
    <w:rsid w:val="0E056A05"/>
    <w:rsid w:val="0E417312"/>
    <w:rsid w:val="0E9C5FC4"/>
    <w:rsid w:val="11D3361C"/>
    <w:rsid w:val="11D97323"/>
    <w:rsid w:val="12F16635"/>
    <w:rsid w:val="132711CC"/>
    <w:rsid w:val="1536137A"/>
    <w:rsid w:val="168F3B86"/>
    <w:rsid w:val="176048E7"/>
    <w:rsid w:val="178809B1"/>
    <w:rsid w:val="178F25B5"/>
    <w:rsid w:val="1A89360E"/>
    <w:rsid w:val="1C7906E4"/>
    <w:rsid w:val="1D50131F"/>
    <w:rsid w:val="1D8414FE"/>
    <w:rsid w:val="1F0D2F5E"/>
    <w:rsid w:val="1FB21E1D"/>
    <w:rsid w:val="20601879"/>
    <w:rsid w:val="216551DD"/>
    <w:rsid w:val="217D645B"/>
    <w:rsid w:val="21DA1AFF"/>
    <w:rsid w:val="24877049"/>
    <w:rsid w:val="255F768D"/>
    <w:rsid w:val="256E67E6"/>
    <w:rsid w:val="25895B7B"/>
    <w:rsid w:val="259D0E7A"/>
    <w:rsid w:val="263C0693"/>
    <w:rsid w:val="271144FC"/>
    <w:rsid w:val="29F21F02"/>
    <w:rsid w:val="2B424A89"/>
    <w:rsid w:val="2B674404"/>
    <w:rsid w:val="2BD10C3A"/>
    <w:rsid w:val="2C6A322E"/>
    <w:rsid w:val="2D9720D4"/>
    <w:rsid w:val="2EDF2503"/>
    <w:rsid w:val="2F2E6FE6"/>
    <w:rsid w:val="3025663B"/>
    <w:rsid w:val="303E1BCF"/>
    <w:rsid w:val="33C550E4"/>
    <w:rsid w:val="34A82F06"/>
    <w:rsid w:val="34D97471"/>
    <w:rsid w:val="358C718D"/>
    <w:rsid w:val="361E134D"/>
    <w:rsid w:val="37CE234B"/>
    <w:rsid w:val="383F28D9"/>
    <w:rsid w:val="3855581E"/>
    <w:rsid w:val="393A3157"/>
    <w:rsid w:val="39C026EF"/>
    <w:rsid w:val="3B36414B"/>
    <w:rsid w:val="3C1B5037"/>
    <w:rsid w:val="3C1E0B0E"/>
    <w:rsid w:val="3DA74382"/>
    <w:rsid w:val="3DC36C0D"/>
    <w:rsid w:val="3F4A2EA9"/>
    <w:rsid w:val="40C41559"/>
    <w:rsid w:val="416A65A4"/>
    <w:rsid w:val="42114C71"/>
    <w:rsid w:val="427D1223"/>
    <w:rsid w:val="43091001"/>
    <w:rsid w:val="43DA4C79"/>
    <w:rsid w:val="43DF5027"/>
    <w:rsid w:val="43FD725B"/>
    <w:rsid w:val="44CF6F60"/>
    <w:rsid w:val="455C4456"/>
    <w:rsid w:val="460F1D6D"/>
    <w:rsid w:val="466C1E1E"/>
    <w:rsid w:val="47152B0E"/>
    <w:rsid w:val="47543833"/>
    <w:rsid w:val="477C3317"/>
    <w:rsid w:val="486C2C02"/>
    <w:rsid w:val="49BE56DF"/>
    <w:rsid w:val="49E62FDC"/>
    <w:rsid w:val="4A3818BA"/>
    <w:rsid w:val="4C004ADA"/>
    <w:rsid w:val="4C76404F"/>
    <w:rsid w:val="4DB25015"/>
    <w:rsid w:val="4DBF4E07"/>
    <w:rsid w:val="4EC24358"/>
    <w:rsid w:val="4F085A7D"/>
    <w:rsid w:val="50E21CB3"/>
    <w:rsid w:val="50E7349C"/>
    <w:rsid w:val="510734C7"/>
    <w:rsid w:val="527F1493"/>
    <w:rsid w:val="52E76AF8"/>
    <w:rsid w:val="5302488E"/>
    <w:rsid w:val="538C7369"/>
    <w:rsid w:val="53CB2407"/>
    <w:rsid w:val="54662BFB"/>
    <w:rsid w:val="54F2448F"/>
    <w:rsid w:val="552E04B6"/>
    <w:rsid w:val="560A5357"/>
    <w:rsid w:val="56B51C18"/>
    <w:rsid w:val="57A07C22"/>
    <w:rsid w:val="57FE4E33"/>
    <w:rsid w:val="591F781C"/>
    <w:rsid w:val="59FB67AD"/>
    <w:rsid w:val="5B982B7C"/>
    <w:rsid w:val="5BAB7882"/>
    <w:rsid w:val="5E6C2155"/>
    <w:rsid w:val="5E9075AA"/>
    <w:rsid w:val="5F0C7F58"/>
    <w:rsid w:val="5FD41360"/>
    <w:rsid w:val="600532C8"/>
    <w:rsid w:val="613A0F14"/>
    <w:rsid w:val="6205717F"/>
    <w:rsid w:val="62173BF9"/>
    <w:rsid w:val="624F1172"/>
    <w:rsid w:val="639130C5"/>
    <w:rsid w:val="660B3602"/>
    <w:rsid w:val="66B81457"/>
    <w:rsid w:val="680B0619"/>
    <w:rsid w:val="68A77E0B"/>
    <w:rsid w:val="6A2B56E1"/>
    <w:rsid w:val="6A5D01E5"/>
    <w:rsid w:val="6AD47DD8"/>
    <w:rsid w:val="6BF47420"/>
    <w:rsid w:val="6C1C0317"/>
    <w:rsid w:val="6C3A74CC"/>
    <w:rsid w:val="6C3B526B"/>
    <w:rsid w:val="6CAB61F7"/>
    <w:rsid w:val="6DD92C51"/>
    <w:rsid w:val="6EBF4F8A"/>
    <w:rsid w:val="6F3D018E"/>
    <w:rsid w:val="6F6A6667"/>
    <w:rsid w:val="6FB51499"/>
    <w:rsid w:val="711D41EA"/>
    <w:rsid w:val="718C003E"/>
    <w:rsid w:val="7212120D"/>
    <w:rsid w:val="740C5415"/>
    <w:rsid w:val="769A11E2"/>
    <w:rsid w:val="7A9D07A3"/>
    <w:rsid w:val="7B3867F0"/>
    <w:rsid w:val="7D0B6CED"/>
    <w:rsid w:val="7D2F777E"/>
    <w:rsid w:val="7DB54128"/>
    <w:rsid w:val="7DEF6617"/>
    <w:rsid w:val="7EB82D87"/>
    <w:rsid w:val="7F673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C26"/>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591C26"/>
    <w:pPr>
      <w:jc w:val="left"/>
    </w:pPr>
  </w:style>
  <w:style w:type="paragraph" w:styleId="a4">
    <w:name w:val="Balloon Text"/>
    <w:basedOn w:val="a"/>
    <w:link w:val="Char0"/>
    <w:uiPriority w:val="99"/>
    <w:semiHidden/>
    <w:unhideWhenUsed/>
    <w:qFormat/>
    <w:rsid w:val="00591C26"/>
    <w:rPr>
      <w:sz w:val="18"/>
      <w:szCs w:val="18"/>
    </w:rPr>
  </w:style>
  <w:style w:type="paragraph" w:styleId="a5">
    <w:name w:val="footer"/>
    <w:basedOn w:val="a"/>
    <w:link w:val="Char1"/>
    <w:uiPriority w:val="99"/>
    <w:unhideWhenUsed/>
    <w:qFormat/>
    <w:rsid w:val="00591C2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91C2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591C26"/>
    <w:rPr>
      <w:b/>
      <w:bCs/>
    </w:rPr>
  </w:style>
  <w:style w:type="table" w:styleId="a8">
    <w:name w:val="Table Grid"/>
    <w:basedOn w:val="a1"/>
    <w:uiPriority w:val="59"/>
    <w:qFormat/>
    <w:rsid w:val="0059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591C26"/>
    <w:rPr>
      <w:color w:val="0000FF"/>
      <w:u w:val="single"/>
    </w:rPr>
  </w:style>
  <w:style w:type="character" w:styleId="aa">
    <w:name w:val="annotation reference"/>
    <w:basedOn w:val="a0"/>
    <w:uiPriority w:val="99"/>
    <w:semiHidden/>
    <w:unhideWhenUsed/>
    <w:qFormat/>
    <w:rsid w:val="00591C26"/>
    <w:rPr>
      <w:sz w:val="21"/>
      <w:szCs w:val="21"/>
    </w:rPr>
  </w:style>
  <w:style w:type="paragraph" w:customStyle="1" w:styleId="Default">
    <w:name w:val="Default"/>
    <w:qFormat/>
    <w:rsid w:val="00591C26"/>
    <w:pPr>
      <w:widowControl w:val="0"/>
      <w:autoSpaceDE w:val="0"/>
      <w:autoSpaceDN w:val="0"/>
      <w:adjustRightInd w:val="0"/>
    </w:pPr>
    <w:rPr>
      <w:rFonts w:ascii="宋体" w:eastAsia="宋体" w:hAnsiTheme="minorHAnsi" w:cs="宋体"/>
      <w:color w:val="000000"/>
      <w:sz w:val="24"/>
      <w:szCs w:val="24"/>
    </w:rPr>
  </w:style>
  <w:style w:type="character" w:customStyle="1" w:styleId="Char2">
    <w:name w:val="页眉 Char"/>
    <w:basedOn w:val="a0"/>
    <w:link w:val="a6"/>
    <w:uiPriority w:val="99"/>
    <w:qFormat/>
    <w:rsid w:val="00591C26"/>
    <w:rPr>
      <w:sz w:val="18"/>
      <w:szCs w:val="18"/>
    </w:rPr>
  </w:style>
  <w:style w:type="character" w:customStyle="1" w:styleId="Char1">
    <w:name w:val="页脚 Char"/>
    <w:basedOn w:val="a0"/>
    <w:link w:val="a5"/>
    <w:uiPriority w:val="99"/>
    <w:qFormat/>
    <w:rsid w:val="00591C26"/>
    <w:rPr>
      <w:sz w:val="18"/>
      <w:szCs w:val="18"/>
    </w:rPr>
  </w:style>
  <w:style w:type="character" w:customStyle="1" w:styleId="Char0">
    <w:name w:val="批注框文本 Char"/>
    <w:basedOn w:val="a0"/>
    <w:link w:val="a4"/>
    <w:uiPriority w:val="99"/>
    <w:semiHidden/>
    <w:qFormat/>
    <w:rsid w:val="00591C26"/>
    <w:rPr>
      <w:sz w:val="18"/>
      <w:szCs w:val="18"/>
    </w:rPr>
  </w:style>
  <w:style w:type="character" w:customStyle="1" w:styleId="Char">
    <w:name w:val="批注文字 Char"/>
    <w:basedOn w:val="a0"/>
    <w:link w:val="a3"/>
    <w:uiPriority w:val="99"/>
    <w:qFormat/>
    <w:rsid w:val="00591C26"/>
  </w:style>
  <w:style w:type="character" w:customStyle="1" w:styleId="Char3">
    <w:name w:val="批注主题 Char"/>
    <w:basedOn w:val="Char"/>
    <w:link w:val="a7"/>
    <w:uiPriority w:val="99"/>
    <w:semiHidden/>
    <w:qFormat/>
    <w:rsid w:val="00591C26"/>
    <w:rPr>
      <w:b/>
      <w:bCs/>
    </w:rPr>
  </w:style>
  <w:style w:type="paragraph" w:styleId="ab">
    <w:name w:val="List Paragraph"/>
    <w:basedOn w:val="a"/>
    <w:uiPriority w:val="34"/>
    <w:qFormat/>
    <w:rsid w:val="00591C26"/>
    <w:pPr>
      <w:ind w:firstLineChars="200" w:firstLine="420"/>
    </w:pPr>
  </w:style>
  <w:style w:type="paragraph" w:customStyle="1" w:styleId="1">
    <w:name w:val="修订1"/>
    <w:hidden/>
    <w:uiPriority w:val="99"/>
    <w:semiHidden/>
    <w:qFormat/>
    <w:rsid w:val="00591C26"/>
    <w:rPr>
      <w:rFonts w:asciiTheme="minorHAnsi" w:hAnsiTheme="minorHAnsi" w:cstheme="minorBidi"/>
      <w:kern w:val="2"/>
      <w:sz w:val="21"/>
      <w:szCs w:val="22"/>
    </w:rPr>
  </w:style>
  <w:style w:type="paragraph" w:customStyle="1" w:styleId="2">
    <w:name w:val="修订2"/>
    <w:hidden/>
    <w:uiPriority w:val="99"/>
    <w:semiHidden/>
    <w:qFormat/>
    <w:rsid w:val="00591C26"/>
    <w:rPr>
      <w:rFonts w:asciiTheme="minorHAnsi" w:hAnsiTheme="minorHAnsi" w:cstheme="minorBidi"/>
      <w:kern w:val="2"/>
      <w:sz w:val="21"/>
      <w:szCs w:val="22"/>
    </w:rPr>
  </w:style>
  <w:style w:type="paragraph" w:customStyle="1" w:styleId="3">
    <w:name w:val="修订3"/>
    <w:hidden/>
    <w:uiPriority w:val="99"/>
    <w:semiHidden/>
    <w:qFormat/>
    <w:rsid w:val="00591C26"/>
    <w:rPr>
      <w:rFonts w:asciiTheme="minorHAnsi" w:hAnsiTheme="minorHAnsi" w:cstheme="minorBidi"/>
      <w:kern w:val="2"/>
      <w:sz w:val="21"/>
      <w:szCs w:val="22"/>
    </w:rPr>
  </w:style>
  <w:style w:type="paragraph" w:customStyle="1" w:styleId="4">
    <w:name w:val="修订4"/>
    <w:hidden/>
    <w:uiPriority w:val="99"/>
    <w:semiHidden/>
    <w:qFormat/>
    <w:rsid w:val="00591C26"/>
    <w:rPr>
      <w:rFonts w:asciiTheme="minorHAnsi" w:hAnsiTheme="minorHAnsi" w:cstheme="minorBidi"/>
      <w:kern w:val="2"/>
      <w:sz w:val="21"/>
      <w:szCs w:val="22"/>
    </w:rPr>
  </w:style>
  <w:style w:type="paragraph" w:customStyle="1" w:styleId="5">
    <w:name w:val="修订5"/>
    <w:hidden/>
    <w:uiPriority w:val="99"/>
    <w:semiHidden/>
    <w:qFormat/>
    <w:rsid w:val="00591C26"/>
    <w:rPr>
      <w:rFonts w:asciiTheme="minorHAnsi" w:hAnsiTheme="minorHAnsi" w:cstheme="minorBidi"/>
      <w:kern w:val="2"/>
      <w:sz w:val="21"/>
      <w:szCs w:val="22"/>
    </w:rPr>
  </w:style>
  <w:style w:type="paragraph" w:customStyle="1" w:styleId="6">
    <w:name w:val="修订6"/>
    <w:hidden/>
    <w:uiPriority w:val="99"/>
    <w:semiHidden/>
    <w:qFormat/>
    <w:rsid w:val="00591C26"/>
    <w:rPr>
      <w:rFonts w:asciiTheme="minorHAnsi"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1663</Characters>
  <Application>Microsoft Office Word</Application>
  <DocSecurity>4</DocSecurity>
  <Lines>13</Lines>
  <Paragraphs>3</Paragraphs>
  <ScaleCrop>false</ScaleCrop>
  <Company>CNSTOCK</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孙绫</dc:creator>
  <cp:lastModifiedBy>ZHONGM</cp:lastModifiedBy>
  <cp:revision>2</cp:revision>
  <dcterms:created xsi:type="dcterms:W3CDTF">2024-10-17T16:02:00Z</dcterms:created>
  <dcterms:modified xsi:type="dcterms:W3CDTF">2024-10-17T16:02:00Z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EB47B1CB8DFA4990AAEFA6E1BBAA4DAD_13</vt:lpwstr>
  </property>
</Properties>
</file>