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E2" w:rsidRDefault="00F915E2"/>
    <w:p w:rsidR="00D354BA" w:rsidRDefault="00D354BA" w:rsidP="00D354BA">
      <w:pPr>
        <w:jc w:val="center"/>
        <w:rPr>
          <w:rFonts w:ascii="宋体" w:eastAsia="宋体" w:hAnsi="宋体"/>
          <w:b/>
          <w:sz w:val="28"/>
        </w:rPr>
      </w:pPr>
      <w:r w:rsidRPr="00D354BA">
        <w:rPr>
          <w:rFonts w:ascii="宋体" w:eastAsia="宋体" w:hAnsi="宋体" w:hint="eastAsia"/>
          <w:b/>
          <w:sz w:val="28"/>
        </w:rPr>
        <w:t>博时安盈债券型证券投资基金分红公告</w:t>
      </w:r>
    </w:p>
    <w:p w:rsidR="00D354BA" w:rsidRDefault="00D354BA" w:rsidP="00D354BA">
      <w:pPr>
        <w:jc w:val="center"/>
        <w:rPr>
          <w:rFonts w:ascii="宋体" w:eastAsia="宋体" w:hAnsi="宋体"/>
          <w:b/>
          <w:sz w:val="24"/>
        </w:rPr>
      </w:pPr>
      <w:r w:rsidRPr="00D354BA">
        <w:rPr>
          <w:rFonts w:ascii="宋体" w:eastAsia="宋体" w:hAnsi="宋体" w:hint="eastAsia"/>
          <w:b/>
          <w:sz w:val="24"/>
        </w:rPr>
        <w:t>公告送出日期：</w:t>
      </w:r>
      <w:r w:rsidRPr="00D354BA">
        <w:rPr>
          <w:rFonts w:ascii="宋体" w:eastAsia="宋体" w:hAnsi="宋体"/>
          <w:b/>
          <w:sz w:val="24"/>
        </w:rPr>
        <w:t>2024年10月17日</w:t>
      </w:r>
    </w:p>
    <w:p w:rsidR="00D354BA" w:rsidRDefault="00D354BA" w:rsidP="00D354BA">
      <w:pPr>
        <w:jc w:val="center"/>
        <w:rPr>
          <w:rFonts w:ascii="宋体" w:eastAsia="宋体" w:hAnsi="宋体"/>
          <w:b/>
          <w:sz w:val="24"/>
        </w:rPr>
      </w:pPr>
    </w:p>
    <w:p w:rsidR="00D354BA" w:rsidRDefault="00D354BA" w:rsidP="00D354BA">
      <w:pPr>
        <w:pStyle w:val="3"/>
        <w:rPr>
          <w:rFonts w:ascii="宋体" w:eastAsia="宋体" w:hAnsi="宋体"/>
          <w:sz w:val="21"/>
        </w:rPr>
      </w:pPr>
      <w:r>
        <w:rPr>
          <w:rFonts w:ascii="宋体" w:eastAsia="宋体" w:hAnsi="宋体"/>
          <w:sz w:val="21"/>
        </w:rPr>
        <w:t>1 公告基本信息</w:t>
      </w:r>
    </w:p>
    <w:tbl>
      <w:tblPr>
        <w:tblStyle w:val="a3"/>
        <w:tblW w:w="5000" w:type="pct"/>
        <w:tblLook w:val="04A0"/>
      </w:tblPr>
      <w:tblGrid>
        <w:gridCol w:w="1420"/>
        <w:gridCol w:w="1420"/>
        <w:gridCol w:w="1894"/>
        <w:gridCol w:w="1894"/>
        <w:gridCol w:w="1894"/>
      </w:tblGrid>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基金名称</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博时安盈债券型证券投资基金</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基金简称</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博时安盈债券</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基金主代码</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rPr>
              <w:t>000084</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基金合同生效日</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rPr>
              <w:t>2013年4月23日</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基金管理人名称</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博时基金管理有限公司</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基金托管人名称</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中国工商银行股份有限公司</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公告依据</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《中华人民共和国证券投资基金法》、《公开募集证券投资基金运作管理办法》、《博时安盈债券型证券投资基金基金合同》、《博时安盈债券型证券投资基金招募说明书》等</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收益分配基准日</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rPr>
              <w:t>2024年10月11日</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下属基金份额的基金简称</w:t>
            </w:r>
          </w:p>
        </w:tc>
        <w:tc>
          <w:tcPr>
            <w:tcW w:w="1894" w:type="dxa"/>
            <w:vAlign w:val="center"/>
          </w:tcPr>
          <w:p w:rsidR="00D354BA" w:rsidRPr="00D354BA" w:rsidRDefault="00D354BA" w:rsidP="00D354BA">
            <w:pPr>
              <w:rPr>
                <w:rFonts w:ascii="宋体" w:eastAsia="宋体" w:hAnsi="宋体"/>
              </w:rPr>
            </w:pPr>
            <w:r>
              <w:rPr>
                <w:rFonts w:ascii="宋体" w:eastAsia="宋体" w:hAnsi="宋体" w:hint="eastAsia"/>
              </w:rPr>
              <w:t>博时安盈债券</w:t>
            </w:r>
            <w:r>
              <w:rPr>
                <w:rFonts w:ascii="宋体" w:eastAsia="宋体" w:hAnsi="宋体"/>
              </w:rPr>
              <w:t>A</w:t>
            </w:r>
          </w:p>
        </w:tc>
        <w:tc>
          <w:tcPr>
            <w:tcW w:w="1894" w:type="dxa"/>
            <w:vAlign w:val="center"/>
          </w:tcPr>
          <w:p w:rsidR="00D354BA" w:rsidRPr="00D354BA" w:rsidRDefault="00D354BA" w:rsidP="00D354BA">
            <w:pPr>
              <w:rPr>
                <w:rFonts w:ascii="宋体" w:eastAsia="宋体" w:hAnsi="宋体"/>
              </w:rPr>
            </w:pPr>
            <w:r>
              <w:rPr>
                <w:rFonts w:ascii="宋体" w:eastAsia="宋体" w:hAnsi="宋体" w:hint="eastAsia"/>
              </w:rPr>
              <w:t>博时安盈债券</w:t>
            </w:r>
            <w:r>
              <w:rPr>
                <w:rFonts w:ascii="宋体" w:eastAsia="宋体" w:hAnsi="宋体"/>
              </w:rPr>
              <w:t>C</w:t>
            </w:r>
          </w:p>
        </w:tc>
        <w:tc>
          <w:tcPr>
            <w:tcW w:w="1894" w:type="dxa"/>
            <w:vAlign w:val="center"/>
          </w:tcPr>
          <w:p w:rsidR="00D354BA" w:rsidRPr="00D354BA" w:rsidRDefault="00D354BA" w:rsidP="00D354BA">
            <w:pPr>
              <w:rPr>
                <w:rFonts w:ascii="宋体" w:eastAsia="宋体" w:hAnsi="宋体"/>
              </w:rPr>
            </w:pPr>
            <w:r>
              <w:rPr>
                <w:rFonts w:ascii="宋体" w:eastAsia="宋体" w:hAnsi="宋体" w:hint="eastAsia"/>
              </w:rPr>
              <w:t>博时安盈债券</w:t>
            </w:r>
            <w:r>
              <w:rPr>
                <w:rFonts w:ascii="宋体" w:eastAsia="宋体" w:hAnsi="宋体"/>
              </w:rPr>
              <w:t>E</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下属基金份额的交易代码</w:t>
            </w:r>
          </w:p>
        </w:tc>
        <w:tc>
          <w:tcPr>
            <w:tcW w:w="1894" w:type="dxa"/>
            <w:vAlign w:val="center"/>
          </w:tcPr>
          <w:p w:rsidR="00D354BA" w:rsidRPr="00D354BA" w:rsidRDefault="00D354BA" w:rsidP="00D354BA">
            <w:pPr>
              <w:rPr>
                <w:rFonts w:ascii="宋体" w:eastAsia="宋体" w:hAnsi="宋体"/>
              </w:rPr>
            </w:pPr>
            <w:r>
              <w:rPr>
                <w:rFonts w:ascii="宋体" w:eastAsia="宋体" w:hAnsi="宋体"/>
              </w:rPr>
              <w:t>000084</w:t>
            </w:r>
          </w:p>
        </w:tc>
        <w:tc>
          <w:tcPr>
            <w:tcW w:w="1894" w:type="dxa"/>
            <w:vAlign w:val="center"/>
          </w:tcPr>
          <w:p w:rsidR="00D354BA" w:rsidRPr="00D354BA" w:rsidRDefault="00D354BA" w:rsidP="00D354BA">
            <w:pPr>
              <w:rPr>
                <w:rFonts w:ascii="宋体" w:eastAsia="宋体" w:hAnsi="宋体"/>
              </w:rPr>
            </w:pPr>
            <w:r>
              <w:rPr>
                <w:rFonts w:ascii="宋体" w:eastAsia="宋体" w:hAnsi="宋体"/>
              </w:rPr>
              <w:t>000085</w:t>
            </w:r>
          </w:p>
        </w:tc>
        <w:tc>
          <w:tcPr>
            <w:tcW w:w="1894" w:type="dxa"/>
            <w:vAlign w:val="center"/>
          </w:tcPr>
          <w:p w:rsidR="00D354BA" w:rsidRPr="00D354BA" w:rsidRDefault="00D354BA" w:rsidP="00D354BA">
            <w:pPr>
              <w:rPr>
                <w:rFonts w:ascii="宋体" w:eastAsia="宋体" w:hAnsi="宋体"/>
              </w:rPr>
            </w:pPr>
            <w:r>
              <w:rPr>
                <w:rFonts w:ascii="宋体" w:eastAsia="宋体" w:hAnsi="宋体"/>
              </w:rPr>
              <w:t>019067</w:t>
            </w:r>
          </w:p>
        </w:tc>
      </w:tr>
      <w:tr w:rsidR="00D354BA" w:rsidTr="00D354BA">
        <w:tc>
          <w:tcPr>
            <w:tcW w:w="1420" w:type="dxa"/>
            <w:vMerge w:val="restart"/>
            <w:vAlign w:val="center"/>
          </w:tcPr>
          <w:p w:rsidR="00D354BA" w:rsidRPr="00D354BA" w:rsidRDefault="00D354BA" w:rsidP="00D354BA">
            <w:pPr>
              <w:rPr>
                <w:rFonts w:ascii="宋体" w:eastAsia="宋体" w:hAnsi="宋体"/>
              </w:rPr>
            </w:pPr>
            <w:r>
              <w:rPr>
                <w:rFonts w:ascii="宋体" w:eastAsia="宋体" w:hAnsi="宋体" w:hint="eastAsia"/>
              </w:rPr>
              <w:t>截止基准日下属基金份额的相关指标</w:t>
            </w:r>
          </w:p>
        </w:tc>
        <w:tc>
          <w:tcPr>
            <w:tcW w:w="1420" w:type="dxa"/>
            <w:vAlign w:val="center"/>
          </w:tcPr>
          <w:p w:rsidR="00D354BA" w:rsidRPr="00D354BA" w:rsidRDefault="00D354BA" w:rsidP="00D354BA">
            <w:pPr>
              <w:rPr>
                <w:rFonts w:ascii="宋体" w:eastAsia="宋体" w:hAnsi="宋体"/>
              </w:rPr>
            </w:pPr>
            <w:r>
              <w:rPr>
                <w:rFonts w:ascii="宋体" w:eastAsia="宋体" w:hAnsi="宋体" w:hint="eastAsia"/>
              </w:rPr>
              <w:t>基准日下属基金份额净值（单位：元）</w:t>
            </w:r>
          </w:p>
        </w:tc>
        <w:tc>
          <w:tcPr>
            <w:tcW w:w="1894" w:type="dxa"/>
            <w:vAlign w:val="center"/>
          </w:tcPr>
          <w:p w:rsidR="00D354BA" w:rsidRPr="00D354BA" w:rsidRDefault="00D354BA" w:rsidP="00D354BA">
            <w:pPr>
              <w:rPr>
                <w:rFonts w:ascii="宋体" w:eastAsia="宋体" w:hAnsi="宋体"/>
              </w:rPr>
            </w:pPr>
            <w:r>
              <w:rPr>
                <w:rFonts w:ascii="宋体" w:eastAsia="宋体" w:hAnsi="宋体"/>
              </w:rPr>
              <w:t>1.2593</w:t>
            </w:r>
          </w:p>
        </w:tc>
        <w:tc>
          <w:tcPr>
            <w:tcW w:w="1894" w:type="dxa"/>
            <w:vAlign w:val="center"/>
          </w:tcPr>
          <w:p w:rsidR="00D354BA" w:rsidRPr="00D354BA" w:rsidRDefault="00D354BA" w:rsidP="00D354BA">
            <w:pPr>
              <w:rPr>
                <w:rFonts w:ascii="宋体" w:eastAsia="宋体" w:hAnsi="宋体"/>
              </w:rPr>
            </w:pPr>
            <w:r>
              <w:rPr>
                <w:rFonts w:ascii="宋体" w:eastAsia="宋体" w:hAnsi="宋体"/>
              </w:rPr>
              <w:t>1.2300</w:t>
            </w:r>
          </w:p>
        </w:tc>
        <w:tc>
          <w:tcPr>
            <w:tcW w:w="1894" w:type="dxa"/>
            <w:vAlign w:val="center"/>
          </w:tcPr>
          <w:p w:rsidR="00D354BA" w:rsidRPr="00D354BA" w:rsidRDefault="00D354BA" w:rsidP="00D354BA">
            <w:pPr>
              <w:rPr>
                <w:rFonts w:ascii="宋体" w:eastAsia="宋体" w:hAnsi="宋体"/>
              </w:rPr>
            </w:pPr>
            <w:r>
              <w:rPr>
                <w:rFonts w:ascii="宋体" w:eastAsia="宋体" w:hAnsi="宋体"/>
              </w:rPr>
              <w:t>1.2585</w:t>
            </w:r>
          </w:p>
        </w:tc>
      </w:tr>
      <w:tr w:rsidR="00D354BA" w:rsidTr="00D354BA">
        <w:tc>
          <w:tcPr>
            <w:tcW w:w="1420" w:type="dxa"/>
            <w:vMerge/>
            <w:vAlign w:val="center"/>
          </w:tcPr>
          <w:p w:rsidR="00D354BA" w:rsidRDefault="00D354BA" w:rsidP="00D354BA"/>
        </w:tc>
        <w:tc>
          <w:tcPr>
            <w:tcW w:w="1420" w:type="dxa"/>
            <w:vAlign w:val="center"/>
          </w:tcPr>
          <w:p w:rsidR="00D354BA" w:rsidRPr="00D354BA" w:rsidRDefault="00D354BA" w:rsidP="00D354BA">
            <w:pPr>
              <w:rPr>
                <w:rFonts w:ascii="宋体" w:eastAsia="宋体" w:hAnsi="宋体"/>
              </w:rPr>
            </w:pPr>
            <w:r>
              <w:rPr>
                <w:rFonts w:ascii="宋体" w:eastAsia="宋体" w:hAnsi="宋体" w:hint="eastAsia"/>
              </w:rPr>
              <w:t>基准日下属基金份额可供分配利润（单位：元）</w:t>
            </w:r>
          </w:p>
        </w:tc>
        <w:tc>
          <w:tcPr>
            <w:tcW w:w="1894" w:type="dxa"/>
            <w:vAlign w:val="center"/>
          </w:tcPr>
          <w:p w:rsidR="00D354BA" w:rsidRPr="00D354BA" w:rsidRDefault="00D354BA" w:rsidP="00D354BA">
            <w:pPr>
              <w:rPr>
                <w:rFonts w:ascii="宋体" w:eastAsia="宋体" w:hAnsi="宋体"/>
              </w:rPr>
            </w:pPr>
            <w:r>
              <w:rPr>
                <w:rFonts w:ascii="宋体" w:eastAsia="宋体" w:hAnsi="宋体"/>
              </w:rPr>
              <w:t>451,852,895.12</w:t>
            </w:r>
          </w:p>
        </w:tc>
        <w:tc>
          <w:tcPr>
            <w:tcW w:w="1894" w:type="dxa"/>
            <w:vAlign w:val="center"/>
          </w:tcPr>
          <w:p w:rsidR="00D354BA" w:rsidRPr="00D354BA" w:rsidRDefault="00D354BA" w:rsidP="00D354BA">
            <w:pPr>
              <w:rPr>
                <w:rFonts w:ascii="宋体" w:eastAsia="宋体" w:hAnsi="宋体"/>
              </w:rPr>
            </w:pPr>
            <w:r>
              <w:rPr>
                <w:rFonts w:ascii="宋体" w:eastAsia="宋体" w:hAnsi="宋体"/>
              </w:rPr>
              <w:t>205,578,558.62</w:t>
            </w:r>
          </w:p>
        </w:tc>
        <w:tc>
          <w:tcPr>
            <w:tcW w:w="1894" w:type="dxa"/>
            <w:vAlign w:val="center"/>
          </w:tcPr>
          <w:p w:rsidR="00D354BA" w:rsidRPr="00D354BA" w:rsidRDefault="00D354BA" w:rsidP="00D354BA">
            <w:pPr>
              <w:rPr>
                <w:rFonts w:ascii="宋体" w:eastAsia="宋体" w:hAnsi="宋体"/>
              </w:rPr>
            </w:pPr>
            <w:r>
              <w:rPr>
                <w:rFonts w:ascii="宋体" w:eastAsia="宋体" w:hAnsi="宋体"/>
              </w:rPr>
              <w:t>58,838,416.48</w:t>
            </w:r>
          </w:p>
        </w:tc>
      </w:tr>
      <w:tr w:rsidR="00D354BA" w:rsidTr="00D354BA">
        <w:tc>
          <w:tcPr>
            <w:tcW w:w="1420" w:type="dxa"/>
            <w:vMerge/>
            <w:vAlign w:val="center"/>
          </w:tcPr>
          <w:p w:rsidR="00D354BA" w:rsidRDefault="00D354BA" w:rsidP="00D354BA"/>
        </w:tc>
        <w:tc>
          <w:tcPr>
            <w:tcW w:w="1420" w:type="dxa"/>
            <w:vAlign w:val="center"/>
          </w:tcPr>
          <w:p w:rsidR="00D354BA" w:rsidRPr="00D354BA" w:rsidRDefault="00D354BA" w:rsidP="00D354BA">
            <w:pPr>
              <w:rPr>
                <w:rFonts w:ascii="宋体" w:eastAsia="宋体" w:hAnsi="宋体"/>
              </w:rPr>
            </w:pPr>
            <w:r>
              <w:rPr>
                <w:rFonts w:ascii="宋体" w:eastAsia="宋体" w:hAnsi="宋体" w:hint="eastAsia"/>
              </w:rPr>
              <w:t>截止基准日按照基金合同约定的分红比例计算的应分配金额（单位：元）</w:t>
            </w:r>
          </w:p>
        </w:tc>
        <w:tc>
          <w:tcPr>
            <w:tcW w:w="1894" w:type="dxa"/>
            <w:vAlign w:val="center"/>
          </w:tcPr>
          <w:p w:rsidR="00D354BA" w:rsidRPr="00D354BA" w:rsidRDefault="00D354BA" w:rsidP="00D354BA">
            <w:pPr>
              <w:rPr>
                <w:rFonts w:ascii="宋体" w:eastAsia="宋体" w:hAnsi="宋体"/>
              </w:rPr>
            </w:pPr>
            <w:r>
              <w:rPr>
                <w:rFonts w:ascii="宋体" w:eastAsia="宋体" w:hAnsi="宋体"/>
              </w:rPr>
              <w:t>-</w:t>
            </w:r>
          </w:p>
        </w:tc>
        <w:tc>
          <w:tcPr>
            <w:tcW w:w="1894" w:type="dxa"/>
            <w:vAlign w:val="center"/>
          </w:tcPr>
          <w:p w:rsidR="00D354BA" w:rsidRPr="00D354BA" w:rsidRDefault="00D354BA" w:rsidP="00D354BA">
            <w:pPr>
              <w:rPr>
                <w:rFonts w:ascii="宋体" w:eastAsia="宋体" w:hAnsi="宋体"/>
              </w:rPr>
            </w:pPr>
            <w:r>
              <w:rPr>
                <w:rFonts w:ascii="宋体" w:eastAsia="宋体" w:hAnsi="宋体"/>
              </w:rPr>
              <w:t>-</w:t>
            </w:r>
          </w:p>
        </w:tc>
        <w:tc>
          <w:tcPr>
            <w:tcW w:w="1894" w:type="dxa"/>
            <w:vAlign w:val="center"/>
          </w:tcPr>
          <w:p w:rsidR="00D354BA" w:rsidRPr="00D354BA" w:rsidRDefault="00D354BA" w:rsidP="00D354BA">
            <w:pPr>
              <w:rPr>
                <w:rFonts w:ascii="宋体" w:eastAsia="宋体" w:hAnsi="宋体"/>
              </w:rPr>
            </w:pPr>
            <w:r>
              <w:rPr>
                <w:rFonts w:ascii="宋体" w:eastAsia="宋体" w:hAnsi="宋体"/>
              </w:rPr>
              <w:t>-</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本次下属基金份额分红方案（单位：元</w:t>
            </w:r>
            <w:r>
              <w:rPr>
                <w:rFonts w:ascii="宋体" w:eastAsia="宋体" w:hAnsi="宋体"/>
              </w:rPr>
              <w:t>/10份基金份额）</w:t>
            </w:r>
          </w:p>
        </w:tc>
        <w:tc>
          <w:tcPr>
            <w:tcW w:w="1894" w:type="dxa"/>
            <w:vAlign w:val="center"/>
          </w:tcPr>
          <w:p w:rsidR="00D354BA" w:rsidRPr="00D354BA" w:rsidRDefault="00D354BA" w:rsidP="00D354BA">
            <w:pPr>
              <w:rPr>
                <w:rFonts w:ascii="宋体" w:eastAsia="宋体" w:hAnsi="宋体"/>
              </w:rPr>
            </w:pPr>
            <w:r>
              <w:rPr>
                <w:rFonts w:ascii="宋体" w:eastAsia="宋体" w:hAnsi="宋体"/>
              </w:rPr>
              <w:t>0.0800</w:t>
            </w:r>
          </w:p>
        </w:tc>
        <w:tc>
          <w:tcPr>
            <w:tcW w:w="1894" w:type="dxa"/>
            <w:vAlign w:val="center"/>
          </w:tcPr>
          <w:p w:rsidR="00D354BA" w:rsidRPr="00D354BA" w:rsidRDefault="00D354BA" w:rsidP="00D354BA">
            <w:pPr>
              <w:rPr>
                <w:rFonts w:ascii="宋体" w:eastAsia="宋体" w:hAnsi="宋体"/>
              </w:rPr>
            </w:pPr>
            <w:r>
              <w:rPr>
                <w:rFonts w:ascii="宋体" w:eastAsia="宋体" w:hAnsi="宋体"/>
              </w:rPr>
              <w:t>0.0690</w:t>
            </w:r>
          </w:p>
        </w:tc>
        <w:tc>
          <w:tcPr>
            <w:tcW w:w="1894" w:type="dxa"/>
            <w:vAlign w:val="center"/>
          </w:tcPr>
          <w:p w:rsidR="00D354BA" w:rsidRPr="00D354BA" w:rsidRDefault="00D354BA" w:rsidP="00D354BA">
            <w:pPr>
              <w:rPr>
                <w:rFonts w:ascii="宋体" w:eastAsia="宋体" w:hAnsi="宋体"/>
              </w:rPr>
            </w:pPr>
            <w:r>
              <w:rPr>
                <w:rFonts w:ascii="宋体" w:eastAsia="宋体" w:hAnsi="宋体"/>
              </w:rPr>
              <w:t>0.0800</w:t>
            </w:r>
          </w:p>
        </w:tc>
      </w:tr>
      <w:tr w:rsidR="00D354BA" w:rsidTr="00D354BA">
        <w:tc>
          <w:tcPr>
            <w:tcW w:w="2840" w:type="dxa"/>
            <w:gridSpan w:val="2"/>
            <w:vAlign w:val="center"/>
          </w:tcPr>
          <w:p w:rsidR="00D354BA" w:rsidRPr="00D354BA" w:rsidRDefault="00D354BA" w:rsidP="00D354BA">
            <w:pPr>
              <w:rPr>
                <w:rFonts w:ascii="宋体" w:eastAsia="宋体" w:hAnsi="宋体"/>
              </w:rPr>
            </w:pPr>
            <w:r>
              <w:rPr>
                <w:rFonts w:ascii="宋体" w:eastAsia="宋体" w:hAnsi="宋体" w:hint="eastAsia"/>
              </w:rPr>
              <w:t>有关年度分红次数的说明</w:t>
            </w:r>
          </w:p>
        </w:tc>
        <w:tc>
          <w:tcPr>
            <w:tcW w:w="5682" w:type="dxa"/>
            <w:gridSpan w:val="3"/>
            <w:vAlign w:val="center"/>
          </w:tcPr>
          <w:p w:rsidR="00D354BA" w:rsidRPr="00D354BA" w:rsidRDefault="00D354BA" w:rsidP="00D354BA">
            <w:pPr>
              <w:rPr>
                <w:rFonts w:ascii="宋体" w:eastAsia="宋体" w:hAnsi="宋体"/>
              </w:rPr>
            </w:pPr>
            <w:r>
              <w:rPr>
                <w:rFonts w:ascii="宋体" w:eastAsia="宋体" w:hAnsi="宋体" w:hint="eastAsia"/>
              </w:rPr>
              <w:t>本次分红为</w:t>
            </w:r>
            <w:r>
              <w:rPr>
                <w:rFonts w:ascii="宋体" w:eastAsia="宋体" w:hAnsi="宋体"/>
              </w:rPr>
              <w:t>2024年度的第4次分红</w:t>
            </w:r>
          </w:p>
        </w:tc>
      </w:tr>
    </w:tbl>
    <w:p w:rsidR="00D354BA" w:rsidRDefault="00D354BA" w:rsidP="00D354BA"/>
    <w:p w:rsidR="00D354BA" w:rsidRDefault="00D354BA" w:rsidP="00D354BA">
      <w:pPr>
        <w:pStyle w:val="a4"/>
        <w:spacing w:before="0" w:beforeAutospacing="0" w:after="0" w:afterAutospacing="0" w:line="360" w:lineRule="auto"/>
        <w:ind w:firstLine="420"/>
        <w:divId w:val="781268220"/>
        <w:rPr>
          <w:sz w:val="21"/>
          <w:szCs w:val="21"/>
        </w:rPr>
      </w:pPr>
      <w:r w:rsidRPr="00D354BA">
        <w:rPr>
          <w:rFonts w:hint="eastAsia"/>
          <w:sz w:val="21"/>
        </w:rPr>
        <w:t>注：</w:t>
      </w:r>
      <w:r>
        <w:rPr>
          <w:rFonts w:hint="eastAsia"/>
          <w:sz w:val="21"/>
          <w:szCs w:val="21"/>
        </w:rPr>
        <w:t> 本基金A类基金份额每10份基金份额发放红利0.0800元人民币，本基金C类基金份额每10份基金份额发放红利0.0690元人民币，本基金E类基金份额每10份基金份额发放红利0.0800元人民币。 </w:t>
      </w:r>
    </w:p>
    <w:p w:rsidR="00D354BA" w:rsidRDefault="00D354BA" w:rsidP="00D354BA">
      <w:pPr>
        <w:pStyle w:val="3"/>
        <w:divId w:val="781268220"/>
        <w:rPr>
          <w:rFonts w:ascii="宋体" w:eastAsia="宋体" w:hAnsi="宋体"/>
          <w:sz w:val="21"/>
        </w:rPr>
      </w:pPr>
      <w:r>
        <w:rPr>
          <w:rFonts w:ascii="宋体" w:eastAsia="宋体" w:hAnsi="宋体"/>
          <w:sz w:val="21"/>
        </w:rPr>
        <w:lastRenderedPageBreak/>
        <w:t>2 与分红相关的其他信息</w:t>
      </w:r>
    </w:p>
    <w:tbl>
      <w:tblPr>
        <w:tblStyle w:val="a3"/>
        <w:tblW w:w="0" w:type="auto"/>
        <w:tblLook w:val="04A0"/>
      </w:tblPr>
      <w:tblGrid>
        <w:gridCol w:w="2840"/>
        <w:gridCol w:w="5682"/>
      </w:tblGrid>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权益登记日</w:t>
            </w:r>
          </w:p>
        </w:tc>
        <w:tc>
          <w:tcPr>
            <w:tcW w:w="5682" w:type="dxa"/>
            <w:vAlign w:val="center"/>
          </w:tcPr>
          <w:p w:rsidR="00D354BA" w:rsidRPr="00D354BA" w:rsidRDefault="00D354BA" w:rsidP="00D354BA">
            <w:pPr>
              <w:rPr>
                <w:rFonts w:ascii="宋体" w:eastAsia="宋体" w:hAnsi="宋体"/>
              </w:rPr>
            </w:pPr>
            <w:r>
              <w:rPr>
                <w:rFonts w:ascii="宋体" w:eastAsia="宋体" w:hAnsi="宋体"/>
              </w:rPr>
              <w:t>2024年10月21日</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除息日</w:t>
            </w:r>
          </w:p>
        </w:tc>
        <w:tc>
          <w:tcPr>
            <w:tcW w:w="5682" w:type="dxa"/>
            <w:vAlign w:val="center"/>
          </w:tcPr>
          <w:p w:rsidR="00D354BA" w:rsidRPr="00D354BA" w:rsidRDefault="00D354BA" w:rsidP="00D354BA">
            <w:pPr>
              <w:rPr>
                <w:rFonts w:ascii="宋体" w:eastAsia="宋体" w:hAnsi="宋体"/>
              </w:rPr>
            </w:pPr>
            <w:r>
              <w:rPr>
                <w:rFonts w:ascii="宋体" w:eastAsia="宋体" w:hAnsi="宋体"/>
              </w:rPr>
              <w:t>2024年10月21日</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现金红利发放日</w:t>
            </w:r>
          </w:p>
        </w:tc>
        <w:tc>
          <w:tcPr>
            <w:tcW w:w="5682" w:type="dxa"/>
            <w:vAlign w:val="center"/>
          </w:tcPr>
          <w:p w:rsidR="00D354BA" w:rsidRPr="00D354BA" w:rsidRDefault="00D354BA" w:rsidP="00D354BA">
            <w:pPr>
              <w:rPr>
                <w:rFonts w:ascii="宋体" w:eastAsia="宋体" w:hAnsi="宋体"/>
              </w:rPr>
            </w:pPr>
            <w:r>
              <w:rPr>
                <w:rFonts w:ascii="宋体" w:eastAsia="宋体" w:hAnsi="宋体"/>
              </w:rPr>
              <w:t>2024年10月23日</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分红对象</w:t>
            </w:r>
          </w:p>
        </w:tc>
        <w:tc>
          <w:tcPr>
            <w:tcW w:w="5682" w:type="dxa"/>
            <w:vAlign w:val="center"/>
          </w:tcPr>
          <w:p w:rsidR="00D354BA" w:rsidRPr="00D354BA" w:rsidRDefault="00D354BA" w:rsidP="00D354BA">
            <w:pPr>
              <w:rPr>
                <w:rFonts w:ascii="宋体" w:eastAsia="宋体" w:hAnsi="宋体"/>
              </w:rPr>
            </w:pPr>
            <w:r>
              <w:rPr>
                <w:rFonts w:ascii="宋体" w:eastAsia="宋体" w:hAnsi="宋体" w:hint="eastAsia"/>
              </w:rPr>
              <w:t>权益登记日登记在册的本基金份额持有人</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红利再投资相关事项的说明</w:t>
            </w:r>
          </w:p>
        </w:tc>
        <w:tc>
          <w:tcPr>
            <w:tcW w:w="5682" w:type="dxa"/>
            <w:vAlign w:val="center"/>
          </w:tcPr>
          <w:p w:rsidR="00D354BA" w:rsidRPr="00D354BA" w:rsidRDefault="00D354BA" w:rsidP="00D354BA">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2024年10月21日的基金份额净值为计算基准确定再投资份额，红利再投资所转换的基金份额于2024年10月22日直接划入其基金账户，2024年10月23日起投资者可以查询、赎回。</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税收相关事项的说明</w:t>
            </w:r>
          </w:p>
        </w:tc>
        <w:tc>
          <w:tcPr>
            <w:tcW w:w="5682" w:type="dxa"/>
            <w:vAlign w:val="center"/>
          </w:tcPr>
          <w:p w:rsidR="00D354BA" w:rsidRPr="00D354BA" w:rsidRDefault="00D354BA" w:rsidP="00D354BA">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D354BA" w:rsidTr="00D354BA">
        <w:trPr>
          <w:divId w:val="781268220"/>
        </w:trPr>
        <w:tc>
          <w:tcPr>
            <w:tcW w:w="2840" w:type="dxa"/>
            <w:vAlign w:val="center"/>
          </w:tcPr>
          <w:p w:rsidR="00D354BA" w:rsidRPr="00D354BA" w:rsidRDefault="00D354BA" w:rsidP="00D354BA">
            <w:pPr>
              <w:rPr>
                <w:rFonts w:ascii="宋体" w:eastAsia="宋体" w:hAnsi="宋体"/>
              </w:rPr>
            </w:pPr>
            <w:r>
              <w:rPr>
                <w:rFonts w:ascii="宋体" w:eastAsia="宋体" w:hAnsi="宋体" w:hint="eastAsia"/>
              </w:rPr>
              <w:t>费用相关事项的说明</w:t>
            </w:r>
          </w:p>
        </w:tc>
        <w:tc>
          <w:tcPr>
            <w:tcW w:w="5682" w:type="dxa"/>
            <w:vAlign w:val="center"/>
          </w:tcPr>
          <w:p w:rsidR="00D354BA" w:rsidRPr="00D354BA" w:rsidRDefault="00D354BA" w:rsidP="00D354BA">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D354BA" w:rsidRDefault="00D354BA" w:rsidP="00D354BA">
      <w:pPr>
        <w:divId w:val="781268220"/>
      </w:pPr>
    </w:p>
    <w:p w:rsidR="00D354BA" w:rsidRDefault="00D354BA" w:rsidP="00D354BA">
      <w:pPr>
        <w:pStyle w:val="3"/>
        <w:divId w:val="781268220"/>
        <w:rPr>
          <w:rFonts w:ascii="宋体" w:eastAsia="宋体" w:hAnsi="宋体"/>
          <w:sz w:val="21"/>
        </w:rPr>
      </w:pPr>
      <w:r w:rsidRPr="00D354BA">
        <w:rPr>
          <w:rFonts w:ascii="宋体" w:eastAsia="宋体" w:hAnsi="宋体" w:hint="eastAsia"/>
          <w:sz w:val="21"/>
        </w:rPr>
        <w:t>3 其他需要提示的事项</w:t>
      </w:r>
    </w:p>
    <w:p w:rsidR="00D354BA" w:rsidRDefault="00D354BA">
      <w:pPr>
        <w:pStyle w:val="a4"/>
        <w:spacing w:before="0" w:beforeAutospacing="0" w:after="0" w:afterAutospacing="0" w:line="360" w:lineRule="auto"/>
        <w:ind w:firstLine="420"/>
        <w:divId w:val="2111733363"/>
        <w:rPr>
          <w:sz w:val="21"/>
          <w:szCs w:val="21"/>
        </w:rPr>
      </w:pPr>
      <w:r>
        <w:rPr>
          <w:rFonts w:hint="eastAsia"/>
          <w:sz w:val="21"/>
          <w:szCs w:val="21"/>
        </w:rPr>
        <w:t xml:space="preserve">（1）权益登记日申购或转换转入的基金份额不享有本次分红权益，赎回或转换转出的基金份额享有本次分红权益。 </w:t>
      </w:r>
    </w:p>
    <w:p w:rsidR="00D354BA" w:rsidRDefault="00D354BA">
      <w:pPr>
        <w:pStyle w:val="a4"/>
        <w:spacing w:before="0" w:beforeAutospacing="0" w:after="0" w:afterAutospacing="0" w:line="360" w:lineRule="auto"/>
        <w:ind w:firstLine="420"/>
        <w:divId w:val="2111733363"/>
        <w:rPr>
          <w:sz w:val="21"/>
          <w:szCs w:val="21"/>
        </w:rPr>
      </w:pPr>
      <w:r>
        <w:rPr>
          <w:rFonts w:hint="eastAsia"/>
          <w:sz w:val="21"/>
          <w:szCs w:val="21"/>
        </w:rPr>
        <w:t xml:space="preserve">（2）对于未选择本基金具体分红方式的投资者，本基金默认的分红方式为现金红利方式。 </w:t>
      </w:r>
    </w:p>
    <w:p w:rsidR="00D354BA" w:rsidRDefault="00D354BA">
      <w:pPr>
        <w:pStyle w:val="a4"/>
        <w:spacing w:before="0" w:beforeAutospacing="0" w:after="0" w:afterAutospacing="0" w:line="360" w:lineRule="auto"/>
        <w:ind w:firstLine="420"/>
        <w:divId w:val="2111733363"/>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2024年10月21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D354BA" w:rsidRDefault="00D354BA">
      <w:pPr>
        <w:pStyle w:val="a4"/>
        <w:spacing w:before="0" w:beforeAutospacing="0" w:after="0" w:afterAutospacing="0" w:line="360" w:lineRule="auto"/>
        <w:ind w:firstLine="420"/>
        <w:divId w:val="2111733363"/>
        <w:rPr>
          <w:sz w:val="21"/>
          <w:szCs w:val="21"/>
        </w:rPr>
      </w:pPr>
      <w:r>
        <w:rPr>
          <w:rFonts w:hint="eastAsia"/>
          <w:sz w:val="21"/>
          <w:szCs w:val="21"/>
        </w:rPr>
        <w:t xml:space="preserve">（4）本基金份额持有人及希望了解本基金其他有关信息的投资者,可以登录本基金管理人网站（http://www.bosera.com）或拨打博时一线通95105568（免长途费）咨询相关事宜。 </w:t>
      </w:r>
    </w:p>
    <w:p w:rsidR="00D354BA" w:rsidRDefault="00D354BA">
      <w:pPr>
        <w:pStyle w:val="a4"/>
        <w:spacing w:before="0" w:beforeAutospacing="0" w:after="0" w:afterAutospacing="0" w:line="360" w:lineRule="auto"/>
        <w:ind w:firstLine="420"/>
        <w:divId w:val="2111733363"/>
        <w:rPr>
          <w:sz w:val="21"/>
          <w:szCs w:val="21"/>
        </w:rPr>
      </w:pPr>
      <w:r>
        <w:rPr>
          <w:rFonts w:hint="eastAsia"/>
          <w:sz w:val="21"/>
          <w:szCs w:val="21"/>
        </w:rPr>
        <w:t>风险提示：本基金管理人承诺以诚实信用、勤勉尽责的原则管理和运用基金财产，但不保证基金一定盈利，也不保证最低收益。因基金分红导致基金份额净值变化，不会改变基金</w:t>
      </w:r>
      <w:r>
        <w:rPr>
          <w:rFonts w:hint="eastAsia"/>
          <w:sz w:val="21"/>
          <w:szCs w:val="21"/>
        </w:rPr>
        <w:lastRenderedPageBreak/>
        <w:t xml:space="preserve">的风险收益特征，不会降低基金投资风险或提高基金投资收益。基金的过往业绩不代表未来表现，敬请投资者注意投资风险。 </w:t>
      </w:r>
    </w:p>
    <w:p w:rsidR="00D354BA" w:rsidRDefault="00D354BA" w:rsidP="00D354BA">
      <w:pPr>
        <w:pStyle w:val="a4"/>
        <w:spacing w:before="0" w:beforeAutospacing="0" w:after="0" w:afterAutospacing="0" w:line="360" w:lineRule="auto"/>
        <w:ind w:firstLine="420"/>
        <w:divId w:val="2111733363"/>
        <w:rPr>
          <w:sz w:val="21"/>
          <w:szCs w:val="21"/>
        </w:rPr>
      </w:pPr>
      <w:r>
        <w:rPr>
          <w:rFonts w:hint="eastAsia"/>
          <w:sz w:val="21"/>
          <w:szCs w:val="21"/>
        </w:rPr>
        <w:t xml:space="preserve">特此公告。 </w:t>
      </w:r>
    </w:p>
    <w:p w:rsidR="00D354BA" w:rsidRDefault="00D354BA" w:rsidP="00D354BA">
      <w:pPr>
        <w:pStyle w:val="a4"/>
        <w:spacing w:before="0" w:beforeAutospacing="0" w:after="0" w:afterAutospacing="0" w:line="360" w:lineRule="auto"/>
        <w:ind w:firstLine="420"/>
        <w:divId w:val="2111733363"/>
        <w:rPr>
          <w:sz w:val="21"/>
          <w:szCs w:val="21"/>
        </w:rPr>
      </w:pPr>
    </w:p>
    <w:p w:rsidR="00D354BA" w:rsidRDefault="00D354BA" w:rsidP="00D354BA">
      <w:pPr>
        <w:pStyle w:val="a4"/>
        <w:spacing w:before="0" w:beforeAutospacing="0" w:after="0" w:afterAutospacing="0" w:line="360" w:lineRule="auto"/>
        <w:ind w:firstLine="420"/>
        <w:divId w:val="2111733363"/>
        <w:rPr>
          <w:sz w:val="21"/>
          <w:szCs w:val="21"/>
        </w:rPr>
      </w:pPr>
    </w:p>
    <w:p w:rsidR="00D354BA" w:rsidRDefault="00D354BA" w:rsidP="00D354BA">
      <w:pPr>
        <w:pStyle w:val="a4"/>
        <w:spacing w:before="0" w:beforeAutospacing="0" w:after="0" w:afterAutospacing="0" w:line="360" w:lineRule="auto"/>
        <w:ind w:firstLine="420"/>
        <w:divId w:val="2111733363"/>
        <w:rPr>
          <w:sz w:val="21"/>
          <w:szCs w:val="21"/>
        </w:rPr>
      </w:pPr>
    </w:p>
    <w:p w:rsidR="00D354BA" w:rsidRDefault="00D354BA" w:rsidP="00D354BA">
      <w:pPr>
        <w:pStyle w:val="a4"/>
        <w:spacing w:before="0" w:beforeAutospacing="0" w:after="0" w:afterAutospacing="0" w:line="360" w:lineRule="auto"/>
        <w:ind w:firstLine="420"/>
        <w:jc w:val="right"/>
        <w:divId w:val="2111733363"/>
        <w:rPr>
          <w:sz w:val="21"/>
          <w:szCs w:val="21"/>
        </w:rPr>
      </w:pPr>
      <w:r w:rsidRPr="00D354BA">
        <w:rPr>
          <w:rFonts w:hint="eastAsia"/>
          <w:sz w:val="21"/>
          <w:szCs w:val="21"/>
        </w:rPr>
        <w:t>博时基金管理有限公司</w:t>
      </w:r>
    </w:p>
    <w:p w:rsidR="00D354BA" w:rsidRPr="00D354BA" w:rsidRDefault="00D354BA" w:rsidP="00D354BA">
      <w:pPr>
        <w:pStyle w:val="a4"/>
        <w:spacing w:before="0" w:beforeAutospacing="0" w:after="0" w:afterAutospacing="0" w:line="360" w:lineRule="auto"/>
        <w:ind w:firstLine="420"/>
        <w:jc w:val="right"/>
        <w:divId w:val="2111733363"/>
        <w:rPr>
          <w:sz w:val="21"/>
          <w:szCs w:val="21"/>
        </w:rPr>
      </w:pPr>
      <w:r w:rsidRPr="00D354BA">
        <w:rPr>
          <w:sz w:val="21"/>
          <w:szCs w:val="21"/>
        </w:rPr>
        <w:t>2024年10月17日</w:t>
      </w:r>
    </w:p>
    <w:sectPr w:rsidR="00D354BA" w:rsidRPr="00D354BA" w:rsidSect="003750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4BA"/>
    <w:rsid w:val="003750D6"/>
    <w:rsid w:val="003D7117"/>
    <w:rsid w:val="00D354BA"/>
    <w:rsid w:val="00F91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D6"/>
    <w:pPr>
      <w:widowControl w:val="0"/>
      <w:jc w:val="both"/>
    </w:pPr>
  </w:style>
  <w:style w:type="paragraph" w:styleId="3">
    <w:name w:val="heading 3"/>
    <w:basedOn w:val="a"/>
    <w:next w:val="a"/>
    <w:link w:val="3Char"/>
    <w:uiPriority w:val="9"/>
    <w:unhideWhenUsed/>
    <w:qFormat/>
    <w:rsid w:val="00D354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54BA"/>
    <w:rPr>
      <w:b/>
      <w:bCs/>
      <w:sz w:val="32"/>
      <w:szCs w:val="32"/>
    </w:rPr>
  </w:style>
  <w:style w:type="table" w:styleId="a3">
    <w:name w:val="Table Grid"/>
    <w:basedOn w:val="a1"/>
    <w:uiPriority w:val="59"/>
    <w:rsid w:val="00D35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354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D354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54BA"/>
    <w:rPr>
      <w:b/>
      <w:bCs/>
      <w:sz w:val="32"/>
      <w:szCs w:val="32"/>
    </w:rPr>
  </w:style>
  <w:style w:type="table" w:styleId="a3">
    <w:name w:val="Table Grid"/>
    <w:basedOn w:val="a1"/>
    <w:uiPriority w:val="59"/>
    <w:rsid w:val="00D3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354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1268220">
      <w:bodyDiv w:val="1"/>
      <w:marLeft w:val="0"/>
      <w:marRight w:val="0"/>
      <w:marTop w:val="0"/>
      <w:marBottom w:val="0"/>
      <w:divBdr>
        <w:top w:val="none" w:sz="0" w:space="0" w:color="auto"/>
        <w:left w:val="none" w:sz="0" w:space="0" w:color="auto"/>
        <w:bottom w:val="none" w:sz="0" w:space="0" w:color="auto"/>
        <w:right w:val="none" w:sz="0" w:space="0" w:color="auto"/>
      </w:divBdr>
      <w:divsChild>
        <w:div w:id="211173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1419</Characters>
  <Application>Microsoft Office Word</Application>
  <DocSecurity>4</DocSecurity>
  <Lines>11</Lines>
  <Paragraphs>3</Paragraphs>
  <ScaleCrop>false</ScaleCrop>
  <Company>mycompany</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2024-10-16T16:01:00Z</dcterms:created>
  <dcterms:modified xsi:type="dcterms:W3CDTF">2024-10-16T16:01:00Z</dcterms:modified>
</cp:coreProperties>
</file>