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7D" w:rsidRDefault="00D45B09">
      <w:pPr>
        <w:pStyle w:val="pMsoNormal"/>
        <w:jc w:val="center"/>
        <w:rPr>
          <w:rFonts w:ascii="宋体" w:eastAsia="宋体" w:hAnsi="宋体" w:cs="宋体"/>
          <w:b/>
          <w:bCs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z w:val="32"/>
          <w:szCs w:val="32"/>
          <w:lang w:val="zh-CN" w:eastAsia="zh-CN"/>
        </w:rPr>
        <w:t>华宝海外科技股票型证券投资基金（QDII-LOF）</w:t>
      </w:r>
    </w:p>
    <w:p w:rsidR="00CA3884" w:rsidRDefault="00D0337D">
      <w:pPr>
        <w:pStyle w:val="pMsoNormal"/>
        <w:jc w:val="center"/>
        <w:rPr>
          <w:lang w:val="zh-CN" w:eastAsia="zh-CN"/>
        </w:rPr>
      </w:pPr>
      <w:r w:rsidRPr="00D0337D">
        <w:rPr>
          <w:rFonts w:ascii="宋体" w:eastAsia="宋体" w:hAnsi="宋体" w:cs="宋体" w:hint="eastAsia"/>
          <w:b/>
          <w:bCs/>
          <w:sz w:val="32"/>
          <w:szCs w:val="32"/>
          <w:lang w:val="zh-CN" w:eastAsia="zh-CN"/>
        </w:rPr>
        <w:t>恢复大额申赎（含定投）业务的公告</w:t>
      </w:r>
    </w:p>
    <w:p w:rsidR="00CA3884" w:rsidRDefault="00D45B09">
      <w:pPr>
        <w:pStyle w:val="pMsoNormal"/>
        <w:ind w:left="2100" w:firstLine="420"/>
        <w:rPr>
          <w:lang w:val="zh-CN" w:eastAsia="zh-CN"/>
        </w:rPr>
      </w:pPr>
      <w:r>
        <w:rPr>
          <w:rFonts w:ascii="宋体" w:eastAsia="宋体" w:hAnsi="宋体" w:cs="宋体"/>
          <w:b/>
          <w:bCs/>
          <w:lang w:val="zh-CN" w:eastAsia="zh-CN"/>
        </w:rPr>
        <w:t>公告送出日期：2024年10月16日</w:t>
      </w:r>
    </w:p>
    <w:p w:rsidR="00CA3884" w:rsidRDefault="00D45B09">
      <w:pPr>
        <w:pStyle w:val="2"/>
        <w:spacing w:before="156" w:after="156"/>
        <w:rPr>
          <w:rFonts w:eastAsia="Arial"/>
          <w:sz w:val="32"/>
          <w:szCs w:val="32"/>
          <w:lang w:val="zh-CN" w:eastAsia="zh-CN"/>
        </w:rPr>
      </w:pPr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>1</w:t>
      </w:r>
      <w:bookmarkStart w:id="1" w:name="t_3_1_1_table"/>
      <w:bookmarkEnd w:id="1"/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 xml:space="preserve"> 公告基本信息</w:t>
      </w:r>
    </w:p>
    <w:tbl>
      <w:tblPr>
        <w:tblStyle w:val="MsoNormalTable0"/>
        <w:tblW w:w="0" w:type="auto"/>
        <w:tblInd w:w="236" w:type="dxa"/>
        <w:tblCellMar>
          <w:left w:w="0" w:type="dxa"/>
          <w:right w:w="0" w:type="dxa"/>
        </w:tblCellMar>
        <w:tblLook w:val="05E0"/>
      </w:tblPr>
      <w:tblGrid>
        <w:gridCol w:w="1427"/>
        <w:gridCol w:w="2141"/>
        <w:gridCol w:w="2584"/>
        <w:gridCol w:w="2692"/>
      </w:tblGrid>
      <w:tr w:rsidR="00CA3884" w:rsidTr="00EB6C77"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基金名称</w:t>
            </w:r>
          </w:p>
        </w:tc>
        <w:tc>
          <w:tcPr>
            <w:tcW w:w="5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bookmarkStart w:id="2" w:name="t_3_1_1_0009_a1_fm1"/>
            <w:bookmarkEnd w:id="2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华宝海外科技股票型证券投资基金（QDII-LOF）</w:t>
            </w:r>
          </w:p>
        </w:tc>
      </w:tr>
      <w:tr w:rsidR="00CA3884" w:rsidTr="00EB6C77"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基金简称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bookmarkStart w:id="3" w:name="t_3_1_1_0011_a1_fm1"/>
            <w:bookmarkEnd w:id="3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华宝海外科技股票（QDII-LOF）</w:t>
            </w:r>
          </w:p>
        </w:tc>
      </w:tr>
      <w:tr w:rsidR="00CA3884" w:rsidTr="00EB6C77"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基金主代码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bookmarkStart w:id="4" w:name="t_1_1_0012_a1_fm1"/>
            <w:bookmarkEnd w:id="4"/>
            <w:r>
              <w:rPr>
                <w:rFonts w:ascii="宋体" w:eastAsia="宋体" w:hAnsi="宋体" w:cs="宋体"/>
                <w:color w:val="000000"/>
              </w:rPr>
              <w:t>501312</w:t>
            </w:r>
          </w:p>
        </w:tc>
      </w:tr>
      <w:tr w:rsidR="00CA3884" w:rsidTr="00EB6C77"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基金管理人名称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bookmarkStart w:id="5" w:name="t_3_1_1_0186_a1_fm1"/>
            <w:bookmarkEnd w:id="5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华宝基金管理有限公司</w:t>
            </w:r>
          </w:p>
        </w:tc>
      </w:tr>
      <w:tr w:rsidR="00CA3884" w:rsidTr="00EB6C77"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公告依据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bookmarkStart w:id="6" w:name="t_3_1_1_2631_a1_fm1"/>
            <w:bookmarkEnd w:id="6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《华宝海外科技股票型证券投资基金（QDII-LOF）基金合同》和《华宝海外科技股票型证券投资基金（QDII-LOF）招募说明书》</w:t>
            </w:r>
          </w:p>
        </w:tc>
      </w:tr>
      <w:tr w:rsidR="00D0337D" w:rsidTr="00EB6C77">
        <w:tc>
          <w:tcPr>
            <w:tcW w:w="14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vAlign w:val="center"/>
            <w:hideMark/>
          </w:tcPr>
          <w:p w:rsidR="00D0337D" w:rsidRDefault="00D0337D" w:rsidP="00174017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恢复相关业务的日期及原因说明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D0337D" w:rsidRDefault="00D0337D" w:rsidP="00174017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恢复大额申购起始日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D0337D" w:rsidRDefault="00D0337D" w:rsidP="00174017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2024年10月17日</w:t>
            </w:r>
          </w:p>
        </w:tc>
      </w:tr>
      <w:tr w:rsidR="00D0337D" w:rsidTr="00EB6C77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7D" w:rsidRDefault="00D0337D" w:rsidP="0017401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D0337D" w:rsidRDefault="00D0337D" w:rsidP="00174017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恢复大额定期定额投资起始日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D0337D" w:rsidRDefault="00D0337D" w:rsidP="00174017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2024年10月17日</w:t>
            </w:r>
          </w:p>
        </w:tc>
      </w:tr>
      <w:tr w:rsidR="00D0337D" w:rsidTr="00EB6C77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7D" w:rsidRDefault="00D0337D" w:rsidP="0017401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D0337D" w:rsidRDefault="00D0337D" w:rsidP="00174017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恢复大额申赎及定投的原因说明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D0337D" w:rsidRDefault="00D0337D" w:rsidP="00174017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 w:rsidRPr="00D0337D">
              <w:rPr>
                <w:rFonts w:ascii="宋体" w:eastAsia="宋体" w:hAnsi="宋体" w:cs="宋体" w:hint="eastAsia"/>
                <w:color w:val="000000"/>
                <w:lang w:eastAsia="zh-CN"/>
              </w:rPr>
              <w:t>为满足广大投资者的投资需求</w:t>
            </w:r>
          </w:p>
        </w:tc>
      </w:tr>
      <w:tr w:rsidR="00CA3884" w:rsidTr="00EB6C77"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下属基金简称</w:t>
            </w:r>
          </w:p>
        </w:tc>
        <w:tc>
          <w:tcPr>
            <w:tcW w:w="2584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bookmarkStart w:id="7" w:name="t_3_1_3_2805_a1_fm1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海外科技LOF</w:t>
            </w:r>
          </w:p>
        </w:tc>
        <w:bookmarkEnd w:id="7"/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华宝海外科技股票（QDII-LOF）C</w:t>
            </w:r>
          </w:p>
        </w:tc>
      </w:tr>
      <w:tr w:rsidR="00CA3884" w:rsidTr="00EB6C77"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下属基金的交易代码</w:t>
            </w:r>
          </w:p>
        </w:tc>
        <w:tc>
          <w:tcPr>
            <w:tcW w:w="2584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501312</w:t>
            </w: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017204</w:t>
            </w:r>
          </w:p>
        </w:tc>
      </w:tr>
      <w:tr w:rsidR="00CA3884" w:rsidTr="00EB6C77"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CA3884" w:rsidRDefault="00D0337D">
            <w:pPr>
              <w:pStyle w:val="pMsoNormal"/>
              <w:rPr>
                <w:color w:val="000000"/>
                <w:lang w:val="zh-CN" w:eastAsia="zh-CN"/>
              </w:rPr>
            </w:pPr>
            <w:r w:rsidRPr="00D0337D">
              <w:rPr>
                <w:rFonts w:ascii="宋体" w:eastAsia="宋体" w:hAnsi="宋体" w:cs="宋体" w:hint="eastAsia"/>
                <w:color w:val="000000"/>
                <w:lang w:val="zh-CN" w:eastAsia="zh-CN"/>
              </w:rPr>
              <w:t>该基金是否恢复大额申赎（含定投）</w:t>
            </w:r>
          </w:p>
        </w:tc>
        <w:tc>
          <w:tcPr>
            <w:tcW w:w="2584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是</w:t>
            </w: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CA3884" w:rsidRDefault="00D45B09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是</w:t>
            </w:r>
          </w:p>
        </w:tc>
      </w:tr>
    </w:tbl>
    <w:p w:rsidR="00CA3884" w:rsidRDefault="00D45B09">
      <w:pPr>
        <w:pStyle w:val="2"/>
        <w:spacing w:before="156" w:after="156"/>
        <w:rPr>
          <w:rFonts w:eastAsia="Arial"/>
          <w:sz w:val="32"/>
          <w:szCs w:val="32"/>
          <w:lang w:val="zh-CN" w:eastAsia="zh-CN"/>
        </w:rPr>
      </w:pPr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 xml:space="preserve">2 </w:t>
      </w:r>
      <w:bookmarkStart w:id="8" w:name="t_3_2_table"/>
      <w:bookmarkEnd w:id="8"/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>其他需要提示的事项</w:t>
      </w:r>
    </w:p>
    <w:p w:rsidR="00D0337D" w:rsidRPr="00D0337D" w:rsidRDefault="00D0337D" w:rsidP="00D0337D">
      <w:pPr>
        <w:pStyle w:val="pMsoNormal"/>
        <w:spacing w:line="360" w:lineRule="auto"/>
        <w:ind w:firstLine="420"/>
        <w:jc w:val="left"/>
        <w:rPr>
          <w:rFonts w:ascii="宋体" w:eastAsia="宋体" w:hAnsi="宋体" w:cs="宋体"/>
          <w:lang w:val="zh-CN" w:eastAsia="zh-CN"/>
        </w:rPr>
      </w:pPr>
      <w:bookmarkStart w:id="9" w:name="t_3_2_2646_a1_fm1"/>
      <w:bookmarkEnd w:id="9"/>
      <w:r>
        <w:rPr>
          <w:rFonts w:ascii="宋体" w:eastAsia="宋体" w:hAnsi="宋体" w:cs="宋体"/>
          <w:lang w:val="zh-CN" w:eastAsia="zh-CN"/>
        </w:rPr>
        <w:t>（</w:t>
      </w:r>
      <w:r>
        <w:rPr>
          <w:rFonts w:ascii="宋体" w:eastAsia="宋体" w:hAnsi="宋体" w:cs="宋体" w:hint="eastAsia"/>
          <w:lang w:val="zh-CN" w:eastAsia="zh-CN"/>
        </w:rPr>
        <w:t>1</w:t>
      </w:r>
      <w:r>
        <w:rPr>
          <w:rFonts w:ascii="宋体" w:eastAsia="宋体" w:hAnsi="宋体" w:cs="宋体"/>
          <w:lang w:val="zh-CN" w:eastAsia="zh-CN"/>
        </w:rPr>
        <w:t>）华</w:t>
      </w:r>
      <w:r w:rsidR="00D45B09">
        <w:rPr>
          <w:rFonts w:ascii="宋体" w:eastAsia="宋体" w:hAnsi="宋体" w:cs="宋体"/>
          <w:lang w:val="zh-CN" w:eastAsia="zh-CN"/>
        </w:rPr>
        <w:t>宝基金管理有限公司</w:t>
      </w:r>
      <w:r w:rsidR="00D45B09" w:rsidRPr="00D0337D">
        <w:rPr>
          <w:rFonts w:ascii="宋体" w:eastAsia="宋体" w:hAnsi="宋体" w:cs="宋体"/>
          <w:lang w:val="zh-CN" w:eastAsia="zh-CN"/>
        </w:rPr>
        <w:t>(</w:t>
      </w:r>
      <w:r w:rsidR="00D45B09">
        <w:rPr>
          <w:rFonts w:ascii="宋体" w:eastAsia="宋体" w:hAnsi="宋体" w:cs="宋体"/>
          <w:lang w:val="zh-CN" w:eastAsia="zh-CN"/>
        </w:rPr>
        <w:t>以下简称</w:t>
      </w:r>
      <w:r w:rsidR="00D45B09" w:rsidRPr="00D0337D">
        <w:rPr>
          <w:rFonts w:ascii="宋体" w:eastAsia="宋体" w:hAnsi="宋体" w:cs="宋体"/>
          <w:lang w:val="zh-CN" w:eastAsia="zh-CN"/>
        </w:rPr>
        <w:t>“</w:t>
      </w:r>
      <w:r w:rsidR="00D45B09">
        <w:rPr>
          <w:rFonts w:ascii="宋体" w:eastAsia="宋体" w:hAnsi="宋体" w:cs="宋体"/>
          <w:lang w:val="zh-CN" w:eastAsia="zh-CN"/>
        </w:rPr>
        <w:t>本基金管理人</w:t>
      </w:r>
      <w:r w:rsidR="00D45B09" w:rsidRPr="00D0337D">
        <w:rPr>
          <w:rFonts w:ascii="宋体" w:eastAsia="宋体" w:hAnsi="宋体" w:cs="宋体"/>
          <w:lang w:val="zh-CN" w:eastAsia="zh-CN"/>
        </w:rPr>
        <w:t>”)</w:t>
      </w:r>
      <w:r w:rsidR="00D45B09">
        <w:rPr>
          <w:rFonts w:ascii="宋体" w:eastAsia="宋体" w:hAnsi="宋体" w:cs="宋体"/>
          <w:lang w:val="zh-CN" w:eastAsia="zh-CN"/>
        </w:rPr>
        <w:t>已于</w:t>
      </w:r>
      <w:r>
        <w:rPr>
          <w:rFonts w:ascii="宋体" w:eastAsia="宋体" w:hAnsi="宋体" w:cs="宋体"/>
          <w:lang w:val="zh-CN" w:eastAsia="zh-CN"/>
        </w:rPr>
        <w:t>2024</w:t>
      </w:r>
      <w:r w:rsidRPr="00D0337D">
        <w:rPr>
          <w:rFonts w:ascii="宋体" w:eastAsia="宋体" w:hAnsi="宋体" w:cs="宋体" w:hint="eastAsia"/>
          <w:lang w:val="zh-CN" w:eastAsia="zh-CN"/>
        </w:rPr>
        <w:t>年</w:t>
      </w:r>
      <w:r>
        <w:rPr>
          <w:rFonts w:ascii="宋体" w:eastAsia="宋体" w:hAnsi="宋体" w:cs="宋体"/>
          <w:lang w:val="zh-CN" w:eastAsia="zh-CN"/>
        </w:rPr>
        <w:t>7</w:t>
      </w:r>
      <w:r w:rsidRPr="00D0337D">
        <w:rPr>
          <w:rFonts w:ascii="宋体" w:eastAsia="宋体" w:hAnsi="宋体" w:cs="宋体" w:hint="eastAsia"/>
          <w:lang w:val="zh-CN" w:eastAsia="zh-CN"/>
        </w:rPr>
        <w:t>月</w:t>
      </w:r>
      <w:r>
        <w:rPr>
          <w:rFonts w:ascii="宋体" w:eastAsia="宋体" w:hAnsi="宋体" w:cs="宋体"/>
          <w:lang w:val="zh-CN" w:eastAsia="zh-CN"/>
        </w:rPr>
        <w:t>31</w:t>
      </w:r>
      <w:r w:rsidRPr="00D0337D">
        <w:rPr>
          <w:rFonts w:ascii="宋体" w:eastAsia="宋体" w:hAnsi="宋体" w:cs="宋体" w:hint="eastAsia"/>
          <w:lang w:val="zh-CN" w:eastAsia="zh-CN"/>
        </w:rPr>
        <w:t>日起将华宝海外科技股票型证券投资基金（</w:t>
      </w:r>
      <w:r w:rsidRPr="00D0337D">
        <w:rPr>
          <w:rFonts w:ascii="宋体" w:eastAsia="宋体" w:hAnsi="宋体" w:cs="宋体"/>
          <w:lang w:val="zh-CN" w:eastAsia="zh-CN"/>
        </w:rPr>
        <w:t>QDII-LOF</w:t>
      </w:r>
      <w:r w:rsidRPr="00D0337D">
        <w:rPr>
          <w:rFonts w:ascii="宋体" w:eastAsia="宋体" w:hAnsi="宋体" w:cs="宋体" w:hint="eastAsia"/>
          <w:lang w:val="zh-CN" w:eastAsia="zh-CN"/>
        </w:rPr>
        <w:t>）（以下简称</w:t>
      </w:r>
      <w:r w:rsidRPr="00D0337D">
        <w:rPr>
          <w:rFonts w:ascii="宋体" w:eastAsia="宋体" w:hAnsi="宋体" w:cs="宋体"/>
          <w:lang w:val="zh-CN" w:eastAsia="zh-CN"/>
        </w:rPr>
        <w:t>“</w:t>
      </w:r>
      <w:r w:rsidRPr="00D0337D">
        <w:rPr>
          <w:rFonts w:ascii="宋体" w:eastAsia="宋体" w:hAnsi="宋体" w:cs="宋体" w:hint="eastAsia"/>
          <w:lang w:val="zh-CN" w:eastAsia="zh-CN"/>
        </w:rPr>
        <w:t>本基金</w:t>
      </w:r>
      <w:r w:rsidRPr="00D0337D">
        <w:rPr>
          <w:rFonts w:ascii="宋体" w:eastAsia="宋体" w:hAnsi="宋体" w:cs="宋体"/>
          <w:lang w:val="zh-CN" w:eastAsia="zh-CN"/>
        </w:rPr>
        <w:t>”</w:t>
      </w:r>
      <w:r w:rsidRPr="00D0337D">
        <w:rPr>
          <w:rFonts w:ascii="宋体" w:eastAsia="宋体" w:hAnsi="宋体" w:cs="宋体" w:hint="eastAsia"/>
          <w:lang w:val="zh-CN" w:eastAsia="zh-CN"/>
        </w:rPr>
        <w:t>）</w:t>
      </w:r>
      <w:r w:rsidRPr="00D0337D">
        <w:rPr>
          <w:rFonts w:ascii="宋体" w:eastAsia="宋体" w:hAnsi="宋体" w:cs="宋体"/>
          <w:lang w:val="zh-CN" w:eastAsia="zh-CN"/>
        </w:rPr>
        <w:t xml:space="preserve">A </w:t>
      </w:r>
      <w:r w:rsidRPr="00D0337D">
        <w:rPr>
          <w:rFonts w:ascii="宋体" w:eastAsia="宋体" w:hAnsi="宋体" w:cs="宋体" w:hint="eastAsia"/>
          <w:lang w:val="zh-CN" w:eastAsia="zh-CN"/>
        </w:rPr>
        <w:t>类基金份额（以下简称</w:t>
      </w:r>
      <w:r w:rsidRPr="00D0337D">
        <w:rPr>
          <w:rFonts w:ascii="宋体" w:eastAsia="宋体" w:hAnsi="宋体" w:cs="宋体"/>
          <w:lang w:val="zh-CN" w:eastAsia="zh-CN"/>
        </w:rPr>
        <w:t>“</w:t>
      </w:r>
      <w:r w:rsidRPr="00D0337D">
        <w:rPr>
          <w:rFonts w:ascii="宋体" w:eastAsia="宋体" w:hAnsi="宋体" w:cs="宋体" w:hint="eastAsia"/>
          <w:lang w:val="zh-CN" w:eastAsia="zh-CN"/>
        </w:rPr>
        <w:t>海外科技</w:t>
      </w:r>
      <w:r w:rsidRPr="00D0337D">
        <w:rPr>
          <w:rFonts w:ascii="宋体" w:eastAsia="宋体" w:hAnsi="宋体" w:cs="宋体"/>
          <w:lang w:val="zh-CN" w:eastAsia="zh-CN"/>
        </w:rPr>
        <w:t xml:space="preserve"> LOF”</w:t>
      </w:r>
      <w:r w:rsidRPr="00D0337D">
        <w:rPr>
          <w:rFonts w:ascii="宋体" w:eastAsia="宋体" w:hAnsi="宋体" w:cs="宋体" w:hint="eastAsia"/>
          <w:lang w:val="zh-CN" w:eastAsia="zh-CN"/>
        </w:rPr>
        <w:t>）的单日单个基金账户累计申购（含定投）金额上限设置为</w:t>
      </w:r>
      <w:r>
        <w:rPr>
          <w:rFonts w:ascii="宋体" w:eastAsia="宋体" w:hAnsi="宋体" w:cs="宋体"/>
          <w:lang w:val="zh-CN" w:eastAsia="zh-CN"/>
        </w:rPr>
        <w:t>20</w:t>
      </w:r>
      <w:r w:rsidRPr="00D0337D">
        <w:rPr>
          <w:rFonts w:ascii="宋体" w:eastAsia="宋体" w:hAnsi="宋体" w:cs="宋体" w:hint="eastAsia"/>
          <w:lang w:val="zh-CN" w:eastAsia="zh-CN"/>
        </w:rPr>
        <w:t>万元（含）；本基金</w:t>
      </w:r>
      <w:r w:rsidRPr="00D0337D">
        <w:rPr>
          <w:rFonts w:ascii="宋体" w:eastAsia="宋体" w:hAnsi="宋体" w:cs="宋体"/>
          <w:lang w:val="zh-CN" w:eastAsia="zh-CN"/>
        </w:rPr>
        <w:t xml:space="preserve"> C </w:t>
      </w:r>
      <w:r w:rsidRPr="00D0337D">
        <w:rPr>
          <w:rFonts w:ascii="宋体" w:eastAsia="宋体" w:hAnsi="宋体" w:cs="宋体" w:hint="eastAsia"/>
          <w:lang w:val="zh-CN" w:eastAsia="zh-CN"/>
        </w:rPr>
        <w:t>类基金份额（以下简称</w:t>
      </w:r>
      <w:r w:rsidRPr="00D0337D">
        <w:rPr>
          <w:rFonts w:ascii="宋体" w:eastAsia="宋体" w:hAnsi="宋体" w:cs="宋体"/>
          <w:lang w:val="zh-CN" w:eastAsia="zh-CN"/>
        </w:rPr>
        <w:t>“</w:t>
      </w:r>
      <w:r w:rsidRPr="00D0337D">
        <w:rPr>
          <w:rFonts w:ascii="宋体" w:eastAsia="宋体" w:hAnsi="宋体" w:cs="宋体" w:hint="eastAsia"/>
          <w:lang w:val="zh-CN" w:eastAsia="zh-CN"/>
        </w:rPr>
        <w:t>华宝海外科技股票（</w:t>
      </w:r>
      <w:r w:rsidRPr="00D0337D">
        <w:rPr>
          <w:rFonts w:ascii="宋体" w:eastAsia="宋体" w:hAnsi="宋体" w:cs="宋体"/>
          <w:lang w:val="zh-CN" w:eastAsia="zh-CN"/>
        </w:rPr>
        <w:t>QDII-LOF</w:t>
      </w:r>
      <w:r w:rsidRPr="00D0337D">
        <w:rPr>
          <w:rFonts w:ascii="宋体" w:eastAsia="宋体" w:hAnsi="宋体" w:cs="宋体" w:hint="eastAsia"/>
          <w:lang w:val="zh-CN" w:eastAsia="zh-CN"/>
        </w:rPr>
        <w:t>）</w:t>
      </w:r>
      <w:r w:rsidRPr="00D0337D">
        <w:rPr>
          <w:rFonts w:ascii="宋体" w:eastAsia="宋体" w:hAnsi="宋体" w:cs="宋体"/>
          <w:lang w:val="zh-CN" w:eastAsia="zh-CN"/>
        </w:rPr>
        <w:t>C”</w:t>
      </w:r>
      <w:r w:rsidRPr="00D0337D">
        <w:rPr>
          <w:rFonts w:ascii="宋体" w:eastAsia="宋体" w:hAnsi="宋体" w:cs="宋体" w:hint="eastAsia"/>
          <w:lang w:val="zh-CN" w:eastAsia="zh-CN"/>
        </w:rPr>
        <w:t>）在部分销售机构（除直销柜台及网上直销平台）的单日单个基金账户累计申购</w:t>
      </w:r>
      <w:r w:rsidRPr="00D0337D">
        <w:rPr>
          <w:rFonts w:ascii="宋体" w:eastAsia="宋体" w:hAnsi="宋体" w:cs="宋体"/>
          <w:lang w:val="zh-CN" w:eastAsia="zh-CN"/>
        </w:rPr>
        <w:t xml:space="preserve"> </w:t>
      </w:r>
      <w:r w:rsidRPr="00D0337D">
        <w:rPr>
          <w:rFonts w:ascii="宋体" w:eastAsia="宋体" w:hAnsi="宋体" w:cs="宋体" w:hint="eastAsia"/>
          <w:lang w:val="zh-CN" w:eastAsia="zh-CN"/>
        </w:rPr>
        <w:t>（含定投）金额上限设置为</w:t>
      </w:r>
      <w:r w:rsidR="004511F3">
        <w:rPr>
          <w:rFonts w:ascii="宋体" w:eastAsia="宋体" w:hAnsi="宋体" w:cs="宋体"/>
          <w:lang w:val="zh-CN" w:eastAsia="zh-CN"/>
        </w:rPr>
        <w:t>20</w:t>
      </w:r>
      <w:r w:rsidRPr="00D0337D">
        <w:rPr>
          <w:rFonts w:ascii="宋体" w:eastAsia="宋体" w:hAnsi="宋体" w:cs="宋体" w:hint="eastAsia"/>
          <w:lang w:val="zh-CN" w:eastAsia="zh-CN"/>
        </w:rPr>
        <w:t>万元（含）。</w:t>
      </w:r>
    </w:p>
    <w:p w:rsidR="00CA3884" w:rsidRPr="00D0337D" w:rsidRDefault="00D45B09">
      <w:pPr>
        <w:pStyle w:val="pMsoNormal"/>
        <w:spacing w:line="360" w:lineRule="auto"/>
        <w:ind w:firstLine="420"/>
        <w:jc w:val="left"/>
        <w:rPr>
          <w:rFonts w:ascii="宋体" w:eastAsia="宋体" w:hAnsi="宋体" w:cs="宋体"/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为满足广大投资者的投资需求，根据法律法规及本基金基金合同的相关规定，本</w:t>
      </w:r>
      <w:r w:rsidR="00D0337D">
        <w:rPr>
          <w:rFonts w:ascii="宋体" w:eastAsia="宋体" w:hAnsi="宋体" w:cs="宋体"/>
          <w:lang w:val="zh-CN" w:eastAsia="zh-CN"/>
        </w:rPr>
        <w:t>公司</w:t>
      </w:r>
      <w:r>
        <w:rPr>
          <w:rFonts w:ascii="宋体" w:eastAsia="宋体" w:hAnsi="宋体" w:cs="宋体"/>
          <w:lang w:val="zh-CN" w:eastAsia="zh-CN"/>
        </w:rPr>
        <w:t>决定自2024年10月17日起取消上述限制，恢复办理本基金的</w:t>
      </w:r>
      <w:r w:rsidR="00D0337D">
        <w:rPr>
          <w:rFonts w:ascii="宋体" w:eastAsia="宋体" w:hAnsi="宋体" w:cs="宋体"/>
          <w:lang w:val="zh-CN" w:eastAsia="zh-CN"/>
        </w:rPr>
        <w:t>大额申赎（含定投）业务</w:t>
      </w:r>
      <w:r>
        <w:rPr>
          <w:rFonts w:ascii="宋体" w:eastAsia="宋体" w:hAnsi="宋体" w:cs="宋体"/>
          <w:lang w:val="zh-CN" w:eastAsia="zh-CN"/>
        </w:rPr>
        <w:t>。</w:t>
      </w:r>
    </w:p>
    <w:p w:rsidR="00CA3884" w:rsidRPr="00D0337D" w:rsidRDefault="00D45B09">
      <w:pPr>
        <w:pStyle w:val="pMsoNormal"/>
        <w:spacing w:line="360" w:lineRule="auto"/>
        <w:ind w:firstLine="420"/>
        <w:jc w:val="left"/>
        <w:rPr>
          <w:rFonts w:ascii="宋体" w:eastAsia="宋体" w:hAnsi="宋体" w:cs="宋体"/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（</w:t>
      </w:r>
      <w:r w:rsidRPr="00D0337D">
        <w:rPr>
          <w:rFonts w:ascii="宋体" w:eastAsia="宋体" w:hAnsi="宋体" w:cs="宋体"/>
          <w:lang w:val="zh-CN" w:eastAsia="zh-CN"/>
        </w:rPr>
        <w:t>2</w:t>
      </w:r>
      <w:r>
        <w:rPr>
          <w:rFonts w:ascii="宋体" w:eastAsia="宋体" w:hAnsi="宋体" w:cs="宋体"/>
          <w:lang w:val="zh-CN" w:eastAsia="zh-CN"/>
        </w:rPr>
        <w:t>）如有疑问</w:t>
      </w:r>
      <w:r w:rsidRPr="00D0337D">
        <w:rPr>
          <w:rFonts w:ascii="宋体" w:eastAsia="宋体" w:hAnsi="宋体" w:cs="宋体"/>
          <w:lang w:val="zh-CN" w:eastAsia="zh-CN"/>
        </w:rPr>
        <w:t>,</w:t>
      </w:r>
      <w:r>
        <w:rPr>
          <w:rFonts w:ascii="宋体" w:eastAsia="宋体" w:hAnsi="宋体" w:cs="宋体"/>
          <w:lang w:val="zh-CN" w:eastAsia="zh-CN"/>
        </w:rPr>
        <w:t>请拨打本公司客户服务电话</w:t>
      </w:r>
      <w:r w:rsidRPr="00D0337D">
        <w:rPr>
          <w:rFonts w:ascii="宋体" w:eastAsia="宋体" w:hAnsi="宋体" w:cs="宋体"/>
          <w:lang w:val="zh-CN" w:eastAsia="zh-CN"/>
        </w:rPr>
        <w:t>(400-700-5588</w:t>
      </w:r>
      <w:r>
        <w:rPr>
          <w:rFonts w:ascii="宋体" w:eastAsia="宋体" w:hAnsi="宋体" w:cs="宋体"/>
          <w:lang w:val="zh-CN" w:eastAsia="zh-CN"/>
        </w:rPr>
        <w:t>、</w:t>
      </w:r>
      <w:r w:rsidRPr="00D0337D">
        <w:rPr>
          <w:rFonts w:ascii="宋体" w:eastAsia="宋体" w:hAnsi="宋体" w:cs="宋体"/>
          <w:lang w:val="zh-CN" w:eastAsia="zh-CN"/>
        </w:rPr>
        <w:t>400-820-5050)</w:t>
      </w:r>
      <w:r>
        <w:rPr>
          <w:rFonts w:ascii="宋体" w:eastAsia="宋体" w:hAnsi="宋体" w:cs="宋体"/>
          <w:lang w:val="zh-CN" w:eastAsia="zh-CN"/>
        </w:rPr>
        <w:t>或登陆本公司网站</w:t>
      </w:r>
      <w:r w:rsidRPr="00D0337D">
        <w:rPr>
          <w:rFonts w:ascii="宋体" w:eastAsia="宋体" w:hAnsi="宋体" w:cs="宋体"/>
          <w:lang w:val="zh-CN" w:eastAsia="zh-CN"/>
        </w:rPr>
        <w:t>(www.fsfund.com)</w:t>
      </w:r>
      <w:r>
        <w:rPr>
          <w:rFonts w:ascii="宋体" w:eastAsia="宋体" w:hAnsi="宋体" w:cs="宋体"/>
          <w:lang w:val="zh-CN" w:eastAsia="zh-CN"/>
        </w:rPr>
        <w:t>获取相关信息。</w:t>
      </w:r>
    </w:p>
    <w:p w:rsidR="00CA3884" w:rsidRDefault="00D45B09">
      <w:pPr>
        <w:pStyle w:val="pMsoNormal"/>
        <w:spacing w:line="360" w:lineRule="auto"/>
        <w:ind w:firstLine="420"/>
        <w:jc w:val="left"/>
        <w:rPr>
          <w:lang w:val="zh-CN" w:eastAsia="zh-CN"/>
        </w:rPr>
      </w:pPr>
      <w:r>
        <w:rPr>
          <w:rFonts w:ascii="宋体" w:eastAsia="宋体" w:hAnsi="宋体" w:cs="宋体"/>
          <w:lang w:eastAsia="zh-CN"/>
        </w:rPr>
        <w:t> </w:t>
      </w:r>
    </w:p>
    <w:p w:rsidR="00CA3884" w:rsidRDefault="00D45B09">
      <w:pPr>
        <w:pStyle w:val="pMsoNormal"/>
        <w:spacing w:line="360" w:lineRule="auto"/>
        <w:ind w:firstLine="420"/>
        <w:jc w:val="left"/>
        <w:rPr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特此公告。</w:t>
      </w:r>
    </w:p>
    <w:p w:rsidR="00CA3884" w:rsidRDefault="00D45B09">
      <w:pPr>
        <w:pStyle w:val="pMsoNormal"/>
        <w:spacing w:line="360" w:lineRule="auto"/>
        <w:jc w:val="left"/>
        <w:rPr>
          <w:lang w:val="zh-CN" w:eastAsia="zh-CN"/>
        </w:rPr>
      </w:pPr>
      <w:r>
        <w:rPr>
          <w:rFonts w:ascii="宋体" w:eastAsia="宋体" w:hAnsi="宋体" w:cs="宋体"/>
          <w:lang w:eastAsia="zh-CN"/>
        </w:rPr>
        <w:t> </w:t>
      </w:r>
    </w:p>
    <w:p w:rsidR="00CA3884" w:rsidRDefault="00D45B09">
      <w:pPr>
        <w:pStyle w:val="pMsoNormal"/>
        <w:spacing w:line="360" w:lineRule="auto"/>
        <w:jc w:val="right"/>
        <w:rPr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华宝基金管理有限公司</w:t>
      </w:r>
    </w:p>
    <w:p w:rsidR="00CA3884" w:rsidRDefault="00D45B09">
      <w:pPr>
        <w:pStyle w:val="pMsoNormal"/>
        <w:spacing w:line="360" w:lineRule="auto"/>
        <w:jc w:val="right"/>
        <w:rPr>
          <w:lang w:val="zh-CN" w:eastAsia="zh-CN"/>
        </w:rPr>
      </w:pPr>
      <w:r>
        <w:rPr>
          <w:rFonts w:ascii="宋体" w:eastAsia="宋体" w:hAnsi="宋体" w:cs="宋体"/>
        </w:rPr>
        <w:t>2024年10月16日</w:t>
      </w:r>
    </w:p>
    <w:p w:rsidR="00A77B3E" w:rsidRDefault="00A77B3E"/>
    <w:sectPr w:rsidR="00A77B3E" w:rsidSect="0030667B">
      <w:footerReference w:type="default" r:id="rId7"/>
      <w:pgSz w:w="11906" w:h="16838"/>
      <w:pgMar w:top="1440" w:right="1531" w:bottom="1134" w:left="153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8E" w:rsidRDefault="00771B8E">
      <w:r>
        <w:separator/>
      </w:r>
    </w:p>
  </w:endnote>
  <w:endnote w:type="continuationSeparator" w:id="0">
    <w:p w:rsidR="00771B8E" w:rsidRDefault="0077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84" w:rsidRDefault="0030667B">
    <w:pPr>
      <w:jc w:val="center"/>
      <w:rPr>
        <w:sz w:val="20"/>
      </w:rPr>
    </w:pPr>
    <w:r>
      <w:rPr>
        <w:sz w:val="20"/>
      </w:rPr>
      <w:fldChar w:fldCharType="begin"/>
    </w:r>
    <w:r w:rsidR="00D45B09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D64AEC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8E" w:rsidRDefault="00771B8E">
      <w:r>
        <w:separator/>
      </w:r>
    </w:p>
  </w:footnote>
  <w:footnote w:type="continuationSeparator" w:id="0">
    <w:p w:rsidR="00771B8E" w:rsidRDefault="00771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0E6"/>
    <w:multiLevelType w:val="hybridMultilevel"/>
    <w:tmpl w:val="92FC6344"/>
    <w:lvl w:ilvl="0" w:tplc="DC72AD66">
      <w:start w:val="1"/>
      <w:numFmt w:val="decimal"/>
      <w:lvlText w:val="（%1）"/>
      <w:lvlJc w:val="left"/>
      <w:pPr>
        <w:ind w:left="9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0667B"/>
    <w:rsid w:val="00442825"/>
    <w:rsid w:val="004511F3"/>
    <w:rsid w:val="004C0846"/>
    <w:rsid w:val="00771B8E"/>
    <w:rsid w:val="00A77B3E"/>
    <w:rsid w:val="00CA2A55"/>
    <w:rsid w:val="00CA3884"/>
    <w:rsid w:val="00D0337D"/>
    <w:rsid w:val="00D45B09"/>
    <w:rsid w:val="00D64AEC"/>
    <w:rsid w:val="00EB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B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30667B"/>
  </w:style>
  <w:style w:type="paragraph" w:customStyle="1" w:styleId="pMsoNormal">
    <w:name w:val="p_MsoNormal"/>
    <w:basedOn w:val="a"/>
    <w:rsid w:val="0030667B"/>
    <w:pPr>
      <w:jc w:val="both"/>
    </w:pPr>
    <w:rPr>
      <w:rFonts w:ascii="Calibri" w:eastAsia="Calibri" w:hAnsi="Calibri" w:cs="Calibri"/>
      <w:sz w:val="21"/>
      <w:szCs w:val="21"/>
    </w:rPr>
  </w:style>
  <w:style w:type="table" w:customStyle="1" w:styleId="MsoNormalTable0">
    <w:name w:val="MsoNormalTable"/>
    <w:basedOn w:val="a1"/>
    <w:rsid w:val="003066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nhideWhenUsed/>
    <w:rsid w:val="00D03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337D"/>
    <w:rPr>
      <w:sz w:val="18"/>
      <w:szCs w:val="18"/>
    </w:rPr>
  </w:style>
  <w:style w:type="paragraph" w:styleId="a4">
    <w:name w:val="footer"/>
    <w:basedOn w:val="a"/>
    <w:link w:val="Char0"/>
    <w:unhideWhenUsed/>
    <w:rsid w:val="00D033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33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aqistu</dc:title>
  <dc:creator>唐棠</dc:creator>
  <cp:lastModifiedBy>ZHONGM</cp:lastModifiedBy>
  <cp:revision>2</cp:revision>
  <cp:lastPrinted>2024-10-15T09:13:00Z</cp:lastPrinted>
  <dcterms:created xsi:type="dcterms:W3CDTF">2024-10-15T16:01:00Z</dcterms:created>
  <dcterms:modified xsi:type="dcterms:W3CDTF">2024-10-15T16:01:00Z</dcterms:modified>
</cp:coreProperties>
</file>