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4F0132" w:rsidP="00E047F2">
      <w:pPr>
        <w:widowControl/>
        <w:spacing w:line="360" w:lineRule="auto"/>
        <w:jc w:val="center"/>
        <w:rPr>
          <w:rFonts w:ascii="Arial"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C3351A">
        <w:rPr>
          <w:rFonts w:ascii="Arial" w:eastAsiaTheme="minorEastAsia" w:hAnsi="Arial" w:cs="Arial" w:hint="eastAsia"/>
          <w:b/>
          <w:bCs/>
          <w:kern w:val="0"/>
          <w:szCs w:val="21"/>
        </w:rPr>
        <w:t>中信百信银行</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C3351A">
        <w:rPr>
          <w:rFonts w:ascii="Arial" w:hAnsi="Arial" w:cs="Arial" w:hint="eastAsia"/>
          <w:szCs w:val="21"/>
        </w:rPr>
        <w:t>中信百信银行股份有限公司</w:t>
      </w:r>
      <w:r w:rsidR="00EB6A0C" w:rsidRPr="000147DB">
        <w:rPr>
          <w:rFonts w:ascii="Arial" w:hAnsi="Arial" w:cs="Arial" w:hint="eastAsia"/>
          <w:szCs w:val="21"/>
        </w:rPr>
        <w:t>（以下简称</w:t>
      </w:r>
      <w:r w:rsidR="00EB6A0C" w:rsidRPr="000147DB">
        <w:rPr>
          <w:rFonts w:ascii="Arial" w:hAnsi="Arial" w:cs="Arial"/>
          <w:szCs w:val="21"/>
        </w:rPr>
        <w:t>“</w:t>
      </w:r>
      <w:r w:rsidR="00C3351A">
        <w:rPr>
          <w:rFonts w:ascii="Arial" w:hAnsi="Arial" w:cs="Arial" w:hint="eastAsia"/>
          <w:szCs w:val="21"/>
        </w:rPr>
        <w:t>中信百信银行</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BA5DF7">
        <w:rPr>
          <w:rFonts w:ascii="Arial" w:hAnsi="Arial" w:cs="Arial"/>
          <w:szCs w:val="21"/>
        </w:rPr>
        <w:t>4</w:t>
      </w:r>
      <w:r w:rsidR="00032518" w:rsidRPr="000147DB">
        <w:rPr>
          <w:rFonts w:ascii="Arial" w:hAnsi="Arial" w:cs="Arial" w:hint="eastAsia"/>
          <w:szCs w:val="21"/>
        </w:rPr>
        <w:t>年</w:t>
      </w:r>
      <w:r w:rsidR="00C3351A">
        <w:rPr>
          <w:rFonts w:ascii="Arial" w:hAnsi="Arial" w:cs="Arial"/>
          <w:szCs w:val="21"/>
        </w:rPr>
        <w:t>10</w:t>
      </w:r>
      <w:r w:rsidR="00032518" w:rsidRPr="000147DB">
        <w:rPr>
          <w:rFonts w:ascii="Arial" w:hAnsi="Arial" w:cs="Arial" w:hint="eastAsia"/>
          <w:szCs w:val="21"/>
        </w:rPr>
        <w:t>月</w:t>
      </w:r>
      <w:r w:rsidR="00C3351A">
        <w:rPr>
          <w:rFonts w:ascii="Arial" w:hAnsi="Arial" w:cs="Arial"/>
          <w:szCs w:val="21"/>
        </w:rPr>
        <w:t>1</w:t>
      </w:r>
      <w:r w:rsidR="000B5ABC">
        <w:rPr>
          <w:rFonts w:ascii="Arial" w:hAnsi="Arial" w:cs="Arial"/>
          <w:szCs w:val="21"/>
        </w:rPr>
        <w:t>4</w:t>
      </w:r>
      <w:r w:rsidRPr="000147DB">
        <w:rPr>
          <w:rFonts w:ascii="Arial" w:hAnsi="Arial" w:cs="Arial" w:hint="eastAsia"/>
          <w:szCs w:val="21"/>
        </w:rPr>
        <w:t>日起新增委托</w:t>
      </w:r>
      <w:r w:rsidR="00C3351A">
        <w:rPr>
          <w:rFonts w:ascii="Arial" w:hAnsi="Arial" w:cs="Arial" w:hint="eastAsia"/>
          <w:szCs w:val="21"/>
        </w:rPr>
        <w:t>中信百信银行</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C3351A">
        <w:rPr>
          <w:rFonts w:ascii="Arial" w:hAnsi="Arial" w:cs="Arial" w:hint="eastAsia"/>
          <w:szCs w:val="21"/>
        </w:rPr>
        <w:t>中信百信银行</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260"/>
        <w:gridCol w:w="1134"/>
        <w:gridCol w:w="1134"/>
        <w:gridCol w:w="1984"/>
      </w:tblGrid>
      <w:tr w:rsidR="002B7241" w:rsidRPr="00A138D7" w:rsidTr="00A138D7">
        <w:trPr>
          <w:trHeight w:val="288"/>
        </w:trPr>
        <w:tc>
          <w:tcPr>
            <w:tcW w:w="1135" w:type="dxa"/>
            <w:shd w:val="clear" w:color="000000" w:fill="D9D9D9"/>
            <w:noWrap/>
            <w:vAlign w:val="center"/>
            <w:hideMark/>
          </w:tcPr>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b/>
                <w:bCs/>
                <w:kern w:val="0"/>
                <w:szCs w:val="21"/>
              </w:rPr>
              <w:t>基金代码</w:t>
            </w:r>
          </w:p>
        </w:tc>
        <w:tc>
          <w:tcPr>
            <w:tcW w:w="3260" w:type="dxa"/>
            <w:shd w:val="clear" w:color="000000" w:fill="D9D9D9"/>
            <w:noWrap/>
            <w:vAlign w:val="center"/>
            <w:hideMark/>
          </w:tcPr>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b/>
                <w:bCs/>
                <w:kern w:val="0"/>
                <w:szCs w:val="21"/>
              </w:rPr>
              <w:t>基金名称</w:t>
            </w:r>
          </w:p>
        </w:tc>
        <w:tc>
          <w:tcPr>
            <w:tcW w:w="1134" w:type="dxa"/>
            <w:shd w:val="clear" w:color="000000" w:fill="D9D9D9"/>
            <w:vAlign w:val="center"/>
          </w:tcPr>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b/>
                <w:bCs/>
                <w:kern w:val="0"/>
                <w:szCs w:val="21"/>
              </w:rPr>
              <w:t>是否开通</w:t>
            </w:r>
          </w:p>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hint="eastAsia"/>
                <w:b/>
                <w:bCs/>
                <w:kern w:val="0"/>
                <w:szCs w:val="21"/>
              </w:rPr>
              <w:t>定投业务</w:t>
            </w:r>
          </w:p>
        </w:tc>
        <w:tc>
          <w:tcPr>
            <w:tcW w:w="1134" w:type="dxa"/>
            <w:shd w:val="clear" w:color="000000" w:fill="D9D9D9"/>
            <w:vAlign w:val="center"/>
          </w:tcPr>
          <w:p w:rsidR="004D7080"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hint="eastAsia"/>
                <w:b/>
                <w:bCs/>
                <w:kern w:val="0"/>
                <w:szCs w:val="21"/>
              </w:rPr>
              <w:t>是否开通</w:t>
            </w:r>
          </w:p>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hint="eastAsia"/>
                <w:b/>
                <w:bCs/>
                <w:kern w:val="0"/>
                <w:szCs w:val="21"/>
              </w:rPr>
              <w:t>转换业务</w:t>
            </w:r>
          </w:p>
        </w:tc>
        <w:tc>
          <w:tcPr>
            <w:tcW w:w="1984" w:type="dxa"/>
            <w:shd w:val="clear" w:color="000000" w:fill="D9D9D9"/>
            <w:vAlign w:val="center"/>
          </w:tcPr>
          <w:p w:rsidR="002B7241" w:rsidRPr="00A138D7" w:rsidRDefault="002B7241" w:rsidP="00A138D7">
            <w:pPr>
              <w:widowControl/>
              <w:jc w:val="center"/>
              <w:rPr>
                <w:rFonts w:asciiTheme="minorEastAsia" w:eastAsiaTheme="minorEastAsia" w:hAnsiTheme="minorEastAsia" w:cs="Arial"/>
                <w:b/>
                <w:bCs/>
                <w:kern w:val="0"/>
                <w:szCs w:val="21"/>
              </w:rPr>
            </w:pPr>
            <w:r w:rsidRPr="00A138D7">
              <w:rPr>
                <w:rFonts w:asciiTheme="minorEastAsia" w:eastAsiaTheme="minorEastAsia" w:hAnsiTheme="minorEastAsia" w:cs="Arial" w:hint="eastAsia"/>
                <w:b/>
                <w:bCs/>
                <w:kern w:val="0"/>
                <w:szCs w:val="21"/>
              </w:rPr>
              <w:t>是否参加销售机构申购（含定期定额申购）费率优惠</w:t>
            </w:r>
          </w:p>
        </w:tc>
      </w:tr>
      <w:tr w:rsidR="00B36B0C" w:rsidRPr="00A138D7" w:rsidTr="00A138D7">
        <w:trPr>
          <w:trHeight w:val="288"/>
        </w:trPr>
        <w:tc>
          <w:tcPr>
            <w:tcW w:w="1135" w:type="dxa"/>
            <w:shd w:val="clear" w:color="auto" w:fill="auto"/>
            <w:noWrap/>
            <w:vAlign w:val="center"/>
          </w:tcPr>
          <w:p w:rsidR="00B36B0C" w:rsidRPr="00A138D7" w:rsidRDefault="00B36B0C"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003408</w:t>
            </w:r>
          </w:p>
        </w:tc>
        <w:tc>
          <w:tcPr>
            <w:tcW w:w="3260" w:type="dxa"/>
            <w:shd w:val="clear" w:color="000000" w:fill="FFFFFF"/>
            <w:noWrap/>
            <w:vAlign w:val="center"/>
          </w:tcPr>
          <w:p w:rsidR="00B36B0C" w:rsidRPr="00A138D7" w:rsidRDefault="00B36B0C"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景顺长城景泰丰利纯债债券型证券投资基金C</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98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不适用</w:t>
            </w:r>
          </w:p>
        </w:tc>
      </w:tr>
      <w:tr w:rsidR="00B36B0C" w:rsidRPr="00A138D7" w:rsidTr="00A138D7">
        <w:trPr>
          <w:trHeight w:val="288"/>
        </w:trPr>
        <w:tc>
          <w:tcPr>
            <w:tcW w:w="1135" w:type="dxa"/>
            <w:shd w:val="clear" w:color="auto" w:fill="auto"/>
            <w:noWrap/>
            <w:vAlign w:val="center"/>
          </w:tcPr>
          <w:p w:rsidR="00B36B0C" w:rsidRPr="00A138D7" w:rsidRDefault="00B36B0C"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017091</w:t>
            </w:r>
          </w:p>
        </w:tc>
        <w:tc>
          <w:tcPr>
            <w:tcW w:w="3260" w:type="dxa"/>
            <w:shd w:val="clear" w:color="000000" w:fill="FFFFFF"/>
            <w:noWrap/>
            <w:vAlign w:val="center"/>
          </w:tcPr>
          <w:p w:rsidR="00B36B0C" w:rsidRPr="00A138D7" w:rsidRDefault="00B36B0C"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景顺长城纳斯达克科技市值加权交易型开放式指数证券投资基金发起式联接基金（QDII）人民币A</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98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是</w:t>
            </w:r>
          </w:p>
        </w:tc>
      </w:tr>
      <w:tr w:rsidR="00B36B0C" w:rsidRPr="00A138D7" w:rsidTr="00A138D7">
        <w:trPr>
          <w:trHeight w:val="288"/>
        </w:trPr>
        <w:tc>
          <w:tcPr>
            <w:tcW w:w="1135" w:type="dxa"/>
            <w:shd w:val="clear" w:color="auto" w:fill="auto"/>
            <w:noWrap/>
            <w:vAlign w:val="center"/>
          </w:tcPr>
          <w:p w:rsidR="00B36B0C" w:rsidRPr="00A138D7" w:rsidRDefault="00B36B0C"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017093</w:t>
            </w:r>
          </w:p>
        </w:tc>
        <w:tc>
          <w:tcPr>
            <w:tcW w:w="3260" w:type="dxa"/>
            <w:shd w:val="clear" w:color="000000" w:fill="FFFFFF"/>
            <w:noWrap/>
            <w:vAlign w:val="center"/>
          </w:tcPr>
          <w:p w:rsidR="00B36B0C" w:rsidRPr="00A138D7" w:rsidRDefault="00B36B0C"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景顺长城纳斯达克科技市值加权交易型开放式指数证券投资基金发起式联接基金（QDII）人民币C</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98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不适用</w:t>
            </w:r>
          </w:p>
        </w:tc>
      </w:tr>
      <w:tr w:rsidR="00B36B0C" w:rsidRPr="00A138D7" w:rsidTr="00A138D7">
        <w:trPr>
          <w:trHeight w:val="288"/>
        </w:trPr>
        <w:tc>
          <w:tcPr>
            <w:tcW w:w="1135" w:type="dxa"/>
            <w:shd w:val="clear" w:color="auto" w:fill="auto"/>
            <w:noWrap/>
            <w:vAlign w:val="center"/>
          </w:tcPr>
          <w:p w:rsidR="00B36B0C" w:rsidRPr="00A138D7" w:rsidRDefault="00B36B0C"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501225</w:t>
            </w:r>
          </w:p>
        </w:tc>
        <w:tc>
          <w:tcPr>
            <w:tcW w:w="3260" w:type="dxa"/>
            <w:shd w:val="clear" w:color="000000" w:fill="FFFFFF"/>
            <w:noWrap/>
            <w:vAlign w:val="center"/>
          </w:tcPr>
          <w:p w:rsidR="00B36B0C" w:rsidRPr="00A138D7" w:rsidRDefault="00B36B0C"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景顺长城全球半导体芯片产业股票型证券投资基金（QDII-LOF）人民币A</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未开通</w:t>
            </w:r>
          </w:p>
        </w:tc>
        <w:tc>
          <w:tcPr>
            <w:tcW w:w="198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是</w:t>
            </w:r>
          </w:p>
        </w:tc>
      </w:tr>
      <w:tr w:rsidR="00B36B0C" w:rsidRPr="00A138D7" w:rsidTr="00A138D7">
        <w:trPr>
          <w:trHeight w:val="288"/>
        </w:trPr>
        <w:tc>
          <w:tcPr>
            <w:tcW w:w="1135" w:type="dxa"/>
            <w:shd w:val="clear" w:color="auto" w:fill="auto"/>
            <w:noWrap/>
            <w:vAlign w:val="center"/>
          </w:tcPr>
          <w:p w:rsidR="00B36B0C" w:rsidRPr="00A138D7" w:rsidRDefault="00B36B0C"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016668</w:t>
            </w:r>
          </w:p>
        </w:tc>
        <w:tc>
          <w:tcPr>
            <w:tcW w:w="3260" w:type="dxa"/>
            <w:shd w:val="clear" w:color="000000" w:fill="FFFFFF"/>
            <w:noWrap/>
            <w:vAlign w:val="center"/>
          </w:tcPr>
          <w:p w:rsidR="00B36B0C" w:rsidRPr="00A138D7" w:rsidRDefault="00B36B0C"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景顺长城全球半导体芯片产业股票型证券投资基金（QDII-LOF）人民币C</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未开通</w:t>
            </w:r>
          </w:p>
        </w:tc>
        <w:tc>
          <w:tcPr>
            <w:tcW w:w="1984" w:type="dxa"/>
            <w:shd w:val="clear" w:color="000000" w:fill="FFFFFF"/>
            <w:vAlign w:val="center"/>
          </w:tcPr>
          <w:p w:rsidR="00B36B0C" w:rsidRPr="00A138D7" w:rsidRDefault="00B36B0C"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不适用</w:t>
            </w:r>
          </w:p>
        </w:tc>
      </w:tr>
      <w:tr w:rsidR="00A138D7" w:rsidRPr="00A138D7" w:rsidTr="00A138D7">
        <w:trPr>
          <w:trHeight w:val="288"/>
        </w:trPr>
        <w:tc>
          <w:tcPr>
            <w:tcW w:w="1135" w:type="dxa"/>
            <w:shd w:val="clear" w:color="auto" w:fill="auto"/>
            <w:noWrap/>
            <w:vAlign w:val="center"/>
          </w:tcPr>
          <w:p w:rsidR="00A138D7" w:rsidRPr="00A138D7" w:rsidRDefault="00A138D7" w:rsidP="00A138D7">
            <w:pPr>
              <w:widowControl/>
              <w:jc w:val="center"/>
              <w:rPr>
                <w:rFonts w:asciiTheme="minorEastAsia" w:eastAsiaTheme="minorEastAsia" w:hAnsiTheme="minorEastAsia" w:cs="Arial"/>
                <w:szCs w:val="21"/>
              </w:rPr>
            </w:pPr>
            <w:bookmarkStart w:id="0" w:name="_GoBack" w:colFirst="0" w:colLast="4"/>
            <w:r w:rsidRPr="00A138D7">
              <w:rPr>
                <w:rFonts w:asciiTheme="minorEastAsia" w:eastAsiaTheme="minorEastAsia" w:hAnsiTheme="minorEastAsia" w:cs="Arial"/>
                <w:szCs w:val="21"/>
              </w:rPr>
              <w:t>262001</w:t>
            </w:r>
          </w:p>
        </w:tc>
        <w:tc>
          <w:tcPr>
            <w:tcW w:w="3260" w:type="dxa"/>
            <w:shd w:val="clear" w:color="000000" w:fill="FFFFFF"/>
            <w:noWrap/>
            <w:vAlign w:val="center"/>
          </w:tcPr>
          <w:p w:rsidR="00A138D7" w:rsidRPr="00A138D7" w:rsidRDefault="00A138D7"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 xml:space="preserve">景顺长城大中华混合型证券投资基金(QDII) 人民币A </w:t>
            </w:r>
          </w:p>
        </w:tc>
        <w:tc>
          <w:tcPr>
            <w:tcW w:w="113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未开通</w:t>
            </w:r>
          </w:p>
        </w:tc>
        <w:tc>
          <w:tcPr>
            <w:tcW w:w="198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是</w:t>
            </w:r>
          </w:p>
        </w:tc>
      </w:tr>
      <w:tr w:rsidR="00A138D7" w:rsidRPr="00A138D7" w:rsidTr="00A138D7">
        <w:trPr>
          <w:trHeight w:val="288"/>
        </w:trPr>
        <w:tc>
          <w:tcPr>
            <w:tcW w:w="1135" w:type="dxa"/>
            <w:shd w:val="clear" w:color="auto" w:fill="auto"/>
            <w:noWrap/>
            <w:vAlign w:val="center"/>
          </w:tcPr>
          <w:p w:rsidR="00A138D7" w:rsidRPr="00A138D7" w:rsidRDefault="00A138D7" w:rsidP="00A138D7">
            <w:pPr>
              <w:widowControl/>
              <w:jc w:val="center"/>
              <w:rPr>
                <w:rFonts w:asciiTheme="minorEastAsia" w:eastAsiaTheme="minorEastAsia" w:hAnsiTheme="minorEastAsia" w:cs="Arial"/>
                <w:szCs w:val="21"/>
              </w:rPr>
            </w:pPr>
            <w:r w:rsidRPr="00A138D7">
              <w:rPr>
                <w:rFonts w:asciiTheme="minorEastAsia" w:eastAsiaTheme="minorEastAsia" w:hAnsiTheme="minorEastAsia" w:cs="Arial"/>
                <w:szCs w:val="21"/>
              </w:rPr>
              <w:t>016988</w:t>
            </w:r>
          </w:p>
        </w:tc>
        <w:tc>
          <w:tcPr>
            <w:tcW w:w="3260" w:type="dxa"/>
            <w:shd w:val="clear" w:color="000000" w:fill="FFFFFF"/>
            <w:noWrap/>
            <w:vAlign w:val="center"/>
          </w:tcPr>
          <w:p w:rsidR="00A138D7" w:rsidRPr="00A138D7" w:rsidRDefault="00A138D7" w:rsidP="00A138D7">
            <w:pPr>
              <w:widowControl/>
              <w:rPr>
                <w:rFonts w:asciiTheme="minorEastAsia" w:eastAsiaTheme="minorEastAsia" w:hAnsiTheme="minorEastAsia" w:cs="Arial"/>
                <w:szCs w:val="21"/>
              </w:rPr>
            </w:pPr>
            <w:r w:rsidRPr="00A138D7">
              <w:rPr>
                <w:rFonts w:asciiTheme="minorEastAsia" w:eastAsiaTheme="minorEastAsia" w:hAnsiTheme="minorEastAsia" w:cs="Arial"/>
                <w:szCs w:val="21"/>
              </w:rPr>
              <w:t xml:space="preserve">景顺长城大中华混合型证券投资基金(QDII) 人民币C </w:t>
            </w:r>
          </w:p>
        </w:tc>
        <w:tc>
          <w:tcPr>
            <w:tcW w:w="113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开通</w:t>
            </w:r>
          </w:p>
        </w:tc>
        <w:tc>
          <w:tcPr>
            <w:tcW w:w="113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未开通</w:t>
            </w:r>
          </w:p>
        </w:tc>
        <w:tc>
          <w:tcPr>
            <w:tcW w:w="1984" w:type="dxa"/>
            <w:shd w:val="clear" w:color="000000" w:fill="FFFFFF"/>
            <w:vAlign w:val="center"/>
          </w:tcPr>
          <w:p w:rsidR="00A138D7" w:rsidRPr="00A138D7" w:rsidRDefault="00A138D7" w:rsidP="00A138D7">
            <w:pPr>
              <w:widowControl/>
              <w:jc w:val="center"/>
              <w:rPr>
                <w:rFonts w:asciiTheme="minorEastAsia" w:eastAsiaTheme="minorEastAsia" w:hAnsiTheme="minorEastAsia" w:cs="Arial"/>
                <w:color w:val="000000"/>
                <w:szCs w:val="21"/>
              </w:rPr>
            </w:pPr>
            <w:r w:rsidRPr="00A138D7">
              <w:rPr>
                <w:rFonts w:asciiTheme="minorEastAsia" w:eastAsiaTheme="minorEastAsia" w:hAnsiTheme="minorEastAsia" w:cs="Arial"/>
                <w:color w:val="000000"/>
                <w:szCs w:val="21"/>
              </w:rPr>
              <w:t>不适用</w:t>
            </w:r>
          </w:p>
        </w:tc>
      </w:tr>
      <w:bookmarkEnd w:id="0"/>
    </w:tbl>
    <w:p w:rsidR="00CD3E56" w:rsidRDefault="00CD3E56" w:rsidP="00CD3E56">
      <w:pPr>
        <w:widowControl/>
        <w:spacing w:line="360" w:lineRule="auto"/>
        <w:jc w:val="left"/>
        <w:rPr>
          <w:rFonts w:ascii="Arial" w:hAnsi="Arial" w:cs="Arial"/>
          <w:color w:val="000000"/>
          <w:kern w:val="0"/>
          <w:szCs w:val="21"/>
        </w:rPr>
      </w:pPr>
    </w:p>
    <w:p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C3351A">
        <w:rPr>
          <w:rFonts w:ascii="Arial" w:hAnsi="Arial" w:cs="Arial" w:hint="eastAsia"/>
          <w:szCs w:val="21"/>
        </w:rPr>
        <w:t>中信百信银行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C3351A">
        <w:rPr>
          <w:rFonts w:ascii="Arial" w:hAnsi="Arial" w:cs="Arial" w:hint="eastAsia"/>
          <w:kern w:val="0"/>
          <w:szCs w:val="21"/>
        </w:rPr>
        <w:t>中信百信银行股份有限公司</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注册（办公）地址：北京市朝阳区安定路</w:t>
      </w:r>
      <w:r w:rsidRPr="00C3351A">
        <w:rPr>
          <w:rFonts w:ascii="Arial" w:hAnsi="Arial" w:cs="Arial" w:hint="eastAsia"/>
          <w:kern w:val="0"/>
          <w:szCs w:val="21"/>
        </w:rPr>
        <w:t>5</w:t>
      </w:r>
      <w:r w:rsidRPr="00C3351A">
        <w:rPr>
          <w:rFonts w:ascii="Arial" w:hAnsi="Arial" w:cs="Arial" w:hint="eastAsia"/>
          <w:kern w:val="0"/>
          <w:szCs w:val="21"/>
        </w:rPr>
        <w:t>号院</w:t>
      </w:r>
      <w:r w:rsidRPr="00C3351A">
        <w:rPr>
          <w:rFonts w:ascii="Arial" w:hAnsi="Arial" w:cs="Arial" w:hint="eastAsia"/>
          <w:kern w:val="0"/>
          <w:szCs w:val="21"/>
        </w:rPr>
        <w:t>3</w:t>
      </w:r>
      <w:r w:rsidRPr="00C3351A">
        <w:rPr>
          <w:rFonts w:ascii="Arial" w:hAnsi="Arial" w:cs="Arial" w:hint="eastAsia"/>
          <w:kern w:val="0"/>
          <w:szCs w:val="21"/>
        </w:rPr>
        <w:t>号楼</w:t>
      </w:r>
      <w:r w:rsidRPr="00C3351A">
        <w:rPr>
          <w:rFonts w:ascii="Arial" w:hAnsi="Arial" w:cs="Arial" w:hint="eastAsia"/>
          <w:kern w:val="0"/>
          <w:szCs w:val="21"/>
        </w:rPr>
        <w:t>8</w:t>
      </w:r>
      <w:r w:rsidRPr="00C3351A">
        <w:rPr>
          <w:rFonts w:ascii="Arial" w:hAnsi="Arial" w:cs="Arial" w:hint="eastAsia"/>
          <w:kern w:val="0"/>
          <w:szCs w:val="21"/>
        </w:rPr>
        <w:t>层</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lastRenderedPageBreak/>
        <w:t>法定代表人：李如东</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联系人：</w:t>
      </w:r>
      <w:r w:rsidRPr="00C3351A">
        <w:rPr>
          <w:rFonts w:ascii="Arial" w:hAnsi="Arial" w:cs="Arial" w:hint="eastAsia"/>
          <w:kern w:val="0"/>
          <w:szCs w:val="21"/>
        </w:rPr>
        <w:t xml:space="preserve"> </w:t>
      </w:r>
      <w:r w:rsidRPr="00C3351A">
        <w:rPr>
          <w:rFonts w:ascii="Arial" w:hAnsi="Arial" w:cs="Arial" w:hint="eastAsia"/>
          <w:kern w:val="0"/>
          <w:szCs w:val="21"/>
        </w:rPr>
        <w:t>韩晓彤</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电话：</w:t>
      </w:r>
      <w:r w:rsidRPr="00C3351A">
        <w:rPr>
          <w:rFonts w:ascii="Arial" w:hAnsi="Arial" w:cs="Arial" w:hint="eastAsia"/>
          <w:kern w:val="0"/>
          <w:szCs w:val="21"/>
        </w:rPr>
        <w:t>010-50925699</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传真：</w:t>
      </w:r>
      <w:r w:rsidRPr="00C3351A">
        <w:rPr>
          <w:rFonts w:ascii="Arial" w:hAnsi="Arial" w:cs="Arial" w:hint="eastAsia"/>
          <w:kern w:val="0"/>
          <w:szCs w:val="21"/>
        </w:rPr>
        <w:t>010-86496277</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客户服务电话：</w:t>
      </w:r>
      <w:r w:rsidRPr="00C3351A">
        <w:rPr>
          <w:rFonts w:ascii="Arial" w:hAnsi="Arial" w:cs="Arial" w:hint="eastAsia"/>
          <w:kern w:val="0"/>
          <w:szCs w:val="21"/>
        </w:rPr>
        <w:t>956186</w:t>
      </w:r>
    </w:p>
    <w:p w:rsidR="00995AD7" w:rsidRPr="004467ED"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网址：</w:t>
      </w:r>
      <w:r w:rsidRPr="00C3351A">
        <w:rPr>
          <w:rFonts w:ascii="Arial" w:hAnsi="Arial" w:cs="Arial" w:hint="eastAsia"/>
          <w:kern w:val="0"/>
          <w:szCs w:val="21"/>
        </w:rPr>
        <w:t>www.aibank.com</w:t>
      </w:r>
    </w:p>
    <w:p w:rsidR="00B84339" w:rsidRDefault="00B84339"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lastRenderedPageBreak/>
        <w:t>2</w:t>
      </w:r>
      <w:r w:rsidRPr="00EF4360">
        <w:rPr>
          <w:rFonts w:ascii="Arial" w:hAnsi="Arial" w:cs="Arial" w:hint="eastAsia"/>
          <w:szCs w:val="21"/>
        </w:rPr>
        <w:t>、</w:t>
      </w:r>
      <w:r w:rsidR="00C3351A">
        <w:rPr>
          <w:rFonts w:ascii="Arial" w:hAnsi="Arial" w:cs="Arial" w:hint="eastAsia"/>
          <w:kern w:val="0"/>
          <w:szCs w:val="21"/>
        </w:rPr>
        <w:t>中信百信银行股份有限公司</w:t>
      </w:r>
    </w:p>
    <w:p w:rsidR="00C3351A" w:rsidRPr="00C3351A"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客户服务电话：</w:t>
      </w:r>
      <w:r w:rsidRPr="00C3351A">
        <w:rPr>
          <w:rFonts w:ascii="Arial" w:hAnsi="Arial" w:cs="Arial" w:hint="eastAsia"/>
          <w:kern w:val="0"/>
          <w:szCs w:val="21"/>
        </w:rPr>
        <w:t>956186</w:t>
      </w:r>
    </w:p>
    <w:p w:rsidR="00C3351A" w:rsidRPr="004467ED" w:rsidRDefault="00C3351A" w:rsidP="00C3351A">
      <w:pPr>
        <w:widowControl/>
        <w:spacing w:line="360" w:lineRule="auto"/>
        <w:ind w:firstLineChars="200" w:firstLine="420"/>
        <w:jc w:val="left"/>
        <w:rPr>
          <w:rFonts w:ascii="Arial" w:hAnsi="Arial" w:cs="Arial"/>
          <w:kern w:val="0"/>
          <w:szCs w:val="21"/>
        </w:rPr>
      </w:pPr>
      <w:r w:rsidRPr="00C3351A">
        <w:rPr>
          <w:rFonts w:ascii="Arial" w:hAnsi="Arial" w:cs="Arial" w:hint="eastAsia"/>
          <w:kern w:val="0"/>
          <w:szCs w:val="21"/>
        </w:rPr>
        <w:t>网址：</w:t>
      </w:r>
      <w:r w:rsidRPr="00C3351A">
        <w:rPr>
          <w:rFonts w:ascii="Arial" w:hAnsi="Arial" w:cs="Arial" w:hint="eastAsia"/>
          <w:kern w:val="0"/>
          <w:szCs w:val="21"/>
        </w:rPr>
        <w:t>www.aibank.com</w:t>
      </w:r>
    </w:p>
    <w:p w:rsidR="000237E9" w:rsidRPr="00C3351A"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rsidP="00836961">
      <w:pPr>
        <w:widowControl/>
        <w:wordWrap w:val="0"/>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BA5DF7">
        <w:rPr>
          <w:rFonts w:ascii="Arial" w:hAnsi="Arial" w:cs="Arial" w:hint="eastAsia"/>
          <w:kern w:val="0"/>
          <w:szCs w:val="21"/>
        </w:rPr>
        <w:t>四</w:t>
      </w:r>
      <w:r w:rsidRPr="00FD5083">
        <w:rPr>
          <w:rFonts w:ascii="Arial" w:hAnsi="Arial" w:cs="Arial"/>
          <w:kern w:val="0"/>
          <w:szCs w:val="21"/>
        </w:rPr>
        <w:t>年</w:t>
      </w:r>
      <w:r w:rsidR="00C3351A">
        <w:rPr>
          <w:rFonts w:ascii="Arial" w:hAnsi="Arial" w:cs="Arial" w:hint="eastAsia"/>
          <w:kern w:val="0"/>
          <w:szCs w:val="21"/>
        </w:rPr>
        <w:t>十</w:t>
      </w:r>
      <w:r w:rsidR="00527CFF" w:rsidRPr="00FD5083">
        <w:rPr>
          <w:rFonts w:ascii="Arial" w:hAnsi="Arial" w:cs="Arial"/>
          <w:kern w:val="0"/>
          <w:szCs w:val="21"/>
        </w:rPr>
        <w:t>月</w:t>
      </w:r>
      <w:r w:rsidR="007B5D6E">
        <w:rPr>
          <w:rFonts w:ascii="Arial" w:hAnsi="Arial" w:cs="Arial" w:hint="eastAsia"/>
          <w:kern w:val="0"/>
          <w:szCs w:val="21"/>
        </w:rPr>
        <w:t>十四</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8" w:rsidRDefault="00834CC8" w:rsidP="008E6554">
      <w:r>
        <w:separator/>
      </w:r>
    </w:p>
  </w:endnote>
  <w:endnote w:type="continuationSeparator" w:id="0">
    <w:p w:rsidR="00834CC8" w:rsidRDefault="00834CC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8" w:rsidRDefault="00834CC8" w:rsidP="008E6554">
      <w:r>
        <w:separator/>
      </w:r>
    </w:p>
  </w:footnote>
  <w:footnote w:type="continuationSeparator" w:id="0">
    <w:p w:rsidR="00834CC8" w:rsidRDefault="00834CC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32AE6"/>
    <w:rsid w:val="00044302"/>
    <w:rsid w:val="00047E91"/>
    <w:rsid w:val="00050352"/>
    <w:rsid w:val="00050DD0"/>
    <w:rsid w:val="000528B7"/>
    <w:rsid w:val="0006655E"/>
    <w:rsid w:val="00073E17"/>
    <w:rsid w:val="000863EA"/>
    <w:rsid w:val="0009138D"/>
    <w:rsid w:val="00093D33"/>
    <w:rsid w:val="000975F7"/>
    <w:rsid w:val="000A2295"/>
    <w:rsid w:val="000B4D9B"/>
    <w:rsid w:val="000B5ABC"/>
    <w:rsid w:val="000C1AEC"/>
    <w:rsid w:val="000C47B7"/>
    <w:rsid w:val="000D6C7B"/>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7F1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57E0"/>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1CD5"/>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3EEB"/>
    <w:rsid w:val="004D7080"/>
    <w:rsid w:val="004D7F8C"/>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66984"/>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6A91"/>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0DE7"/>
    <w:rsid w:val="00701E6B"/>
    <w:rsid w:val="00702AC9"/>
    <w:rsid w:val="007124FC"/>
    <w:rsid w:val="0071254D"/>
    <w:rsid w:val="00716F24"/>
    <w:rsid w:val="00720DB1"/>
    <w:rsid w:val="0073236E"/>
    <w:rsid w:val="00732E71"/>
    <w:rsid w:val="007332D9"/>
    <w:rsid w:val="00735537"/>
    <w:rsid w:val="007447C2"/>
    <w:rsid w:val="007459FF"/>
    <w:rsid w:val="00747446"/>
    <w:rsid w:val="00755DF1"/>
    <w:rsid w:val="0075702B"/>
    <w:rsid w:val="00765121"/>
    <w:rsid w:val="00765D9F"/>
    <w:rsid w:val="00771F5C"/>
    <w:rsid w:val="00772661"/>
    <w:rsid w:val="00773EF4"/>
    <w:rsid w:val="007756F3"/>
    <w:rsid w:val="0077688E"/>
    <w:rsid w:val="00776ECF"/>
    <w:rsid w:val="007838F6"/>
    <w:rsid w:val="00790F9E"/>
    <w:rsid w:val="00794CB5"/>
    <w:rsid w:val="00794FE2"/>
    <w:rsid w:val="007A1BC3"/>
    <w:rsid w:val="007A54E7"/>
    <w:rsid w:val="007B0164"/>
    <w:rsid w:val="007B0F40"/>
    <w:rsid w:val="007B1208"/>
    <w:rsid w:val="007B2867"/>
    <w:rsid w:val="007B3CC8"/>
    <w:rsid w:val="007B4377"/>
    <w:rsid w:val="007B5D6E"/>
    <w:rsid w:val="007B6639"/>
    <w:rsid w:val="007D26F3"/>
    <w:rsid w:val="007D3CD6"/>
    <w:rsid w:val="007D6EA3"/>
    <w:rsid w:val="007E228A"/>
    <w:rsid w:val="007E72F2"/>
    <w:rsid w:val="007F4E1C"/>
    <w:rsid w:val="007F62BF"/>
    <w:rsid w:val="007F6941"/>
    <w:rsid w:val="007F6D8E"/>
    <w:rsid w:val="00806AE5"/>
    <w:rsid w:val="0081417C"/>
    <w:rsid w:val="008201EF"/>
    <w:rsid w:val="00826885"/>
    <w:rsid w:val="00830255"/>
    <w:rsid w:val="008302C5"/>
    <w:rsid w:val="00832E38"/>
    <w:rsid w:val="00834CC8"/>
    <w:rsid w:val="00836961"/>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79CE"/>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95AD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138D7"/>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80836"/>
    <w:rsid w:val="00A868AF"/>
    <w:rsid w:val="00A87611"/>
    <w:rsid w:val="00A934A4"/>
    <w:rsid w:val="00A94AE7"/>
    <w:rsid w:val="00AA3A74"/>
    <w:rsid w:val="00AB47F9"/>
    <w:rsid w:val="00AC4801"/>
    <w:rsid w:val="00AC4A78"/>
    <w:rsid w:val="00AD2FF8"/>
    <w:rsid w:val="00AD7B70"/>
    <w:rsid w:val="00AE0483"/>
    <w:rsid w:val="00AE0E6D"/>
    <w:rsid w:val="00AE5342"/>
    <w:rsid w:val="00AE7198"/>
    <w:rsid w:val="00AF10BF"/>
    <w:rsid w:val="00B0433F"/>
    <w:rsid w:val="00B07B2B"/>
    <w:rsid w:val="00B16AFD"/>
    <w:rsid w:val="00B16B8A"/>
    <w:rsid w:val="00B22640"/>
    <w:rsid w:val="00B3369A"/>
    <w:rsid w:val="00B36B0C"/>
    <w:rsid w:val="00B42242"/>
    <w:rsid w:val="00B425D5"/>
    <w:rsid w:val="00B46D00"/>
    <w:rsid w:val="00B55515"/>
    <w:rsid w:val="00B61B14"/>
    <w:rsid w:val="00B747AE"/>
    <w:rsid w:val="00B753AD"/>
    <w:rsid w:val="00B84339"/>
    <w:rsid w:val="00B86E81"/>
    <w:rsid w:val="00B94F4F"/>
    <w:rsid w:val="00B951BD"/>
    <w:rsid w:val="00B962A1"/>
    <w:rsid w:val="00BA0262"/>
    <w:rsid w:val="00BA119A"/>
    <w:rsid w:val="00BA44DB"/>
    <w:rsid w:val="00BA5DF7"/>
    <w:rsid w:val="00BB03D2"/>
    <w:rsid w:val="00BB12A1"/>
    <w:rsid w:val="00BB190B"/>
    <w:rsid w:val="00BB3D54"/>
    <w:rsid w:val="00BC6565"/>
    <w:rsid w:val="00BC657E"/>
    <w:rsid w:val="00BD02BA"/>
    <w:rsid w:val="00BD15FF"/>
    <w:rsid w:val="00BD3681"/>
    <w:rsid w:val="00BD417A"/>
    <w:rsid w:val="00BD61AD"/>
    <w:rsid w:val="00C057E4"/>
    <w:rsid w:val="00C06531"/>
    <w:rsid w:val="00C06895"/>
    <w:rsid w:val="00C11517"/>
    <w:rsid w:val="00C22499"/>
    <w:rsid w:val="00C229F4"/>
    <w:rsid w:val="00C22DC9"/>
    <w:rsid w:val="00C3351A"/>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231"/>
    <w:rsid w:val="00D5086B"/>
    <w:rsid w:val="00D5324E"/>
    <w:rsid w:val="00D538B2"/>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57B8D"/>
    <w:rsid w:val="00E6250C"/>
    <w:rsid w:val="00E70226"/>
    <w:rsid w:val="00E73DE9"/>
    <w:rsid w:val="00E769E0"/>
    <w:rsid w:val="00E847F6"/>
    <w:rsid w:val="00E84F28"/>
    <w:rsid w:val="00E87120"/>
    <w:rsid w:val="00E913F6"/>
    <w:rsid w:val="00EA161C"/>
    <w:rsid w:val="00EA2824"/>
    <w:rsid w:val="00EB3448"/>
    <w:rsid w:val="00EB40D2"/>
    <w:rsid w:val="00EB5B6E"/>
    <w:rsid w:val="00EB5D68"/>
    <w:rsid w:val="00EB6A0C"/>
    <w:rsid w:val="00EC04F2"/>
    <w:rsid w:val="00EC1D5D"/>
    <w:rsid w:val="00EC431C"/>
    <w:rsid w:val="00ED4BFA"/>
    <w:rsid w:val="00ED6928"/>
    <w:rsid w:val="00EF3E0C"/>
    <w:rsid w:val="00EF4360"/>
    <w:rsid w:val="00EF4BB2"/>
    <w:rsid w:val="00F0297F"/>
    <w:rsid w:val="00F03DB3"/>
    <w:rsid w:val="00F03F35"/>
    <w:rsid w:val="00F06DDB"/>
    <w:rsid w:val="00F14B04"/>
    <w:rsid w:val="00F343D0"/>
    <w:rsid w:val="00F34693"/>
    <w:rsid w:val="00F401A7"/>
    <w:rsid w:val="00F42F90"/>
    <w:rsid w:val="00F476F3"/>
    <w:rsid w:val="00F5481C"/>
    <w:rsid w:val="00F646A8"/>
    <w:rsid w:val="00F83ABF"/>
    <w:rsid w:val="00F8402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1605</Characters>
  <Application>Microsoft Office Word</Application>
  <DocSecurity>4</DocSecurity>
  <Lines>13</Lines>
  <Paragraphs>3</Paragraphs>
  <ScaleCrop>false</ScaleCrop>
  <Company>JDJR</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2024-10-13T16:01:00Z</dcterms:created>
  <dcterms:modified xsi:type="dcterms:W3CDTF">2024-10-13T16:01:00Z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