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5E" w:rsidRPr="00BB2AD3" w:rsidRDefault="0073235E" w:rsidP="0073235E">
      <w:pPr>
        <w:spacing w:line="360" w:lineRule="auto"/>
        <w:jc w:val="center"/>
        <w:rPr>
          <w:rStyle w:val="a3"/>
          <w:rFonts w:asciiTheme="minorEastAsia" w:hAnsiTheme="minorEastAsia" w:cs="Times New Roman"/>
          <w:sz w:val="24"/>
          <w:szCs w:val="24"/>
        </w:rPr>
      </w:pPr>
      <w:r w:rsidRPr="00BB2AD3">
        <w:rPr>
          <w:rStyle w:val="a3"/>
          <w:rFonts w:asciiTheme="minorEastAsia" w:hAnsiTheme="minorEastAsia" w:cs="Times New Roman" w:hint="eastAsia"/>
          <w:sz w:val="24"/>
          <w:szCs w:val="24"/>
        </w:rPr>
        <w:t>广发基金管理有限公司</w:t>
      </w:r>
    </w:p>
    <w:p w:rsidR="0073235E" w:rsidRPr="00BB2AD3" w:rsidRDefault="0073235E" w:rsidP="0073235E">
      <w:pPr>
        <w:jc w:val="center"/>
        <w:rPr>
          <w:rFonts w:asciiTheme="minorEastAsia" w:hAnsiTheme="minorEastAsia"/>
        </w:rPr>
      </w:pPr>
      <w:r w:rsidRPr="00BB2AD3">
        <w:rPr>
          <w:rStyle w:val="a3"/>
          <w:rFonts w:asciiTheme="minorEastAsia" w:hAnsiTheme="minorEastAsia" w:cs="Times New Roman" w:hint="eastAsia"/>
          <w:sz w:val="24"/>
          <w:szCs w:val="24"/>
        </w:rPr>
        <w:t>关于</w:t>
      </w:r>
      <w:r w:rsidR="00FA02B6" w:rsidRPr="00FA02B6">
        <w:rPr>
          <w:rStyle w:val="a3"/>
          <w:rFonts w:asciiTheme="minorEastAsia" w:hAnsiTheme="minorEastAsia" w:cs="Times New Roman" w:hint="eastAsia"/>
          <w:sz w:val="24"/>
          <w:szCs w:val="24"/>
        </w:rPr>
        <w:t>广发北证50成份指数型证券投资基金</w:t>
      </w:r>
      <w:r w:rsidR="008F4BD3">
        <w:rPr>
          <w:rStyle w:val="a3"/>
          <w:rFonts w:asciiTheme="minorEastAsia" w:hAnsiTheme="minorEastAsia" w:cs="Times New Roman" w:hint="eastAsia"/>
          <w:sz w:val="24"/>
          <w:szCs w:val="24"/>
        </w:rPr>
        <w:t>申购申请确认比例</w:t>
      </w:r>
      <w:r w:rsidRPr="00BB2AD3">
        <w:rPr>
          <w:rStyle w:val="a3"/>
          <w:rFonts w:asciiTheme="minorEastAsia" w:hAnsiTheme="minorEastAsia" w:cs="Times New Roman" w:hint="eastAsia"/>
          <w:sz w:val="24"/>
          <w:szCs w:val="24"/>
        </w:rPr>
        <w:t>的公告</w:t>
      </w:r>
    </w:p>
    <w:p w:rsidR="00501FF9" w:rsidRPr="00BB2AD3" w:rsidRDefault="00501FF9">
      <w:pPr>
        <w:rPr>
          <w:rFonts w:asciiTheme="minorEastAsia" w:hAnsiTheme="minorEastAsia"/>
          <w:b/>
        </w:rPr>
      </w:pPr>
    </w:p>
    <w:p w:rsidR="00515139" w:rsidRDefault="0073235E" w:rsidP="00515139">
      <w:pPr>
        <w:spacing w:line="360" w:lineRule="auto"/>
        <w:ind w:firstLineChars="200" w:firstLine="480"/>
        <w:rPr>
          <w:rFonts w:asciiTheme="minorEastAsia" w:hAnsiTheme="minorEastAsia"/>
          <w:sz w:val="24"/>
          <w:szCs w:val="24"/>
        </w:rPr>
      </w:pPr>
      <w:r w:rsidRPr="00BB2AD3">
        <w:rPr>
          <w:rFonts w:asciiTheme="minorEastAsia" w:hAnsiTheme="minorEastAsia" w:hint="eastAsia"/>
          <w:sz w:val="24"/>
          <w:szCs w:val="24"/>
        </w:rPr>
        <w:t>根据</w:t>
      </w:r>
      <w:r w:rsidR="003A2B69" w:rsidRPr="003A2B69">
        <w:rPr>
          <w:rFonts w:asciiTheme="minorEastAsia" w:hAnsiTheme="minorEastAsia" w:hint="eastAsia"/>
          <w:sz w:val="24"/>
          <w:szCs w:val="24"/>
        </w:rPr>
        <w:t>广发基金管理有限公司</w:t>
      </w:r>
      <w:r w:rsidR="003A2B69">
        <w:rPr>
          <w:rFonts w:asciiTheme="minorEastAsia" w:hAnsiTheme="minorEastAsia" w:hint="eastAsia"/>
          <w:sz w:val="24"/>
          <w:szCs w:val="24"/>
        </w:rPr>
        <w:t>（以下简称“本基金管理人”）于2</w:t>
      </w:r>
      <w:r w:rsidR="003A2B69">
        <w:rPr>
          <w:rFonts w:asciiTheme="minorEastAsia" w:hAnsiTheme="minorEastAsia"/>
          <w:sz w:val="24"/>
          <w:szCs w:val="24"/>
        </w:rPr>
        <w:t>02</w:t>
      </w:r>
      <w:r w:rsidR="00B57ADB">
        <w:rPr>
          <w:rFonts w:asciiTheme="minorEastAsia" w:hAnsiTheme="minorEastAsia"/>
          <w:sz w:val="24"/>
          <w:szCs w:val="24"/>
        </w:rPr>
        <w:t>3</w:t>
      </w:r>
      <w:r w:rsidR="003A2B69">
        <w:rPr>
          <w:rFonts w:asciiTheme="minorEastAsia" w:hAnsiTheme="minorEastAsia" w:hint="eastAsia"/>
          <w:sz w:val="24"/>
          <w:szCs w:val="24"/>
        </w:rPr>
        <w:t>年1月3日发布的</w:t>
      </w:r>
      <w:r w:rsidRPr="00BB2AD3">
        <w:rPr>
          <w:rFonts w:asciiTheme="minorEastAsia" w:hAnsiTheme="minorEastAsia" w:hint="eastAsia"/>
          <w:sz w:val="24"/>
          <w:szCs w:val="24"/>
        </w:rPr>
        <w:t>《</w:t>
      </w:r>
      <w:r w:rsidR="009924DA" w:rsidRPr="009924DA">
        <w:rPr>
          <w:rFonts w:asciiTheme="minorEastAsia" w:hAnsiTheme="minorEastAsia" w:hint="eastAsia"/>
          <w:sz w:val="24"/>
          <w:szCs w:val="24"/>
        </w:rPr>
        <w:t>关于广发北证50成份指数型证券投资基金规模控制的公告</w:t>
      </w:r>
      <w:r w:rsidRPr="00BB2AD3">
        <w:rPr>
          <w:rFonts w:asciiTheme="minorEastAsia" w:hAnsiTheme="minorEastAsia" w:hint="eastAsia"/>
          <w:sz w:val="24"/>
          <w:szCs w:val="24"/>
        </w:rPr>
        <w:t>》规定，</w:t>
      </w:r>
      <w:r w:rsidR="00FA02B6">
        <w:rPr>
          <w:rFonts w:asciiTheme="minorEastAsia" w:hAnsiTheme="minorEastAsia" w:hint="eastAsia"/>
          <w:sz w:val="24"/>
          <w:szCs w:val="24"/>
        </w:rPr>
        <w:t>广发北证50成份指数型证券投资基金</w:t>
      </w:r>
      <w:r w:rsidRPr="00BB2AD3">
        <w:rPr>
          <w:rFonts w:asciiTheme="minorEastAsia" w:hAnsiTheme="minorEastAsia" w:hint="eastAsia"/>
          <w:sz w:val="24"/>
          <w:szCs w:val="24"/>
        </w:rPr>
        <w:t>（</w:t>
      </w:r>
      <w:r w:rsidR="00FA02B6">
        <w:rPr>
          <w:rFonts w:asciiTheme="minorEastAsia" w:hAnsiTheme="minorEastAsia" w:hint="eastAsia"/>
          <w:sz w:val="24"/>
          <w:szCs w:val="24"/>
        </w:rPr>
        <w:t>A类份额</w:t>
      </w:r>
      <w:r w:rsidRPr="00BB2AD3">
        <w:rPr>
          <w:rFonts w:asciiTheme="minorEastAsia" w:hAnsiTheme="minorEastAsia" w:hint="eastAsia"/>
          <w:sz w:val="24"/>
          <w:szCs w:val="24"/>
        </w:rPr>
        <w:t>基金代码</w:t>
      </w:r>
      <w:r w:rsidR="00FA02B6" w:rsidRPr="00FA02B6">
        <w:rPr>
          <w:rFonts w:asciiTheme="minorEastAsia" w:hAnsiTheme="minorEastAsia"/>
          <w:sz w:val="24"/>
          <w:szCs w:val="24"/>
        </w:rPr>
        <w:t>017512</w:t>
      </w:r>
      <w:r w:rsidRPr="00BB2AD3">
        <w:rPr>
          <w:rFonts w:asciiTheme="minorEastAsia" w:hAnsiTheme="minorEastAsia" w:hint="eastAsia"/>
          <w:sz w:val="24"/>
          <w:szCs w:val="24"/>
        </w:rPr>
        <w:t>；</w:t>
      </w:r>
      <w:r w:rsidR="00FA02B6">
        <w:rPr>
          <w:rFonts w:asciiTheme="minorEastAsia" w:hAnsiTheme="minorEastAsia" w:hint="eastAsia"/>
          <w:sz w:val="24"/>
          <w:szCs w:val="24"/>
        </w:rPr>
        <w:t>C类份额基金代码：</w:t>
      </w:r>
      <w:r w:rsidR="00FA02B6" w:rsidRPr="00FA02B6">
        <w:rPr>
          <w:rFonts w:asciiTheme="minorEastAsia" w:hAnsiTheme="minorEastAsia" w:hint="eastAsia"/>
          <w:sz w:val="24"/>
          <w:szCs w:val="24"/>
        </w:rPr>
        <w:t>01751</w:t>
      </w:r>
      <w:r w:rsidR="00FA02B6" w:rsidRPr="00FA02B6">
        <w:rPr>
          <w:rFonts w:asciiTheme="minorEastAsia" w:hAnsiTheme="minorEastAsia"/>
          <w:sz w:val="24"/>
          <w:szCs w:val="24"/>
        </w:rPr>
        <w:t>3</w:t>
      </w:r>
      <w:r w:rsidR="00FA02B6">
        <w:rPr>
          <w:rFonts w:asciiTheme="minorEastAsia" w:hAnsiTheme="minorEastAsia" w:hint="eastAsia"/>
          <w:sz w:val="24"/>
          <w:szCs w:val="24"/>
        </w:rPr>
        <w:t>；</w:t>
      </w:r>
      <w:r w:rsidRPr="00BB2AD3">
        <w:rPr>
          <w:rFonts w:asciiTheme="minorEastAsia" w:hAnsiTheme="minorEastAsia" w:hint="eastAsia"/>
          <w:sz w:val="24"/>
          <w:szCs w:val="24"/>
        </w:rPr>
        <w:t>以下简称：本基金）</w:t>
      </w:r>
      <w:r w:rsidR="00515139" w:rsidRPr="00515139">
        <w:rPr>
          <w:rFonts w:asciiTheme="minorEastAsia" w:hAnsiTheme="minorEastAsia" w:hint="eastAsia"/>
          <w:sz w:val="24"/>
          <w:szCs w:val="24"/>
        </w:rPr>
        <w:t>设置</w:t>
      </w:r>
      <w:r w:rsidR="009924DA">
        <w:rPr>
          <w:rFonts w:asciiTheme="minorEastAsia" w:hAnsiTheme="minorEastAsia" w:hint="eastAsia"/>
          <w:sz w:val="24"/>
          <w:szCs w:val="24"/>
        </w:rPr>
        <w:t>了</w:t>
      </w:r>
      <w:r w:rsidR="00515139" w:rsidRPr="00515139">
        <w:rPr>
          <w:rFonts w:asciiTheme="minorEastAsia" w:hAnsiTheme="minorEastAsia" w:hint="eastAsia"/>
          <w:sz w:val="24"/>
          <w:szCs w:val="24"/>
        </w:rPr>
        <w:t>基金总规模上限为</w:t>
      </w:r>
      <w:r w:rsidR="00515139">
        <w:rPr>
          <w:rFonts w:asciiTheme="minorEastAsia" w:hAnsiTheme="minorEastAsia" w:hint="eastAsia"/>
          <w:sz w:val="24"/>
          <w:szCs w:val="24"/>
        </w:rPr>
        <w:t>5亿份</w:t>
      </w:r>
      <w:r w:rsidR="009924DA">
        <w:rPr>
          <w:rFonts w:asciiTheme="minorEastAsia" w:hAnsiTheme="minorEastAsia" w:hint="eastAsia"/>
          <w:sz w:val="24"/>
          <w:szCs w:val="24"/>
        </w:rPr>
        <w:t>，原公告相关内容如下</w:t>
      </w:r>
      <w:r w:rsidR="00515139" w:rsidRPr="00515139">
        <w:rPr>
          <w:rFonts w:asciiTheme="minorEastAsia" w:hAnsiTheme="minorEastAsia" w:hint="eastAsia"/>
          <w:sz w:val="24"/>
          <w:szCs w:val="24"/>
        </w:rPr>
        <w:t>：</w:t>
      </w:r>
    </w:p>
    <w:p w:rsidR="009924DA" w:rsidRDefault="009924DA" w:rsidP="0051513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D21F21" w:rsidRPr="00D21F21">
        <w:rPr>
          <w:rFonts w:asciiTheme="minorEastAsia" w:hAnsiTheme="minorEastAsia" w:hint="eastAsia"/>
          <w:sz w:val="24"/>
          <w:szCs w:val="24"/>
        </w:rPr>
        <w:t>在开放日常申购、赎回、转换和定投业务后，本基金将设置基金总规模上限为5</w:t>
      </w:r>
      <w:r w:rsidR="00D21F21">
        <w:rPr>
          <w:rFonts w:asciiTheme="minorEastAsia" w:hAnsiTheme="minorEastAsia" w:hint="eastAsia"/>
          <w:sz w:val="24"/>
          <w:szCs w:val="24"/>
        </w:rPr>
        <w:t>亿份，并采用“按比例确认”的原则进行规模控制。具体方案如下</w:t>
      </w:r>
      <w:r>
        <w:rPr>
          <w:rFonts w:asciiTheme="minorEastAsia" w:hAnsiTheme="minorEastAsia" w:hint="eastAsia"/>
          <w:sz w:val="24"/>
          <w:szCs w:val="24"/>
        </w:rPr>
        <w:t>：</w:t>
      </w:r>
    </w:p>
    <w:p w:rsidR="009924DA" w:rsidRPr="009924DA" w:rsidRDefault="009924DA" w:rsidP="009924DA">
      <w:pPr>
        <w:spacing w:line="360" w:lineRule="auto"/>
        <w:ind w:firstLineChars="200" w:firstLine="480"/>
        <w:rPr>
          <w:rFonts w:asciiTheme="minorEastAsia" w:hAnsiTheme="minorEastAsia"/>
          <w:sz w:val="24"/>
          <w:szCs w:val="24"/>
        </w:rPr>
      </w:pPr>
      <w:r w:rsidRPr="009924DA">
        <w:rPr>
          <w:rFonts w:asciiTheme="minorEastAsia" w:hAnsiTheme="minorEastAsia" w:hint="eastAsia"/>
          <w:sz w:val="24"/>
          <w:szCs w:val="24"/>
        </w:rPr>
        <w:t>1.若T日（销售机构在规定时间受理投资者申购、赎回或其他业务申请的开放日，下同）的有效申购（含转换转入、定期定额和不定额投资，下同）和赎回（含转换转出，下同）申请全部确认后，基金的总规模不超过5亿份（含5亿份），则对该日有效申购申请全部予以确认。</w:t>
      </w:r>
    </w:p>
    <w:p w:rsidR="009924DA" w:rsidRPr="009924DA" w:rsidRDefault="009924DA" w:rsidP="009924DA">
      <w:pPr>
        <w:spacing w:line="360" w:lineRule="auto"/>
        <w:ind w:firstLineChars="200" w:firstLine="480"/>
        <w:rPr>
          <w:rFonts w:asciiTheme="minorEastAsia" w:hAnsiTheme="minorEastAsia"/>
          <w:sz w:val="24"/>
          <w:szCs w:val="24"/>
        </w:rPr>
      </w:pPr>
      <w:r w:rsidRPr="009924DA">
        <w:rPr>
          <w:rFonts w:asciiTheme="minorEastAsia" w:hAnsiTheme="minorEastAsia" w:hint="eastAsia"/>
          <w:sz w:val="24"/>
          <w:szCs w:val="24"/>
        </w:rPr>
        <w:t>2.若T日的有效申购和赎回申请全部确认后，基金的总规模超过5亿份，本基金管理人将对该日有效申购申请采用“申购申请比例确认”的原则给予部分确认，未确认部分的申购款项将根据法规及业务规则退还给投资者，由此产生的利息等损失由投资者自行承担，请投资者留意资金到账情况。</w:t>
      </w:r>
    </w:p>
    <w:p w:rsidR="009924DA" w:rsidRPr="009924DA" w:rsidRDefault="009924DA" w:rsidP="009924DA">
      <w:pPr>
        <w:spacing w:line="360" w:lineRule="auto"/>
        <w:ind w:firstLineChars="200" w:firstLine="480"/>
        <w:rPr>
          <w:rFonts w:asciiTheme="minorEastAsia" w:hAnsiTheme="minorEastAsia"/>
          <w:sz w:val="24"/>
          <w:szCs w:val="24"/>
        </w:rPr>
      </w:pPr>
      <w:r w:rsidRPr="009924DA">
        <w:rPr>
          <w:rFonts w:asciiTheme="minorEastAsia" w:hAnsiTheme="minorEastAsia" w:hint="eastAsia"/>
          <w:sz w:val="24"/>
          <w:szCs w:val="24"/>
        </w:rPr>
        <w:t>本基金管理人可根据届时基金实际情况，基于投资运作与风险控制的需要，暂停本基金申购业务并公告，具体安排以本基金管理人届时发布的相关公告为准。</w:t>
      </w:r>
    </w:p>
    <w:p w:rsidR="009924DA" w:rsidRPr="009924DA" w:rsidRDefault="009924DA" w:rsidP="009924DA">
      <w:pPr>
        <w:spacing w:line="360" w:lineRule="auto"/>
        <w:ind w:firstLineChars="200" w:firstLine="480"/>
        <w:rPr>
          <w:rFonts w:asciiTheme="minorEastAsia" w:hAnsiTheme="minorEastAsia"/>
          <w:sz w:val="24"/>
          <w:szCs w:val="24"/>
        </w:rPr>
      </w:pPr>
      <w:r w:rsidRPr="009924DA">
        <w:rPr>
          <w:rFonts w:asciiTheme="minorEastAsia" w:hAnsiTheme="minorEastAsia" w:hint="eastAsia"/>
          <w:sz w:val="24"/>
          <w:szCs w:val="24"/>
        </w:rPr>
        <w:t>3.申购申请确认比例的计算方法如下：</w:t>
      </w:r>
    </w:p>
    <w:p w:rsidR="009924DA" w:rsidRPr="009924DA" w:rsidRDefault="009924DA" w:rsidP="009924DA">
      <w:pPr>
        <w:spacing w:line="360" w:lineRule="auto"/>
        <w:ind w:firstLineChars="200" w:firstLine="480"/>
        <w:rPr>
          <w:rFonts w:asciiTheme="minorEastAsia" w:hAnsiTheme="minorEastAsia"/>
          <w:sz w:val="24"/>
          <w:szCs w:val="24"/>
        </w:rPr>
      </w:pPr>
      <w:r w:rsidRPr="009924DA">
        <w:rPr>
          <w:rFonts w:asciiTheme="minorEastAsia" w:hAnsiTheme="minorEastAsia" w:hint="eastAsia"/>
          <w:sz w:val="24"/>
          <w:szCs w:val="24"/>
        </w:rPr>
        <w:t>T日申购申请确认比例=Max(0，5亿份－T日基金份额+T日基金赎回的有效份额(如有))/(T日A类份额有效申购申请金额/T日A类份额基金单位净值+T日C类份额有效申购申请金额/T日C类份额基金单位净值</w:t>
      </w:r>
      <w:r>
        <w:rPr>
          <w:rFonts w:asciiTheme="minorEastAsia" w:hAnsiTheme="minorEastAsia" w:hint="eastAsia"/>
          <w:sz w:val="24"/>
          <w:szCs w:val="24"/>
        </w:rPr>
        <w:t>)</w:t>
      </w:r>
    </w:p>
    <w:p w:rsidR="009924DA" w:rsidRPr="009924DA" w:rsidRDefault="009924DA" w:rsidP="009924DA">
      <w:pPr>
        <w:spacing w:line="360" w:lineRule="auto"/>
        <w:ind w:firstLineChars="200" w:firstLine="480"/>
        <w:rPr>
          <w:rFonts w:asciiTheme="minorEastAsia" w:hAnsiTheme="minorEastAsia"/>
          <w:sz w:val="24"/>
          <w:szCs w:val="24"/>
        </w:rPr>
      </w:pPr>
      <w:r w:rsidRPr="009924DA">
        <w:rPr>
          <w:rFonts w:asciiTheme="minorEastAsia" w:hAnsiTheme="minorEastAsia" w:hint="eastAsia"/>
          <w:sz w:val="24"/>
          <w:szCs w:val="24"/>
        </w:rPr>
        <w:t>投资者申购申请确认金额=投资者T日提交的有效申购申请金额×T日申购申请确认比例</w:t>
      </w:r>
    </w:p>
    <w:p w:rsidR="0073235E" w:rsidRDefault="009924DA" w:rsidP="009924DA">
      <w:pPr>
        <w:spacing w:line="360" w:lineRule="auto"/>
        <w:ind w:firstLineChars="200" w:firstLine="480"/>
        <w:rPr>
          <w:rFonts w:asciiTheme="minorEastAsia" w:hAnsiTheme="minorEastAsia"/>
          <w:sz w:val="24"/>
          <w:szCs w:val="24"/>
        </w:rPr>
      </w:pPr>
      <w:r w:rsidRPr="009924DA">
        <w:rPr>
          <w:rFonts w:asciiTheme="minorEastAsia" w:hAnsiTheme="minorEastAsia" w:hint="eastAsia"/>
          <w:sz w:val="24"/>
          <w:szCs w:val="24"/>
        </w:rPr>
        <w:t>当发生比例确认时，投资人申购费率按照单笔申请确认金额所对应的费率计算，而且申购申请确认金额不受最低限额的限制。申购申请确认金额以四舍五入的方法保留到小数点后两位，由此产生的误差由基金财产承担。最终申购申请确认结果以本基金登记结算机构的计算并确认的结果为准。</w:t>
      </w:r>
      <w:r>
        <w:rPr>
          <w:rFonts w:asciiTheme="minorEastAsia" w:hAnsiTheme="minorEastAsia" w:hint="eastAsia"/>
          <w:sz w:val="24"/>
          <w:szCs w:val="24"/>
        </w:rPr>
        <w:t>”</w:t>
      </w:r>
    </w:p>
    <w:p w:rsidR="0073235E" w:rsidRDefault="009F07C8" w:rsidP="009924DA">
      <w:pPr>
        <w:spacing w:line="360" w:lineRule="auto"/>
        <w:ind w:firstLineChars="200" w:firstLine="480"/>
        <w:rPr>
          <w:rFonts w:asciiTheme="minorEastAsia" w:hAnsiTheme="minorEastAsia"/>
          <w:sz w:val="24"/>
          <w:szCs w:val="24"/>
        </w:rPr>
      </w:pPr>
      <w:r w:rsidRPr="009F07C8">
        <w:rPr>
          <w:rFonts w:asciiTheme="minorEastAsia" w:hAnsiTheme="minorEastAsia" w:hint="eastAsia"/>
          <w:sz w:val="24"/>
          <w:szCs w:val="24"/>
        </w:rPr>
        <w:lastRenderedPageBreak/>
        <w:t>经本基金管理人统计，若2024年10月10日的有效申购申请和赎回申请全部确认，本基金总规模超过上限5亿份。因此基金管理人对本基金于2024年10月10日的有效申购申请采用“申购申请比例确认”的原则给予部分确认，该日有效申购申请确认比例为92.837905%。本基金管理人已于2024年10月11日按上述确认比例对有效申购金额进行部分确认。投资者可于2024年10月14日起到各销售网点查询申购的确认情况。</w:t>
      </w:r>
    </w:p>
    <w:p w:rsidR="009924DA" w:rsidRPr="009924DA" w:rsidRDefault="009924DA" w:rsidP="009924DA">
      <w:pPr>
        <w:spacing w:line="360" w:lineRule="auto"/>
        <w:ind w:firstLineChars="200" w:firstLine="480"/>
        <w:rPr>
          <w:rFonts w:asciiTheme="minorEastAsia" w:hAnsiTheme="minorEastAsia"/>
          <w:sz w:val="24"/>
          <w:szCs w:val="24"/>
        </w:rPr>
      </w:pPr>
      <w:r w:rsidRPr="009924DA">
        <w:rPr>
          <w:rFonts w:asciiTheme="minorEastAsia" w:hAnsiTheme="minorEastAsia" w:hint="eastAsia"/>
          <w:sz w:val="24"/>
          <w:szCs w:val="24"/>
        </w:rPr>
        <w:t>未确认部分的申购款项将由各销售机构根据其业务规则退还给投资者，请投资者留意资金到账情况。</w:t>
      </w:r>
    </w:p>
    <w:p w:rsidR="0073235E" w:rsidRPr="00BB2AD3" w:rsidRDefault="002736B7" w:rsidP="0073235E">
      <w:pPr>
        <w:spacing w:line="360" w:lineRule="auto"/>
        <w:ind w:firstLineChars="200" w:firstLine="480"/>
        <w:rPr>
          <w:rFonts w:asciiTheme="minorEastAsia" w:hAnsiTheme="minorEastAsia"/>
          <w:sz w:val="24"/>
          <w:szCs w:val="24"/>
        </w:rPr>
      </w:pPr>
      <w:r w:rsidRPr="001A6C5C">
        <w:rPr>
          <w:rFonts w:ascii="宋体" w:hAnsi="宋体" w:hint="eastAsia"/>
          <w:color w:val="000000"/>
          <w:sz w:val="24"/>
        </w:rPr>
        <w:t>风险</w:t>
      </w:r>
      <w:r>
        <w:rPr>
          <w:rFonts w:ascii="宋体" w:hAnsi="宋体" w:hint="eastAsia"/>
          <w:color w:val="000000"/>
          <w:sz w:val="24"/>
        </w:rPr>
        <w:t>提示：</w:t>
      </w:r>
      <w:r w:rsidRPr="008D4A17">
        <w:rPr>
          <w:rFonts w:ascii="宋体" w:hAnsi="宋体" w:hint="eastAsia"/>
          <w:color w:val="000000"/>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73235E" w:rsidRPr="00BB2AD3" w:rsidRDefault="0073235E" w:rsidP="00D457EE">
      <w:pPr>
        <w:spacing w:line="360" w:lineRule="auto"/>
        <w:ind w:firstLineChars="200" w:firstLine="480"/>
        <w:rPr>
          <w:rFonts w:asciiTheme="minorEastAsia" w:hAnsiTheme="minorEastAsia"/>
          <w:sz w:val="24"/>
          <w:szCs w:val="24"/>
        </w:rPr>
      </w:pPr>
      <w:r w:rsidRPr="00BB2AD3">
        <w:rPr>
          <w:rFonts w:asciiTheme="minorEastAsia" w:hAnsiTheme="minorEastAsia" w:hint="eastAsia"/>
          <w:sz w:val="24"/>
          <w:szCs w:val="24"/>
        </w:rPr>
        <w:t>特此公告。</w:t>
      </w:r>
    </w:p>
    <w:p w:rsidR="0073235E" w:rsidRPr="00BB2AD3" w:rsidRDefault="0073235E" w:rsidP="0073235E">
      <w:pPr>
        <w:spacing w:line="360" w:lineRule="auto"/>
        <w:ind w:firstLineChars="200" w:firstLine="480"/>
        <w:rPr>
          <w:rFonts w:asciiTheme="minorEastAsia" w:hAnsiTheme="minorEastAsia"/>
          <w:sz w:val="24"/>
          <w:szCs w:val="24"/>
        </w:rPr>
      </w:pPr>
    </w:p>
    <w:p w:rsidR="0073235E" w:rsidRPr="00BB2AD3" w:rsidRDefault="0073235E" w:rsidP="0073235E">
      <w:pPr>
        <w:spacing w:line="360" w:lineRule="auto"/>
        <w:ind w:firstLineChars="200" w:firstLine="480"/>
        <w:jc w:val="right"/>
        <w:rPr>
          <w:rStyle w:val="a3"/>
          <w:rFonts w:asciiTheme="minorEastAsia" w:hAnsiTheme="minorEastAsia"/>
          <w:b w:val="0"/>
          <w:bCs w:val="0"/>
          <w:sz w:val="24"/>
        </w:rPr>
      </w:pPr>
      <w:r w:rsidRPr="00BB2AD3">
        <w:rPr>
          <w:rStyle w:val="a3"/>
          <w:rFonts w:asciiTheme="minorEastAsia" w:hAnsiTheme="minorEastAsia" w:hint="eastAsia"/>
          <w:b w:val="0"/>
          <w:bCs w:val="0"/>
          <w:sz w:val="24"/>
        </w:rPr>
        <w:t>广发基金管理有限公司</w:t>
      </w:r>
    </w:p>
    <w:p w:rsidR="0073235E" w:rsidRPr="00BB2AD3" w:rsidRDefault="0073235E" w:rsidP="0073235E">
      <w:pPr>
        <w:jc w:val="right"/>
        <w:rPr>
          <w:rFonts w:asciiTheme="minorEastAsia" w:hAnsiTheme="minorEastAsia"/>
          <w:sz w:val="24"/>
        </w:rPr>
      </w:pPr>
      <w:r w:rsidRPr="00BB2AD3">
        <w:rPr>
          <w:rStyle w:val="a3"/>
          <w:rFonts w:asciiTheme="minorEastAsia" w:hAnsiTheme="minorEastAsia" w:hint="eastAsia"/>
          <w:b w:val="0"/>
          <w:bCs w:val="0"/>
          <w:sz w:val="24"/>
        </w:rPr>
        <w:t>20</w:t>
      </w:r>
      <w:r w:rsidRPr="00BB2AD3">
        <w:rPr>
          <w:rStyle w:val="a3"/>
          <w:rFonts w:asciiTheme="minorEastAsia" w:hAnsiTheme="minorEastAsia"/>
          <w:b w:val="0"/>
          <w:bCs w:val="0"/>
          <w:sz w:val="24"/>
        </w:rPr>
        <w:t>2</w:t>
      </w:r>
      <w:r w:rsidR="00D457EE">
        <w:rPr>
          <w:rStyle w:val="a3"/>
          <w:rFonts w:asciiTheme="minorEastAsia" w:hAnsiTheme="minorEastAsia"/>
          <w:b w:val="0"/>
          <w:bCs w:val="0"/>
          <w:sz w:val="24"/>
        </w:rPr>
        <w:t>4</w:t>
      </w:r>
      <w:r w:rsidRPr="00BB2AD3">
        <w:rPr>
          <w:rStyle w:val="a3"/>
          <w:rFonts w:asciiTheme="minorEastAsia" w:hAnsiTheme="minorEastAsia" w:hint="eastAsia"/>
          <w:b w:val="0"/>
          <w:bCs w:val="0"/>
          <w:sz w:val="24"/>
        </w:rPr>
        <w:t>年</w:t>
      </w:r>
      <w:r w:rsidR="00D457EE">
        <w:rPr>
          <w:rStyle w:val="a3"/>
          <w:rFonts w:asciiTheme="minorEastAsia" w:hAnsiTheme="minorEastAsia"/>
          <w:b w:val="0"/>
          <w:bCs w:val="0"/>
          <w:sz w:val="24"/>
        </w:rPr>
        <w:t>10</w:t>
      </w:r>
      <w:r w:rsidRPr="00BB2AD3">
        <w:rPr>
          <w:rStyle w:val="a3"/>
          <w:rFonts w:asciiTheme="minorEastAsia" w:hAnsiTheme="minorEastAsia" w:hint="eastAsia"/>
          <w:b w:val="0"/>
          <w:bCs w:val="0"/>
          <w:sz w:val="24"/>
        </w:rPr>
        <w:t>月</w:t>
      </w:r>
      <w:r w:rsidR="00D457EE">
        <w:rPr>
          <w:rStyle w:val="a3"/>
          <w:rFonts w:asciiTheme="minorEastAsia" w:hAnsiTheme="minorEastAsia"/>
          <w:b w:val="0"/>
          <w:bCs w:val="0"/>
          <w:sz w:val="24"/>
        </w:rPr>
        <w:t>11</w:t>
      </w:r>
      <w:r w:rsidRPr="00BB2AD3">
        <w:rPr>
          <w:rStyle w:val="a3"/>
          <w:rFonts w:asciiTheme="minorEastAsia" w:hAnsiTheme="minorEastAsia" w:hint="eastAsia"/>
          <w:b w:val="0"/>
          <w:bCs w:val="0"/>
          <w:sz w:val="24"/>
        </w:rPr>
        <w:t>日</w:t>
      </w:r>
    </w:p>
    <w:p w:rsidR="0073235E" w:rsidRPr="00BB2AD3" w:rsidRDefault="0073235E" w:rsidP="0073235E">
      <w:pPr>
        <w:spacing w:line="360" w:lineRule="auto"/>
        <w:ind w:firstLineChars="200" w:firstLine="480"/>
        <w:rPr>
          <w:rFonts w:asciiTheme="minorEastAsia" w:hAnsiTheme="minorEastAsia"/>
          <w:sz w:val="24"/>
          <w:szCs w:val="24"/>
        </w:rPr>
      </w:pPr>
    </w:p>
    <w:sectPr w:rsidR="0073235E" w:rsidRPr="00BB2AD3" w:rsidSect="00EF25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D04" w:rsidRDefault="00A11D04" w:rsidP="00531927">
      <w:r>
        <w:separator/>
      </w:r>
    </w:p>
  </w:endnote>
  <w:endnote w:type="continuationSeparator" w:id="0">
    <w:p w:rsidR="00A11D04" w:rsidRDefault="00A11D04" w:rsidP="005319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D04" w:rsidRDefault="00A11D04" w:rsidP="00531927">
      <w:r>
        <w:separator/>
      </w:r>
    </w:p>
  </w:footnote>
  <w:footnote w:type="continuationSeparator" w:id="0">
    <w:p w:rsidR="00A11D04" w:rsidRDefault="00A11D04" w:rsidP="005319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0CC"/>
    <w:rsid w:val="00042923"/>
    <w:rsid w:val="000766EE"/>
    <w:rsid w:val="00076FE9"/>
    <w:rsid w:val="00095C9C"/>
    <w:rsid w:val="000B3F3B"/>
    <w:rsid w:val="000E1657"/>
    <w:rsid w:val="00106812"/>
    <w:rsid w:val="00122A65"/>
    <w:rsid w:val="00142A1F"/>
    <w:rsid w:val="0014427A"/>
    <w:rsid w:val="001A1100"/>
    <w:rsid w:val="001E6F7F"/>
    <w:rsid w:val="002736B7"/>
    <w:rsid w:val="0031149B"/>
    <w:rsid w:val="00342363"/>
    <w:rsid w:val="003A2B69"/>
    <w:rsid w:val="003C13D4"/>
    <w:rsid w:val="003D7C1A"/>
    <w:rsid w:val="0046076C"/>
    <w:rsid w:val="004C2C63"/>
    <w:rsid w:val="00501FF9"/>
    <w:rsid w:val="00515139"/>
    <w:rsid w:val="00531927"/>
    <w:rsid w:val="00542850"/>
    <w:rsid w:val="00596890"/>
    <w:rsid w:val="00652DF8"/>
    <w:rsid w:val="006A42A3"/>
    <w:rsid w:val="0073235E"/>
    <w:rsid w:val="007643AF"/>
    <w:rsid w:val="007772DE"/>
    <w:rsid w:val="00791228"/>
    <w:rsid w:val="007A72C5"/>
    <w:rsid w:val="007D00CC"/>
    <w:rsid w:val="00896A7F"/>
    <w:rsid w:val="008D05A9"/>
    <w:rsid w:val="008F4BD3"/>
    <w:rsid w:val="009440DB"/>
    <w:rsid w:val="009924DA"/>
    <w:rsid w:val="009D6B63"/>
    <w:rsid w:val="009F07C8"/>
    <w:rsid w:val="00A11D04"/>
    <w:rsid w:val="00A45BD7"/>
    <w:rsid w:val="00A701D0"/>
    <w:rsid w:val="00B56AC4"/>
    <w:rsid w:val="00B57ADB"/>
    <w:rsid w:val="00BB2AD3"/>
    <w:rsid w:val="00BD46B4"/>
    <w:rsid w:val="00C91352"/>
    <w:rsid w:val="00D21F21"/>
    <w:rsid w:val="00D457EE"/>
    <w:rsid w:val="00DC3C08"/>
    <w:rsid w:val="00DF3A16"/>
    <w:rsid w:val="00E95F7E"/>
    <w:rsid w:val="00EF25A8"/>
    <w:rsid w:val="00F02AFB"/>
    <w:rsid w:val="00F23840"/>
    <w:rsid w:val="00FA02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3235E"/>
    <w:rPr>
      <w:b/>
      <w:bCs/>
    </w:rPr>
  </w:style>
  <w:style w:type="paragraph" w:styleId="a4">
    <w:name w:val="header"/>
    <w:basedOn w:val="a"/>
    <w:link w:val="Char"/>
    <w:uiPriority w:val="99"/>
    <w:unhideWhenUsed/>
    <w:rsid w:val="005319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31927"/>
    <w:rPr>
      <w:sz w:val="18"/>
      <w:szCs w:val="18"/>
    </w:rPr>
  </w:style>
  <w:style w:type="paragraph" w:styleId="a5">
    <w:name w:val="footer"/>
    <w:basedOn w:val="a"/>
    <w:link w:val="Char0"/>
    <w:uiPriority w:val="99"/>
    <w:unhideWhenUsed/>
    <w:rsid w:val="00531927"/>
    <w:pPr>
      <w:tabs>
        <w:tab w:val="center" w:pos="4153"/>
        <w:tab w:val="right" w:pos="8306"/>
      </w:tabs>
      <w:snapToGrid w:val="0"/>
      <w:jc w:val="left"/>
    </w:pPr>
    <w:rPr>
      <w:sz w:val="18"/>
      <w:szCs w:val="18"/>
    </w:rPr>
  </w:style>
  <w:style w:type="character" w:customStyle="1" w:styleId="Char0">
    <w:name w:val="页脚 Char"/>
    <w:basedOn w:val="a0"/>
    <w:link w:val="a5"/>
    <w:uiPriority w:val="99"/>
    <w:rsid w:val="00531927"/>
    <w:rPr>
      <w:sz w:val="18"/>
      <w:szCs w:val="18"/>
    </w:rPr>
  </w:style>
  <w:style w:type="paragraph" w:styleId="a6">
    <w:name w:val="Revision"/>
    <w:hidden/>
    <w:uiPriority w:val="99"/>
    <w:semiHidden/>
    <w:rsid w:val="00076FE9"/>
  </w:style>
</w:styles>
</file>

<file path=word/webSettings.xml><?xml version="1.0" encoding="utf-8"?>
<w:webSettings xmlns:r="http://schemas.openxmlformats.org/officeDocument/2006/relationships" xmlns:w="http://schemas.openxmlformats.org/wordprocessingml/2006/main">
  <w:divs>
    <w:div w:id="5792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1243</Characters>
  <Application>Microsoft Office Word</Application>
  <DocSecurity>4</DocSecurity>
  <Lines>10</Lines>
  <Paragraphs>2</Paragraphs>
  <ScaleCrop>false</ScaleCrop>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晁梦婷</dc:creator>
  <cp:keywords/>
  <dc:description/>
  <cp:lastModifiedBy>ZHONGM</cp:lastModifiedBy>
  <cp:revision>2</cp:revision>
  <dcterms:created xsi:type="dcterms:W3CDTF">2024-10-11T16:00:00Z</dcterms:created>
  <dcterms:modified xsi:type="dcterms:W3CDTF">2024-10-11T16:00:00Z</dcterms:modified>
</cp:coreProperties>
</file>