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45EC" w:rsidRDefault="009145EC" w:rsidP="007A162C">
      <w:pPr>
        <w:pStyle w:val="XBRL2"/>
        <w:spacing w:before="156"/>
        <w:rPr>
          <w:lang w:eastAsia="zh-CN"/>
        </w:rPr>
      </w:pPr>
      <w:bookmarkStart w:id="0" w:name="_Toc510201001"/>
      <w:bookmarkEnd w:id="0"/>
      <w:r>
        <w:rPr>
          <w:lang w:eastAsia="zh-CN"/>
        </w:rPr>
        <w:t xml:space="preserve">　</w:t>
      </w:r>
      <w:r>
        <w:rPr>
          <w:lang w:eastAsia="zh-CN"/>
        </w:rPr>
        <w:t xml:space="preserve"> </w:t>
      </w:r>
    </w:p>
    <w:p w:rsidR="009145EC" w:rsidRDefault="009145EC">
      <w:pPr>
        <w:jc w:val="center"/>
      </w:pPr>
      <w:r>
        <w:rPr>
          <w:rFonts w:cs="Times New Roman" w:hint="eastAsia"/>
          <w:b/>
          <w:sz w:val="48"/>
          <w:szCs w:val="48"/>
        </w:rPr>
        <w:t>东方基金管理股份有限公司</w:t>
      </w:r>
      <w:r>
        <w:rPr>
          <w:rFonts w:cs="Times New Roman" w:hint="eastAsia"/>
          <w:b/>
          <w:sz w:val="48"/>
          <w:szCs w:val="48"/>
        </w:rPr>
        <w:br/>
        <w:t>关于旗下部分基金改聘会计师事务所的公告</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560" w:lineRule="exact"/>
        <w:jc w:val="center"/>
        <w:rPr>
          <w:rFonts w:hint="eastAsia"/>
          <w:color w:val="000000"/>
          <w:kern w:val="0"/>
          <w:sz w:val="18"/>
        </w:rPr>
      </w:pPr>
      <w:r>
        <w:rPr>
          <w:rFonts w:hint="eastAsia"/>
          <w:color w:val="000000"/>
          <w:kern w:val="0"/>
          <w:sz w:val="18"/>
        </w:rPr>
        <w:t xml:space="preserve">　 </w:t>
      </w:r>
    </w:p>
    <w:p w:rsidR="009145EC" w:rsidRDefault="009145EC">
      <w:pPr>
        <w:spacing w:line="360" w:lineRule="auto"/>
        <w:jc w:val="center"/>
        <w:rPr>
          <w:rFonts w:hint="eastAsia"/>
        </w:rPr>
      </w:pPr>
      <w:r>
        <w:rPr>
          <w:rFonts w:hint="eastAsia"/>
          <w:b/>
          <w:bCs/>
          <w:sz w:val="24"/>
          <w:szCs w:val="30"/>
        </w:rPr>
        <w:t>公告送出日期：2024年10月12日</w:t>
      </w:r>
    </w:p>
    <w:p w:rsidR="009145EC" w:rsidRDefault="009145EC" w:rsidP="007A162C">
      <w:pPr>
        <w:pStyle w:val="XBRLTitle1"/>
        <w:spacing w:before="156"/>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1421"/>
        <w:gridCol w:w="1420"/>
        <w:gridCol w:w="2841"/>
      </w:tblGrid>
      <w:tr w:rsidR="009145EC" w:rsidRPr="007A162C" w:rsidTr="007A162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 xml:space="preserve">基金管理人名称 </w:t>
            </w:r>
          </w:p>
        </w:t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东方基金管理股份有限公司</w:t>
            </w:r>
          </w:p>
        </w:tc>
      </w:tr>
      <w:tr w:rsidR="009145EC" w:rsidRPr="007A162C" w:rsidTr="007A162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 xml:space="preserve">公告依据 </w:t>
            </w:r>
          </w:p>
        </w:t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《公开募集证券投资基金信息披露管理办法》、各基金的《基金合同》及《招募说明书》等法律文件</w:t>
            </w:r>
          </w:p>
        </w:tc>
      </w:tr>
      <w:tr w:rsidR="009145EC" w:rsidRPr="007A162C" w:rsidTr="007A162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 xml:space="preserve">改聘日期 </w:t>
            </w:r>
          </w:p>
        </w:t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2024年10月11日</w:t>
            </w:r>
          </w:p>
        </w:tc>
      </w:tr>
      <w:tr w:rsidR="009145EC" w:rsidRPr="007A162C" w:rsidTr="007A162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 xml:space="preserve">改聘前会计师事务所名称 </w:t>
            </w:r>
          </w:p>
        </w:t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普华永道中天会计师事务所（特殊普通合伙）</w:t>
            </w:r>
          </w:p>
        </w:tc>
      </w:tr>
      <w:tr w:rsidR="009145EC" w:rsidRPr="007A162C" w:rsidTr="007A162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 xml:space="preserve">改聘后会计师事务所名称 </w:t>
            </w:r>
          </w:p>
        </w:tc>
        <w:tc>
          <w:tcPr>
            <w:tcW w:w="426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毕马威华振会计师事务所（特殊普通合伙）</w:t>
            </w:r>
          </w:p>
        </w:tc>
      </w:tr>
      <w:tr w:rsidR="009145EC" w:rsidRPr="007A162C" w:rsidTr="007A162C">
        <w:trPr>
          <w:trHeight w:val="480"/>
        </w:trPr>
        <w:tc>
          <w:tcPr>
            <w:tcW w:w="2840"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 xml:space="preserve">基金名称 </w:t>
            </w:r>
          </w:p>
        </w:tc>
        <w:tc>
          <w:tcPr>
            <w:tcW w:w="284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 xml:space="preserve">基金简称 </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 xml:space="preserve">基金主代码 </w:t>
            </w:r>
          </w:p>
        </w:tc>
      </w:tr>
      <w:tr w:rsidR="009145EC" w:rsidRPr="007A162C" w:rsidTr="007A162C">
        <w:trPr>
          <w:trHeight w:val="480"/>
        </w:trPr>
        <w:tc>
          <w:tcPr>
            <w:tcW w:w="2840"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东方锦合一年定期开放债券型发起式证券投资基金</w:t>
            </w:r>
          </w:p>
        </w:tc>
        <w:tc>
          <w:tcPr>
            <w:tcW w:w="284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东方锦合一年定开债券发起式</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018855</w:t>
            </w:r>
          </w:p>
        </w:tc>
      </w:tr>
      <w:tr w:rsidR="009145EC" w:rsidRPr="007A162C" w:rsidTr="007A162C">
        <w:trPr>
          <w:trHeight w:val="480"/>
        </w:trPr>
        <w:tc>
          <w:tcPr>
            <w:tcW w:w="2840"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东方享悦90天滚动持有债券型证券投资基金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东方享悦90天滚动持有债券</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020850</w:t>
            </w:r>
          </w:p>
        </w:tc>
      </w:tr>
      <w:tr w:rsidR="009145EC" w:rsidRPr="007A162C" w:rsidTr="007A162C">
        <w:trPr>
          <w:trHeight w:val="480"/>
        </w:trPr>
        <w:tc>
          <w:tcPr>
            <w:tcW w:w="2840"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东方享誉30天滚动持有债券型证券投资基金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东方享誉30天滚动持有债券</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020946</w:t>
            </w:r>
          </w:p>
        </w:tc>
      </w:tr>
      <w:tr w:rsidR="009145EC" w:rsidRPr="007A162C" w:rsidTr="007A162C">
        <w:trPr>
          <w:trHeight w:val="480"/>
        </w:trPr>
        <w:tc>
          <w:tcPr>
            <w:tcW w:w="2840"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东方鑫裕稳健一年持有期混合型证券投资基金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东方鑫裕稳健一年持有期混合</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021191</w:t>
            </w:r>
          </w:p>
        </w:tc>
      </w:tr>
      <w:tr w:rsidR="009145EC" w:rsidRPr="007A162C" w:rsidTr="007A162C">
        <w:trPr>
          <w:trHeight w:val="480"/>
        </w:trPr>
        <w:tc>
          <w:tcPr>
            <w:tcW w:w="2840"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东方中债绿色普惠主题金融债券优选指数证券投资基金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东方中债绿色普惠主题金融债券优选指数</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9145EC" w:rsidRDefault="009145EC">
            <w:r w:rsidRPr="007A162C">
              <w:rPr>
                <w:rFonts w:cs="Times New Roman" w:hint="eastAsia"/>
                <w:szCs w:val="21"/>
              </w:rPr>
              <w:t>021303</w:t>
            </w:r>
          </w:p>
        </w:tc>
      </w:tr>
    </w:tbl>
    <w:p w:rsidR="009145EC" w:rsidRDefault="009145EC" w:rsidP="007A162C">
      <w:pPr>
        <w:pStyle w:val="XBRLTitle1"/>
        <w:spacing w:before="156" w:line="360" w:lineRule="auto"/>
        <w:jc w:val="left"/>
        <w:rPr>
          <w:rFonts w:hint="eastAsia"/>
        </w:rPr>
      </w:pPr>
      <w:bookmarkStart w:id="13" w:name="_Toc17898228"/>
      <w:bookmarkStart w:id="14" w:name="_Toc17897969"/>
      <w:bookmarkStart w:id="15" w:name="_Toc512519529"/>
      <w:bookmarkStart w:id="16" w:name="_Toc490050049"/>
      <w:bookmarkStart w:id="17" w:name="_Toc481075097"/>
      <w:bookmarkStart w:id="18" w:name="_Toc438646481"/>
      <w:bookmarkStart w:id="19" w:name="_Toc513295878"/>
      <w:bookmarkStart w:id="20" w:name="_Toc513295941"/>
      <w:bookmarkStart w:id="21" w:name="_Toc34322063"/>
      <w:bookmarkStart w:id="22" w:name="m201_01"/>
      <w:r>
        <w:rPr>
          <w:rFonts w:hAnsi="宋体" w:hint="eastAsia"/>
          <w:szCs w:val="24"/>
        </w:rPr>
        <w:t>其他需要提示的事项</w:t>
      </w:r>
      <w:bookmarkEnd w:id="13"/>
      <w:bookmarkEnd w:id="14"/>
      <w:bookmarkEnd w:id="15"/>
      <w:bookmarkEnd w:id="16"/>
      <w:bookmarkEnd w:id="17"/>
      <w:bookmarkEnd w:id="18"/>
      <w:bookmarkEnd w:id="19"/>
      <w:bookmarkEnd w:id="20"/>
      <w:bookmarkEnd w:id="21"/>
      <w:r>
        <w:rPr>
          <w:rFonts w:hAnsi="宋体" w:hint="eastAsia"/>
          <w:szCs w:val="24"/>
        </w:rPr>
        <w:t xml:space="preserve"> </w:t>
      </w:r>
    </w:p>
    <w:p w:rsidR="009145EC" w:rsidRDefault="009145EC">
      <w:pPr>
        <w:spacing w:line="360" w:lineRule="auto"/>
        <w:ind w:firstLineChars="200" w:firstLine="420"/>
        <w:jc w:val="left"/>
        <w:rPr>
          <w:rFonts w:hint="eastAsia"/>
        </w:rPr>
      </w:pPr>
      <w:r>
        <w:rPr>
          <w:rFonts w:hint="eastAsia"/>
          <w:szCs w:val="21"/>
        </w:rPr>
        <w:t>根据相关法律法规的规定及基金合同的约定，上述事项已经公司董事会审议通过，并已通知基金托管人。</w:t>
      </w:r>
    </w:p>
    <w:p w:rsidR="009145EC" w:rsidRDefault="009145EC" w:rsidP="007A162C">
      <w:pPr>
        <w:spacing w:line="360" w:lineRule="auto"/>
        <w:ind w:firstLineChars="600" w:firstLine="1446"/>
        <w:jc w:val="right"/>
        <w:rPr>
          <w:rFonts w:hint="eastAsia"/>
          <w:b/>
          <w:bCs/>
          <w:sz w:val="24"/>
          <w:szCs w:val="30"/>
        </w:rPr>
      </w:pPr>
      <w:r>
        <w:rPr>
          <w:rFonts w:hint="eastAsia"/>
          <w:b/>
          <w:bCs/>
          <w:sz w:val="24"/>
          <w:szCs w:val="30"/>
        </w:rPr>
        <w:t xml:space="preserve">　 </w:t>
      </w:r>
    </w:p>
    <w:p w:rsidR="009145EC" w:rsidRDefault="009145EC" w:rsidP="007A162C">
      <w:pPr>
        <w:spacing w:line="360" w:lineRule="auto"/>
        <w:ind w:firstLineChars="600" w:firstLine="1446"/>
        <w:jc w:val="right"/>
        <w:rPr>
          <w:rFonts w:hint="eastAsia"/>
          <w:b/>
          <w:bCs/>
          <w:sz w:val="24"/>
          <w:szCs w:val="30"/>
        </w:rPr>
      </w:pPr>
      <w:r>
        <w:rPr>
          <w:rFonts w:hint="eastAsia"/>
          <w:b/>
          <w:bCs/>
          <w:sz w:val="24"/>
          <w:szCs w:val="30"/>
        </w:rPr>
        <w:t xml:space="preserve">　 </w:t>
      </w:r>
    </w:p>
    <w:p w:rsidR="009145EC" w:rsidRDefault="009145EC">
      <w:pPr>
        <w:spacing w:line="360" w:lineRule="auto"/>
        <w:ind w:firstLineChars="600" w:firstLine="1446"/>
        <w:jc w:val="right"/>
        <w:rPr>
          <w:rFonts w:hint="eastAsia"/>
        </w:rPr>
      </w:pPr>
      <w:r>
        <w:rPr>
          <w:rFonts w:hint="eastAsia"/>
          <w:b/>
          <w:bCs/>
          <w:sz w:val="24"/>
          <w:szCs w:val="24"/>
        </w:rPr>
        <w:t>东方基金管理股份有限公司</w:t>
      </w:r>
    </w:p>
    <w:p w:rsidR="009145EC" w:rsidRDefault="009145EC">
      <w:pPr>
        <w:spacing w:line="360" w:lineRule="auto"/>
        <w:ind w:firstLineChars="600" w:firstLine="1446"/>
        <w:jc w:val="right"/>
        <w:rPr>
          <w:rFonts w:hint="eastAsia"/>
        </w:rPr>
      </w:pPr>
      <w:r>
        <w:rPr>
          <w:rFonts w:hint="eastAsia"/>
          <w:b/>
          <w:bCs/>
          <w:sz w:val="24"/>
          <w:szCs w:val="24"/>
        </w:rPr>
        <w:t>2024年10月12日</w:t>
      </w:r>
      <w:bookmarkEnd w:id="22"/>
    </w:p>
    <w:sectPr w:rsidR="009145EC">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EC" w:rsidRDefault="009145EC">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9145EC" w:rsidRDefault="009145EC">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C" w:rsidRDefault="009145EC">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7A162C">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7A162C">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EC" w:rsidRDefault="009145EC">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9145EC" w:rsidRDefault="009145EC">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C" w:rsidRDefault="009145EC">
    <w:pPr>
      <w:pStyle w:val="a7"/>
      <w:jc w:val="right"/>
      <w:rPr>
        <w:rFonts w:hint="eastAsia"/>
      </w:rPr>
    </w:pPr>
    <w:r>
      <w:rPr>
        <w:rFonts w:hint="eastAsia"/>
      </w:rPr>
      <w:t>东方基金管理股份有限公司关于旗下部分基金改聘会计师事务所的公告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doNotDisplayPageBoundaries/>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162C"/>
    <w:rsid w:val="001C5EBD"/>
    <w:rsid w:val="007A162C"/>
    <w:rsid w:val="009145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rFonts w:cs="Times New Roman"/>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cs="Times New Roman"/>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rFonts w:cs="Times New Roman"/>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cs="Times New Roman"/>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Cambria" w:eastAsia="宋体" w:hAnsi="Cambria" w:cs="Times New Roman" w:hint="default"/>
      <w:b/>
      <w:bCs/>
      <w:kern w:val="2"/>
      <w:sz w:val="24"/>
      <w:szCs w:val="24"/>
    </w:rPr>
  </w:style>
  <w:style w:type="character" w:customStyle="1" w:styleId="5Char">
    <w:name w:val="标题 5 Char"/>
    <w:basedOn w:val="a0"/>
    <w:link w:val="5"/>
    <w:uiPriority w:val="9"/>
    <w:semiHidden/>
    <w:locked/>
    <w:rPr>
      <w:b/>
      <w:bCs/>
      <w:kern w:val="2"/>
      <w:sz w:val="24"/>
      <w:szCs w:val="24"/>
    </w:rPr>
  </w:style>
  <w:style w:type="character" w:customStyle="1" w:styleId="6Char">
    <w:name w:val="标题 6 Char"/>
    <w:basedOn w:val="a0"/>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basedOn w:val="a0"/>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basedOn w:val="a0"/>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basedOn w:val="a0"/>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basedOn w:val="a0"/>
    <w:link w:val="aa"/>
    <w:locked/>
    <w:rPr>
      <w:rFonts w:ascii="Cambria" w:hAnsi="Cambria" w:cs="Times New Roman" w:hint="default"/>
      <w:b/>
      <w:bCs/>
      <w:kern w:val="24"/>
      <w:sz w:val="32"/>
      <w:szCs w:val="32"/>
    </w:rPr>
  </w:style>
  <w:style w:type="paragraph" w:styleId="ab">
    <w:name w:val="Date"/>
    <w:basedOn w:val="a"/>
    <w:next w:val="a"/>
    <w:link w:val="Char14"/>
    <w:rPr>
      <w:rFonts w:cs="Times New Roman" w:hint="eastAsia"/>
      <w:sz w:val="32"/>
      <w:lang/>
    </w:rPr>
  </w:style>
  <w:style w:type="character" w:customStyle="1" w:styleId="Char5">
    <w:name w:val="日期 Char"/>
    <w:basedOn w:val="a0"/>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basedOn w:val="a0"/>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basedOn w:val="a0"/>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basedOn w:val="a0"/>
    <w:link w:val="1"/>
    <w:uiPriority w:val="9"/>
    <w:locked/>
    <w:rPr>
      <w:b/>
      <w:bCs/>
      <w:kern w:val="44"/>
      <w:sz w:val="44"/>
      <w:szCs w:val="44"/>
    </w:rPr>
  </w:style>
  <w:style w:type="character" w:customStyle="1" w:styleId="21">
    <w:name w:val="标题 2 字符"/>
    <w:basedOn w:val="a0"/>
    <w:link w:val="2"/>
    <w:uiPriority w:val="9"/>
    <w:locked/>
    <w:rPr>
      <w:rFonts w:ascii="Cambria" w:eastAsia="宋体" w:hAnsi="Cambria" w:cs="Times New Roman" w:hint="default"/>
      <w:b/>
      <w:bCs/>
      <w:kern w:val="2"/>
      <w:sz w:val="32"/>
      <w:szCs w:val="32"/>
    </w:rPr>
  </w:style>
  <w:style w:type="character" w:customStyle="1" w:styleId="31">
    <w:name w:val="标题 3 字符"/>
    <w:basedOn w:val="a0"/>
    <w:link w:val="3"/>
    <w:uiPriority w:val="9"/>
    <w:locked/>
    <w:rPr>
      <w:b/>
      <w:bCs/>
      <w:kern w:val="2"/>
      <w:sz w:val="32"/>
      <w:szCs w:val="32"/>
    </w:rPr>
  </w:style>
  <w:style w:type="character" w:customStyle="1" w:styleId="40">
    <w:name w:val="标题 4 字符"/>
    <w:basedOn w:val="a0"/>
    <w:link w:val="4"/>
    <w:locked/>
    <w:rPr>
      <w:rFonts w:ascii="Cambria" w:eastAsia="宋体" w:hAnsi="Cambria" w:cs="Times New Roman" w:hint="default"/>
      <w:b/>
      <w:bCs/>
      <w:kern w:val="2"/>
      <w:sz w:val="24"/>
      <w:szCs w:val="24"/>
    </w:rPr>
  </w:style>
  <w:style w:type="character" w:customStyle="1" w:styleId="af0">
    <w:name w:val="脚注文本 字符"/>
    <w:basedOn w:val="a0"/>
    <w:link w:val="a6"/>
    <w:locked/>
    <w:rPr>
      <w:kern w:val="2"/>
      <w:sz w:val="18"/>
      <w:szCs w:val="18"/>
    </w:rPr>
  </w:style>
  <w:style w:type="character" w:customStyle="1" w:styleId="af1">
    <w:name w:val="页眉 字符"/>
    <w:basedOn w:val="a0"/>
    <w:link w:val="a7"/>
    <w:locked/>
    <w:rPr>
      <w:kern w:val="2"/>
      <w:sz w:val="18"/>
      <w:szCs w:val="18"/>
    </w:rPr>
  </w:style>
  <w:style w:type="character" w:customStyle="1" w:styleId="af2">
    <w:name w:val="页脚 字符"/>
    <w:basedOn w:val="a0"/>
    <w:link w:val="a8"/>
    <w:uiPriority w:val="99"/>
    <w:locked/>
    <w:rPr>
      <w:kern w:val="2"/>
      <w:sz w:val="18"/>
      <w:szCs w:val="18"/>
    </w:rPr>
  </w:style>
  <w:style w:type="character" w:customStyle="1" w:styleId="af3">
    <w:name w:val="标题 字符"/>
    <w:basedOn w:val="a0"/>
    <w:link w:val="a9"/>
    <w:uiPriority w:val="10"/>
    <w:locked/>
    <w:rPr>
      <w:rFonts w:ascii="Cambria" w:eastAsia="宋体" w:hAnsi="Cambria" w:cs="Times New Roman" w:hint="default"/>
      <w:b/>
      <w:bCs/>
      <w:kern w:val="2"/>
      <w:sz w:val="32"/>
      <w:szCs w:val="32"/>
    </w:rPr>
  </w:style>
  <w:style w:type="character" w:customStyle="1" w:styleId="af4">
    <w:name w:val="副标题 字符"/>
    <w:basedOn w:val="a0"/>
    <w:link w:val="aa"/>
    <w:locked/>
    <w:rPr>
      <w:rFonts w:ascii="Calibri" w:eastAsia="宋体" w:hAnsi="Calibri" w:cs="Times New Roman" w:hint="default"/>
      <w:b/>
      <w:bCs/>
      <w:kern w:val="24"/>
      <w:sz w:val="32"/>
      <w:szCs w:val="32"/>
    </w:rPr>
  </w:style>
  <w:style w:type="character" w:customStyle="1" w:styleId="af5">
    <w:name w:val="日期 字符"/>
    <w:basedOn w:val="a0"/>
    <w:link w:val="ab"/>
    <w:locked/>
    <w:rPr>
      <w:kern w:val="2"/>
      <w:sz w:val="21"/>
    </w:rPr>
  </w:style>
  <w:style w:type="character" w:customStyle="1" w:styleId="af6">
    <w:name w:val="文档结构图 字符"/>
    <w:basedOn w:val="a0"/>
    <w:link w:val="ac"/>
    <w:locked/>
    <w:rPr>
      <w:rFonts w:ascii="Microsoft YaHei UI" w:eastAsia="Microsoft YaHei UI" w:hAnsi="Microsoft YaHei UI" w:hint="eastAsia"/>
      <w:kern w:val="2"/>
      <w:sz w:val="18"/>
      <w:szCs w:val="18"/>
    </w:rPr>
  </w:style>
  <w:style w:type="character" w:customStyle="1" w:styleId="af7">
    <w:name w:val="批注框文本 字符"/>
    <w:basedOn w:val="a0"/>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basedOn w:val="a0"/>
    <w:link w:val="a6"/>
    <w:locked/>
    <w:rPr>
      <w:kern w:val="2"/>
      <w:sz w:val="18"/>
      <w:szCs w:val="18"/>
    </w:rPr>
  </w:style>
  <w:style w:type="character" w:customStyle="1" w:styleId="Char10">
    <w:name w:val="页眉 Char1"/>
    <w:basedOn w:val="a0"/>
    <w:link w:val="a7"/>
    <w:locked/>
    <w:rPr>
      <w:kern w:val="2"/>
      <w:sz w:val="18"/>
      <w:szCs w:val="18"/>
    </w:rPr>
  </w:style>
  <w:style w:type="character" w:customStyle="1" w:styleId="Char11">
    <w:name w:val="页脚 Char1"/>
    <w:basedOn w:val="a0"/>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basedOn w:val="a0"/>
    <w:link w:val="ac"/>
    <w:locked/>
    <w:rPr>
      <w:rFonts w:ascii="宋体" w:eastAsia="宋体" w:hAnsi="宋体" w:hint="eastAsia"/>
      <w:kern w:val="2"/>
      <w:sz w:val="18"/>
      <w:szCs w:val="18"/>
    </w:rPr>
  </w:style>
  <w:style w:type="character" w:customStyle="1" w:styleId="Char16">
    <w:name w:val="批注框文本 Char1"/>
    <w:basedOn w:val="a0"/>
    <w:link w:val="ad"/>
    <w:uiPriority w:val="99"/>
    <w:semiHidden/>
    <w:locked/>
    <w:rPr>
      <w:kern w:val="2"/>
      <w:sz w:val="18"/>
      <w:szCs w:val="18"/>
    </w:rPr>
  </w:style>
  <w:style w:type="character" w:customStyle="1" w:styleId="5Char1">
    <w:name w:val="标题 5 Char1"/>
    <w:basedOn w:val="a0"/>
    <w:link w:val="5"/>
    <w:uiPriority w:val="9"/>
    <w:semiHidden/>
    <w:locked/>
    <w:rPr>
      <w:b/>
      <w:bCs/>
      <w:kern w:val="2"/>
      <w:sz w:val="24"/>
      <w:szCs w:val="24"/>
    </w:rPr>
  </w:style>
  <w:style w:type="character" w:customStyle="1" w:styleId="6Char1">
    <w:name w:val="标题 6 Char1"/>
    <w:basedOn w:val="a0"/>
    <w:link w:val="6"/>
    <w:uiPriority w:val="9"/>
    <w:semiHidden/>
    <w:locked/>
    <w:rPr>
      <w:rFonts w:ascii="Cambria" w:eastAsia="宋体" w:hAnsi="Cambria" w:cs="Times New Roman" w:hint="default"/>
      <w:b/>
      <w:bCs/>
      <w:kern w:val="2"/>
      <w:sz w:val="24"/>
      <w:szCs w:val="24"/>
    </w:rPr>
  </w:style>
  <w:style w:type="character" w:customStyle="1" w:styleId="12">
    <w:name w:val="页眉 字符1"/>
    <w:basedOn w:val="a0"/>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BA53C-A946-4430-9AEE-106EB4B7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4</DocSecurity>
  <Lines>4</Lines>
  <Paragraphs>1</Paragraphs>
  <ScaleCrop>false</ScaleCrop>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2024-10-11T16:00:00Z</dcterms:created>
  <dcterms:modified xsi:type="dcterms:W3CDTF">2024-10-11T16:00:00Z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