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Cs w:val="21"/>
        </w:rPr>
      </w:pPr>
      <w:bookmarkStart w:id="0" w:name="_Toc361324840"/>
    </w:p>
    <w:p>
      <w:pPr>
        <w:spacing w:line="360" w:lineRule="auto"/>
        <w:jc w:val="center"/>
        <w:rPr>
          <w:rFonts w:ascii="宋体" w:hAnsi="宋体"/>
          <w:b/>
          <w:szCs w:val="21"/>
        </w:rPr>
      </w:pPr>
    </w:p>
    <w:bookmarkEnd w:id="0"/>
    <w:p>
      <w:pPr>
        <w:spacing w:line="360" w:lineRule="auto"/>
        <w:jc w:val="center"/>
        <w:rPr>
          <w:rFonts w:ascii="宋体" w:hAnsi="宋体"/>
          <w:b/>
          <w:sz w:val="52"/>
          <w:szCs w:val="52"/>
        </w:rPr>
      </w:pPr>
      <w:bookmarkStart w:id="1" w:name="_Toc361324841"/>
      <w:bookmarkStart w:id="2" w:name="OLE_LINK2"/>
      <w:r>
        <w:rPr>
          <w:rFonts w:hint="eastAsia" w:ascii="宋体" w:hAnsi="宋体"/>
          <w:b/>
          <w:sz w:val="52"/>
          <w:szCs w:val="52"/>
          <w:lang w:eastAsia="zh-CN"/>
        </w:rPr>
        <w:t>博时鑫荣稳健混合型证券投资基金</w:t>
      </w:r>
      <w:r>
        <w:rPr>
          <w:rFonts w:hint="eastAsia" w:ascii="宋体" w:hAnsi="宋体"/>
          <w:b/>
          <w:sz w:val="52"/>
          <w:szCs w:val="52"/>
        </w:rPr>
        <w:t>清算</w:t>
      </w:r>
      <w:r>
        <w:rPr>
          <w:rFonts w:ascii="宋体" w:hAnsi="宋体"/>
          <w:b/>
          <w:sz w:val="52"/>
          <w:szCs w:val="52"/>
        </w:rPr>
        <w:t>报告</w:t>
      </w:r>
      <w:bookmarkEnd w:id="1"/>
      <w:bookmarkEnd w:id="2"/>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360" w:lineRule="auto"/>
        <w:jc w:val="center"/>
        <w:rPr>
          <w:rFonts w:ascii="宋体" w:hAnsi="宋体"/>
          <w:b/>
          <w:color w:val="000000"/>
          <w:sz w:val="36"/>
          <w:szCs w:val="36"/>
        </w:rPr>
      </w:pPr>
      <w:r>
        <w:rPr>
          <w:rFonts w:ascii="宋体" w:hAnsi="宋体"/>
          <w:b/>
          <w:color w:val="000000"/>
          <w:sz w:val="36"/>
          <w:szCs w:val="36"/>
        </w:rPr>
        <w:t>基金管理人：博时基金管理有限公司</w:t>
      </w:r>
    </w:p>
    <w:p>
      <w:pPr>
        <w:spacing w:line="360" w:lineRule="auto"/>
        <w:jc w:val="center"/>
        <w:rPr>
          <w:rFonts w:ascii="宋体" w:hAnsi="宋体"/>
          <w:b/>
          <w:color w:val="000000"/>
          <w:sz w:val="36"/>
          <w:szCs w:val="36"/>
        </w:rPr>
      </w:pPr>
      <w:r>
        <w:rPr>
          <w:rFonts w:ascii="宋体" w:hAnsi="宋体"/>
          <w:b/>
          <w:color w:val="000000"/>
          <w:sz w:val="36"/>
          <w:szCs w:val="36"/>
        </w:rPr>
        <w:t>基金托管人：</w:t>
      </w:r>
      <w:r>
        <w:rPr>
          <w:rFonts w:hint="eastAsia" w:ascii="宋体" w:hAnsi="宋体"/>
          <w:b/>
          <w:color w:val="000000"/>
          <w:sz w:val="36"/>
          <w:szCs w:val="36"/>
          <w:lang w:eastAsia="zh-CN"/>
        </w:rPr>
        <w:t>上海银行</w:t>
      </w:r>
      <w:r>
        <w:rPr>
          <w:rFonts w:hint="eastAsia" w:ascii="宋体" w:hAnsi="宋体"/>
          <w:b/>
          <w:color w:val="000000"/>
          <w:sz w:val="36"/>
          <w:szCs w:val="36"/>
        </w:rPr>
        <w:t>股份有限公司</w:t>
      </w:r>
    </w:p>
    <w:p>
      <w:pPr>
        <w:spacing w:line="360" w:lineRule="auto"/>
        <w:jc w:val="center"/>
        <w:rPr>
          <w:rFonts w:hint="eastAsia" w:ascii="宋体" w:hAnsi="宋体" w:eastAsia="宋体"/>
          <w:b/>
          <w:color w:val="000000"/>
          <w:sz w:val="36"/>
          <w:szCs w:val="36"/>
          <w:lang w:eastAsia="zh-CN"/>
        </w:rPr>
      </w:pPr>
      <w:r>
        <w:rPr>
          <w:rFonts w:ascii="宋体" w:hAnsi="宋体"/>
          <w:b/>
          <w:color w:val="000000"/>
          <w:sz w:val="36"/>
          <w:szCs w:val="36"/>
        </w:rPr>
        <w:t>报告</w:t>
      </w:r>
      <w:r>
        <w:rPr>
          <w:rFonts w:hint="eastAsia" w:ascii="宋体" w:hAnsi="宋体"/>
          <w:b/>
          <w:color w:val="000000"/>
          <w:sz w:val="36"/>
          <w:szCs w:val="36"/>
        </w:rPr>
        <w:t>出具</w:t>
      </w:r>
      <w:r>
        <w:rPr>
          <w:rFonts w:ascii="宋体" w:hAnsi="宋体"/>
          <w:b/>
          <w:color w:val="000000"/>
          <w:sz w:val="36"/>
          <w:szCs w:val="36"/>
        </w:rPr>
        <w:t>日期：</w:t>
      </w:r>
      <w:r>
        <w:rPr>
          <w:rFonts w:hint="eastAsia" w:ascii="宋体" w:hAnsi="宋体"/>
          <w:b/>
          <w:color w:val="000000"/>
          <w:sz w:val="36"/>
          <w:szCs w:val="36"/>
          <w:lang w:eastAsia="zh-CN"/>
        </w:rPr>
        <w:t>二〇二四年九月二十日</w:t>
      </w:r>
    </w:p>
    <w:p>
      <w:pPr>
        <w:spacing w:line="360" w:lineRule="auto"/>
        <w:jc w:val="center"/>
        <w:rPr>
          <w:rFonts w:hint="eastAsia" w:ascii="宋体" w:hAnsi="宋体" w:eastAsia="宋体"/>
          <w:b/>
          <w:color w:val="000000"/>
          <w:sz w:val="36"/>
          <w:szCs w:val="36"/>
          <w:lang w:eastAsia="zh-CN"/>
        </w:rPr>
      </w:pPr>
      <w:r>
        <w:rPr>
          <w:rFonts w:hint="eastAsia" w:ascii="宋体" w:hAnsi="宋体"/>
          <w:b/>
          <w:color w:val="000000"/>
          <w:sz w:val="36"/>
          <w:szCs w:val="36"/>
        </w:rPr>
        <w:t>报告公告日期：</w:t>
      </w:r>
      <w:r>
        <w:rPr>
          <w:rFonts w:hint="eastAsia" w:ascii="宋体" w:hAnsi="宋体"/>
          <w:b/>
          <w:color w:val="000000"/>
          <w:sz w:val="36"/>
          <w:szCs w:val="36"/>
          <w:lang w:eastAsia="zh-CN"/>
        </w:rPr>
        <w:t>二〇二四年</w:t>
      </w:r>
      <w:r>
        <w:rPr>
          <w:rFonts w:hint="eastAsia" w:ascii="宋体" w:hAnsi="宋体"/>
          <w:b/>
          <w:color w:val="000000"/>
          <w:sz w:val="36"/>
          <w:szCs w:val="36"/>
          <w:lang w:val="en-US" w:eastAsia="zh-CN"/>
        </w:rPr>
        <w:t>十</w:t>
      </w:r>
      <w:r>
        <w:rPr>
          <w:rFonts w:hint="eastAsia" w:ascii="宋体" w:hAnsi="宋体"/>
          <w:b/>
          <w:color w:val="000000"/>
          <w:sz w:val="36"/>
          <w:szCs w:val="36"/>
          <w:lang w:eastAsia="zh-CN"/>
        </w:rPr>
        <w:t>月</w:t>
      </w:r>
      <w:r>
        <w:rPr>
          <w:rFonts w:hint="eastAsia" w:ascii="宋体" w:hAnsi="宋体"/>
          <w:b/>
          <w:color w:val="000000"/>
          <w:sz w:val="36"/>
          <w:szCs w:val="36"/>
          <w:lang w:val="en-US" w:eastAsia="zh-CN"/>
        </w:rPr>
        <w:t>十一</w:t>
      </w:r>
      <w:r>
        <w:rPr>
          <w:rFonts w:hint="eastAsia" w:ascii="宋体" w:hAnsi="宋体"/>
          <w:b/>
          <w:color w:val="000000"/>
          <w:sz w:val="36"/>
          <w:szCs w:val="36"/>
          <w:lang w:eastAsia="zh-CN"/>
        </w:rPr>
        <w:t>日</w:t>
      </w:r>
    </w:p>
    <w:p>
      <w:pPr>
        <w:spacing w:line="360" w:lineRule="auto"/>
        <w:jc w:val="center"/>
        <w:rPr>
          <w:rFonts w:ascii="宋体" w:hAnsi="宋体"/>
          <w:b/>
          <w:color w:val="000000"/>
          <w:sz w:val="36"/>
          <w:szCs w:val="36"/>
        </w:rPr>
      </w:pPr>
    </w:p>
    <w:p>
      <w:pPr>
        <w:spacing w:line="360" w:lineRule="auto"/>
        <w:ind w:firstLine="1265" w:firstLineChars="350"/>
        <w:rPr>
          <w:rFonts w:ascii="宋体" w:hAnsi="宋体"/>
          <w:b/>
          <w:color w:val="000000"/>
          <w:sz w:val="36"/>
          <w:szCs w:val="36"/>
        </w:rPr>
        <w:sectPr>
          <w:headerReference r:id="rId3" w:type="default"/>
          <w:footerReference r:id="rId4" w:type="default"/>
          <w:pgSz w:w="11926" w:h="15840"/>
          <w:pgMar w:top="1418" w:right="1418" w:bottom="851" w:left="1418" w:header="851" w:footer="992" w:gutter="0"/>
          <w:pgNumType w:start="1"/>
          <w:cols w:space="720" w:num="1"/>
          <w:titlePg/>
          <w:docGrid w:linePitch="286" w:charSpace="0"/>
        </w:sectPr>
      </w:pPr>
    </w:p>
    <w:sdt>
      <w:sdtPr>
        <w:rPr>
          <w:rFonts w:ascii="Times New Roman" w:hAnsi="Times New Roman" w:eastAsia="宋体" w:cs="Times New Roman"/>
          <w:b w:val="0"/>
          <w:bCs w:val="0"/>
          <w:color w:val="auto"/>
          <w:kern w:val="2"/>
          <w:sz w:val="21"/>
          <w:szCs w:val="24"/>
          <w:lang w:val="zh-CN"/>
        </w:rPr>
        <w:id w:val="54272230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2"/>
            <w:jc w:val="center"/>
          </w:pPr>
          <w:bookmarkStart w:id="3" w:name="_Toc484769794"/>
          <w:r>
            <w:rPr>
              <w:rFonts w:hint="eastAsia"/>
              <w:color w:val="000000" w:themeColor="text1"/>
              <w:lang w:val="zh-CN"/>
              <w14:textFill>
                <w14:solidFill>
                  <w14:schemeClr w14:val="tx1"/>
                </w14:solidFill>
              </w14:textFill>
            </w:rPr>
            <w:t>目录</w:t>
          </w:r>
        </w:p>
        <w:p>
          <w:pPr>
            <w:pStyle w:val="9"/>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"_Toc491963077" </w:instrText>
          </w:r>
          <w:r>
            <w:fldChar w:fldCharType="separate"/>
          </w:r>
          <w:r>
            <w:rPr>
              <w:rStyle w:val="15"/>
              <w:rFonts w:ascii="宋体" w:hAnsi="宋体"/>
              <w:b/>
            </w:rPr>
            <w:t>1</w:t>
          </w:r>
          <w:r>
            <w:rPr>
              <w:rStyle w:val="15"/>
              <w:rFonts w:hint="eastAsia" w:ascii="宋体" w:hAnsi="宋体"/>
              <w:b/>
            </w:rPr>
            <w:t>、重要提示</w:t>
          </w:r>
          <w:r>
            <w:tab/>
          </w:r>
          <w:r>
            <w:fldChar w:fldCharType="begin"/>
          </w:r>
          <w:r>
            <w:instrText xml:space="preserve"> PAGEREF _Toc491963077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"_Toc491963078" </w:instrText>
          </w:r>
          <w:r>
            <w:fldChar w:fldCharType="separate"/>
          </w:r>
          <w:r>
            <w:rPr>
              <w:rStyle w:val="15"/>
              <w:rFonts w:ascii="宋体" w:hAnsi="宋体"/>
              <w:kern w:val="0"/>
            </w:rPr>
            <w:t xml:space="preserve">1.1 </w:t>
          </w:r>
          <w:r>
            <w:rPr>
              <w:rStyle w:val="15"/>
              <w:rFonts w:hint="eastAsia" w:ascii="宋体" w:hAnsi="宋体"/>
              <w:kern w:val="0"/>
            </w:rPr>
            <w:t>重要提示</w:t>
          </w:r>
          <w:r>
            <w:tab/>
          </w:r>
          <w:r>
            <w:fldChar w:fldCharType="begin"/>
          </w:r>
          <w:r>
            <w:instrText xml:space="preserve"> PAGEREF _Toc491963078 \h </w:instrText>
          </w:r>
          <w:r>
            <w:fldChar w:fldCharType="separate"/>
          </w:r>
          <w:r>
            <w:t>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"_Toc491963079" </w:instrText>
          </w:r>
          <w:r>
            <w:fldChar w:fldCharType="separate"/>
          </w:r>
          <w:r>
            <w:rPr>
              <w:rStyle w:val="15"/>
              <w:rFonts w:ascii="宋体" w:hAnsi="宋体"/>
              <w:b/>
            </w:rPr>
            <w:t>2</w:t>
          </w:r>
          <w:r>
            <w:rPr>
              <w:rStyle w:val="15"/>
              <w:rFonts w:hint="eastAsia" w:ascii="宋体" w:hAnsi="宋体"/>
              <w:b/>
            </w:rPr>
            <w:t>、基金概况</w:t>
          </w:r>
          <w:r>
            <w:tab/>
          </w:r>
          <w:r>
            <w:fldChar w:fldCharType="begin"/>
          </w:r>
          <w:r>
            <w:instrText xml:space="preserve"> PAGEREF _Toc491963079 \h </w:instrText>
          </w:r>
          <w:r>
            <w:fldChar w:fldCharType="separate"/>
          </w:r>
          <w:r>
            <w:t>2</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"_Toc491963080" </w:instrText>
          </w:r>
          <w:r>
            <w:fldChar w:fldCharType="separate"/>
          </w:r>
          <w:r>
            <w:rPr>
              <w:rStyle w:val="15"/>
              <w:rFonts w:ascii="宋体" w:hAnsi="宋体"/>
              <w:kern w:val="0"/>
            </w:rPr>
            <w:t xml:space="preserve">2.1 </w:t>
          </w:r>
          <w:r>
            <w:rPr>
              <w:rStyle w:val="15"/>
              <w:rFonts w:hint="eastAsia" w:ascii="宋体" w:hAnsi="宋体"/>
              <w:kern w:val="0"/>
            </w:rPr>
            <w:t>基金基本情况</w:t>
          </w:r>
          <w:r>
            <w:tab/>
          </w:r>
          <w:r>
            <w:fldChar w:fldCharType="begin"/>
          </w:r>
          <w:r>
            <w:instrText xml:space="preserve"> PAGEREF _Toc491963080 \h </w:instrText>
          </w:r>
          <w:r>
            <w:fldChar w:fldCharType="separate"/>
          </w:r>
          <w:r>
            <w:t>2</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"_Toc491963081" </w:instrText>
          </w:r>
          <w:r>
            <w:fldChar w:fldCharType="separate"/>
          </w:r>
          <w:r>
            <w:rPr>
              <w:rStyle w:val="15"/>
              <w:rFonts w:ascii="宋体" w:hAnsi="宋体"/>
            </w:rPr>
            <w:t xml:space="preserve">2.2 </w:t>
          </w:r>
          <w:r>
            <w:rPr>
              <w:rStyle w:val="15"/>
              <w:rFonts w:hint="eastAsia" w:ascii="宋体" w:hAnsi="宋体"/>
            </w:rPr>
            <w:t>基金产品说明</w:t>
          </w:r>
          <w:r>
            <w:tab/>
          </w:r>
          <w:r>
            <w:fldChar w:fldCharType="begin"/>
          </w:r>
          <w:r>
            <w:instrText xml:space="preserve"> PAGEREF _Toc491963081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"_Toc491963082" </w:instrText>
          </w:r>
          <w:r>
            <w:fldChar w:fldCharType="separate"/>
          </w:r>
          <w:r>
            <w:rPr>
              <w:rStyle w:val="15"/>
              <w:rFonts w:ascii="宋体" w:hAnsi="宋体"/>
              <w:b/>
            </w:rPr>
            <w:t>3</w:t>
          </w:r>
          <w:r>
            <w:rPr>
              <w:rStyle w:val="15"/>
              <w:rFonts w:hint="eastAsia" w:ascii="宋体" w:hAnsi="宋体"/>
              <w:b/>
            </w:rPr>
            <w:t>、基金运作情况说明</w:t>
          </w:r>
          <w:r>
            <w:tab/>
          </w:r>
          <w:r>
            <w:fldChar w:fldCharType="begin"/>
          </w:r>
          <w:r>
            <w:instrText xml:space="preserve"> PAGEREF _Toc491963082 \h </w:instrText>
          </w:r>
          <w:r>
            <w:fldChar w:fldCharType="separate"/>
          </w:r>
          <w:r>
            <w:t>3</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"_Toc491963083" </w:instrText>
          </w:r>
          <w:r>
            <w:fldChar w:fldCharType="separate"/>
          </w:r>
          <w:r>
            <w:rPr>
              <w:rStyle w:val="15"/>
              <w:rFonts w:ascii="宋体" w:hAnsi="宋体"/>
              <w:b/>
            </w:rPr>
            <w:t>4</w:t>
          </w:r>
          <w:r>
            <w:rPr>
              <w:rStyle w:val="15"/>
              <w:rFonts w:hint="eastAsia" w:ascii="宋体" w:hAnsi="宋体"/>
              <w:b/>
            </w:rPr>
            <w:t>、财务报告</w:t>
          </w:r>
          <w:r>
            <w:tab/>
          </w:r>
          <w:r>
            <w:fldChar w:fldCharType="begin"/>
          </w:r>
          <w:r>
            <w:instrText xml:space="preserve"> PAGEREF _Toc491963083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"_Toc491963084" </w:instrText>
          </w:r>
          <w:r>
            <w:fldChar w:fldCharType="separate"/>
          </w:r>
          <w:r>
            <w:rPr>
              <w:rStyle w:val="15"/>
              <w:rFonts w:ascii="宋体" w:hAnsi="宋体"/>
              <w:kern w:val="0"/>
            </w:rPr>
            <w:t xml:space="preserve">4.1 </w:t>
          </w:r>
          <w:r>
            <w:rPr>
              <w:rStyle w:val="15"/>
              <w:rFonts w:hint="eastAsia" w:ascii="宋体" w:hAnsi="宋体"/>
              <w:kern w:val="0"/>
            </w:rPr>
            <w:t>资产负债表</w:t>
          </w:r>
          <w:r>
            <w:tab/>
          </w:r>
          <w:r>
            <w:fldChar w:fldCharType="begin"/>
          </w:r>
          <w:r>
            <w:instrText xml:space="preserve"> PAGEREF _Toc491963084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"_Toc491963085" </w:instrText>
          </w:r>
          <w:r>
            <w:fldChar w:fldCharType="separate"/>
          </w:r>
          <w:r>
            <w:rPr>
              <w:rStyle w:val="15"/>
              <w:rFonts w:ascii="宋体" w:hAnsi="宋体"/>
              <w:kern w:val="0"/>
            </w:rPr>
            <w:t xml:space="preserve">4.2 </w:t>
          </w:r>
          <w:r>
            <w:rPr>
              <w:rStyle w:val="15"/>
              <w:rFonts w:hint="eastAsia" w:ascii="宋体" w:hAnsi="宋体"/>
              <w:kern w:val="0"/>
            </w:rPr>
            <w:t>清算损益表</w:t>
          </w:r>
          <w:r>
            <w:tab/>
          </w:r>
          <w:r>
            <w:fldChar w:fldCharType="begin"/>
          </w:r>
          <w:r>
            <w:instrText xml:space="preserve"> PAGEREF _Toc491963085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"_Toc491963086" </w:instrText>
          </w:r>
          <w:r>
            <w:fldChar w:fldCharType="separate"/>
          </w:r>
          <w:r>
            <w:rPr>
              <w:rStyle w:val="15"/>
              <w:rFonts w:ascii="宋体" w:hAnsi="宋体"/>
              <w:kern w:val="0"/>
            </w:rPr>
            <w:t xml:space="preserve">4.3 </w:t>
          </w:r>
          <w:r>
            <w:rPr>
              <w:rStyle w:val="15"/>
              <w:rFonts w:hint="eastAsia" w:ascii="宋体" w:hAnsi="宋体"/>
              <w:kern w:val="0"/>
            </w:rPr>
            <w:t>报表附注</w:t>
          </w:r>
          <w:r>
            <w:tab/>
          </w:r>
          <w:r>
            <w:fldChar w:fldCharType="begin"/>
          </w:r>
          <w:r>
            <w:instrText xml:space="preserve"> PAGEREF _Toc491963086 \h </w:instrText>
          </w:r>
          <w:r>
            <w:fldChar w:fldCharType="separate"/>
          </w:r>
          <w:r>
            <w:t>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"_Toc491963087" </w:instrText>
          </w:r>
          <w:r>
            <w:fldChar w:fldCharType="separate"/>
          </w:r>
          <w:r>
            <w:rPr>
              <w:rStyle w:val="15"/>
              <w:rFonts w:ascii="宋体" w:hAnsi="宋体"/>
              <w:b/>
            </w:rPr>
            <w:t>5</w:t>
          </w:r>
          <w:r>
            <w:rPr>
              <w:rStyle w:val="15"/>
              <w:rFonts w:hint="eastAsia" w:ascii="宋体" w:hAnsi="宋体"/>
              <w:b/>
            </w:rPr>
            <w:t>、清算情况</w:t>
          </w:r>
          <w:r>
            <w:tab/>
          </w:r>
          <w:r>
            <w:fldChar w:fldCharType="begin"/>
          </w:r>
          <w:r>
            <w:instrText xml:space="preserve"> PAGEREF _Toc491963087 \h </w:instrText>
          </w:r>
          <w:r>
            <w:fldChar w:fldCharType="separate"/>
          </w:r>
          <w:r>
            <w:t>7</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"_Toc491963088" </w:instrText>
          </w:r>
          <w:r>
            <w:fldChar w:fldCharType="separate"/>
          </w:r>
          <w:r>
            <w:rPr>
              <w:rStyle w:val="15"/>
              <w:rFonts w:ascii="宋体" w:hAnsi="宋体"/>
              <w:kern w:val="0"/>
            </w:rPr>
            <w:t xml:space="preserve">5.1 </w:t>
          </w:r>
          <w:r>
            <w:rPr>
              <w:rStyle w:val="15"/>
              <w:rFonts w:hint="eastAsia" w:ascii="宋体" w:hAnsi="宋体"/>
              <w:kern w:val="0"/>
            </w:rPr>
            <w:t>资产负债清算情况</w:t>
          </w:r>
          <w:r>
            <w:tab/>
          </w:r>
          <w:r>
            <w:fldChar w:fldCharType="begin"/>
          </w:r>
          <w:r>
            <w:instrText xml:space="preserve"> PAGEREF _Toc491963088 \h </w:instrText>
          </w:r>
          <w:r>
            <w:fldChar w:fldCharType="separate"/>
          </w:r>
          <w:r>
            <w:t>9</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"_Toc491963089" </w:instrText>
          </w:r>
          <w:r>
            <w:fldChar w:fldCharType="separate"/>
          </w:r>
          <w:r>
            <w:rPr>
              <w:rStyle w:val="15"/>
              <w:rFonts w:ascii="宋体" w:hAnsi="宋体"/>
              <w:kern w:val="0"/>
            </w:rPr>
            <w:t xml:space="preserve">5.2 </w:t>
          </w:r>
          <w:r>
            <w:rPr>
              <w:rStyle w:val="15"/>
              <w:rFonts w:hint="eastAsia" w:ascii="宋体" w:hAnsi="宋体"/>
              <w:kern w:val="0"/>
            </w:rPr>
            <w:t>截至本次清算期结束日的剩余财产情况及剩余财产分配安排</w:t>
          </w:r>
          <w:r>
            <w:tab/>
          </w:r>
          <w:r>
            <w:fldChar w:fldCharType="begin"/>
          </w:r>
          <w:r>
            <w:instrText xml:space="preserve"> PAGEREF _Toc491963089 \h </w:instrText>
          </w:r>
          <w:r>
            <w:fldChar w:fldCharType="separate"/>
          </w:r>
          <w:r>
            <w:t>10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"_Toc491963090" </w:instrText>
          </w:r>
          <w:r>
            <w:fldChar w:fldCharType="separate"/>
          </w:r>
          <w:r>
            <w:rPr>
              <w:rStyle w:val="15"/>
              <w:rFonts w:ascii="宋体" w:hAnsi="宋体"/>
              <w:b/>
            </w:rPr>
            <w:t>6</w:t>
          </w:r>
          <w:r>
            <w:rPr>
              <w:rStyle w:val="15"/>
              <w:rFonts w:hint="eastAsia" w:ascii="宋体" w:hAnsi="宋体"/>
              <w:b/>
            </w:rPr>
            <w:t>、备查文件目录</w:t>
          </w:r>
          <w:r>
            <w:tab/>
          </w:r>
          <w:r>
            <w:fldChar w:fldCharType="begin"/>
          </w:r>
          <w:r>
            <w:instrText xml:space="preserve"> PAGEREF _Toc491963090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"_Toc491963091" </w:instrText>
          </w:r>
          <w:r>
            <w:fldChar w:fldCharType="separate"/>
          </w:r>
          <w:r>
            <w:rPr>
              <w:rStyle w:val="15"/>
              <w:rFonts w:ascii="宋体" w:hAnsi="宋体"/>
              <w:kern w:val="0"/>
            </w:rPr>
            <w:t xml:space="preserve">6.1 </w:t>
          </w:r>
          <w:r>
            <w:rPr>
              <w:rStyle w:val="15"/>
              <w:rFonts w:hint="eastAsia" w:ascii="宋体" w:hAnsi="宋体"/>
              <w:kern w:val="0"/>
            </w:rPr>
            <w:t>备查文件目录</w:t>
          </w:r>
          <w:r>
            <w:tab/>
          </w:r>
          <w:r>
            <w:fldChar w:fldCharType="begin"/>
          </w:r>
          <w:r>
            <w:instrText xml:space="preserve"> PAGEREF _Toc491963091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"_Toc491963092" </w:instrText>
          </w:r>
          <w:r>
            <w:fldChar w:fldCharType="separate"/>
          </w:r>
          <w:r>
            <w:rPr>
              <w:rStyle w:val="15"/>
              <w:rFonts w:ascii="宋体" w:hAnsi="宋体"/>
              <w:kern w:val="0"/>
            </w:rPr>
            <w:t xml:space="preserve">6.2 </w:t>
          </w:r>
          <w:r>
            <w:rPr>
              <w:rStyle w:val="15"/>
              <w:rFonts w:hint="eastAsia" w:ascii="宋体" w:hAnsi="宋体"/>
              <w:kern w:val="0"/>
            </w:rPr>
            <w:t>存放地点</w:t>
          </w:r>
          <w:r>
            <w:tab/>
          </w:r>
          <w:r>
            <w:fldChar w:fldCharType="begin"/>
          </w:r>
          <w:r>
            <w:instrText xml:space="preserve"> PAGEREF _Toc491963092 \h </w:instrText>
          </w:r>
          <w:r>
            <w:fldChar w:fldCharType="separate"/>
          </w:r>
          <w:r>
            <w:t>11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"_Toc491963093" </w:instrText>
          </w:r>
          <w:r>
            <w:fldChar w:fldCharType="separate"/>
          </w:r>
          <w:r>
            <w:rPr>
              <w:rStyle w:val="15"/>
              <w:rFonts w:ascii="宋体" w:hAnsi="宋体"/>
              <w:kern w:val="0"/>
            </w:rPr>
            <w:t xml:space="preserve">6.3 </w:t>
          </w:r>
          <w:r>
            <w:rPr>
              <w:rStyle w:val="15"/>
              <w:rFonts w:hint="eastAsia" w:ascii="宋体" w:hAnsi="宋体"/>
              <w:kern w:val="0"/>
            </w:rPr>
            <w:t>查阅方式</w:t>
          </w:r>
          <w:r>
            <w:tab/>
          </w:r>
          <w:r>
            <w:fldChar w:fldCharType="begin"/>
          </w:r>
          <w:r>
            <w:instrText xml:space="preserve"> PAGEREF _Toc491963093 \h </w:instrText>
          </w:r>
          <w:r>
            <w:fldChar w:fldCharType="separate"/>
          </w:r>
          <w:r>
            <w:t>11</w:t>
          </w:r>
          <w:r>
            <w:fldChar w:fldCharType="end"/>
          </w:r>
          <w:r>
            <w:fldChar w:fldCharType="end"/>
          </w:r>
        </w:p>
        <w:p>
          <w:r>
            <w:rPr>
              <w:b/>
              <w:bCs/>
              <w:lang w:val="zh-CN"/>
            </w:rPr>
            <w:fldChar w:fldCharType="end"/>
          </w:r>
        </w:p>
      </w:sdtContent>
    </w:sdt>
    <w:p>
      <w:pPr>
        <w:widowControl/>
        <w:jc w:val="left"/>
        <w:rPr>
          <w:rStyle w:val="20"/>
          <w:rFonts w:ascii="宋体" w:hAnsi="宋体"/>
        </w:rPr>
      </w:pPr>
      <w:bookmarkStart w:id="4" w:name="_Toc491963077"/>
      <w:r>
        <w:rPr>
          <w:rStyle w:val="20"/>
          <w:rFonts w:ascii="宋体" w:hAnsi="宋体"/>
        </w:rPr>
        <w:br w:type="page"/>
      </w:r>
    </w:p>
    <w:p>
      <w:pPr>
        <w:widowControl/>
        <w:jc w:val="center"/>
        <w:rPr>
          <w:rStyle w:val="20"/>
          <w:rFonts w:ascii="宋体" w:hAnsi="宋体"/>
        </w:rPr>
        <w:sectPr>
          <w:headerReference r:id="rId5" w:type="default"/>
          <w:pgSz w:w="11906" w:h="16838"/>
          <w:pgMar w:top="1440" w:right="1800" w:bottom="1440" w:left="1800" w:header="851" w:footer="992" w:gutter="0"/>
          <w:pgNumType w:start="1"/>
          <w:cols w:space="425" w:num="1"/>
          <w:docGrid w:type="lines" w:linePitch="312" w:charSpace="0"/>
        </w:sectPr>
      </w:pPr>
    </w:p>
    <w:p>
      <w:pPr>
        <w:widowControl/>
        <w:jc w:val="center"/>
        <w:rPr>
          <w:rStyle w:val="20"/>
          <w:rFonts w:ascii="宋体" w:hAnsi="宋体"/>
        </w:rPr>
      </w:pPr>
      <w:r>
        <w:rPr>
          <w:rStyle w:val="20"/>
          <w:rFonts w:hint="eastAsia" w:ascii="宋体" w:hAnsi="宋体"/>
        </w:rPr>
        <w:t>1、重要提示</w:t>
      </w:r>
      <w:bookmarkEnd w:id="3"/>
      <w:bookmarkEnd w:id="4"/>
    </w:p>
    <w:p>
      <w:pPr>
        <w:pStyle w:val="3"/>
        <w:spacing w:before="0" w:after="0"/>
        <w:rPr>
          <w:rFonts w:ascii="宋体" w:hAnsi="宋体" w:eastAsia="宋体"/>
          <w:kern w:val="0"/>
          <w:sz w:val="21"/>
          <w:szCs w:val="21"/>
        </w:rPr>
      </w:pPr>
      <w:bookmarkStart w:id="5" w:name="_Toc491963078"/>
      <w:bookmarkStart w:id="6" w:name="_Toc484607300"/>
      <w:bookmarkStart w:id="7" w:name="_Toc484769795"/>
      <w:bookmarkStart w:id="8" w:name="_Toc483396827"/>
      <w:r>
        <w:rPr>
          <w:rFonts w:hint="eastAsia" w:ascii="宋体" w:hAnsi="宋体" w:eastAsia="宋体"/>
          <w:kern w:val="0"/>
          <w:sz w:val="21"/>
          <w:szCs w:val="21"/>
        </w:rPr>
        <w:t>1</w:t>
      </w:r>
      <w:r>
        <w:rPr>
          <w:rFonts w:ascii="宋体" w:hAnsi="宋体" w:eastAsia="宋体"/>
          <w:kern w:val="0"/>
          <w:sz w:val="21"/>
          <w:szCs w:val="21"/>
        </w:rPr>
        <w:t>.1</w:t>
      </w:r>
      <w:r>
        <w:rPr>
          <w:rFonts w:hint="eastAsia" w:ascii="宋体" w:hAnsi="宋体" w:eastAsia="宋体"/>
          <w:kern w:val="0"/>
          <w:sz w:val="21"/>
          <w:szCs w:val="21"/>
        </w:rPr>
        <w:t xml:space="preserve"> 重要提示</w:t>
      </w:r>
      <w:bookmarkEnd w:id="5"/>
      <w:bookmarkEnd w:id="6"/>
      <w:bookmarkEnd w:id="7"/>
      <w:bookmarkEnd w:id="8"/>
    </w:p>
    <w:p>
      <w:pPr>
        <w:spacing w:line="360" w:lineRule="auto"/>
        <w:ind w:firstLine="420" w:firstLineChars="200"/>
        <w:rPr>
          <w:rFonts w:eastAsiaTheme="minorEastAsia"/>
        </w:rPr>
      </w:pPr>
      <w:r>
        <w:rPr>
          <w:rFonts w:hint="eastAsia"/>
          <w:szCs w:val="21"/>
        </w:rPr>
        <w:t>博时鑫荣稳健混合型证券投资基金(以下简称“本基金”)经中国证券监督管理委员会(以下简称“中国证监会”)证监许可[2019]2378号《关于准予博时鑫荣稳健混合型证券投资基金注册的批复》</w:t>
      </w:r>
      <w:r>
        <w:rPr>
          <w:rFonts w:hint="eastAsia" w:eastAsiaTheme="minorEastAsia"/>
        </w:rPr>
        <w:t>准予</w:t>
      </w:r>
      <w:r>
        <w:rPr>
          <w:rFonts w:hint="eastAsia"/>
          <w:szCs w:val="21"/>
        </w:rPr>
        <w:t>注册，</w:t>
      </w:r>
      <w:r>
        <w:rPr>
          <w:rFonts w:eastAsiaTheme="minorEastAsia"/>
        </w:rPr>
        <w:t>由博时基金管理有限公司</w:t>
      </w:r>
      <w:r>
        <w:rPr>
          <w:rFonts w:hint="eastAsia" w:eastAsiaTheme="minorEastAsia"/>
        </w:rPr>
        <w:t>（以下简称“基金管理人”）</w:t>
      </w:r>
      <w:r>
        <w:rPr>
          <w:rFonts w:eastAsiaTheme="minorEastAsia"/>
        </w:rPr>
        <w:t>依照《中华人民共和国证券投资基金法》和《</w:t>
      </w:r>
      <w:r>
        <w:rPr>
          <w:rFonts w:hint="eastAsia" w:eastAsiaTheme="minorEastAsia"/>
        </w:rPr>
        <w:t>博时鑫荣稳健混合型证券投资基金</w:t>
      </w:r>
      <w:r>
        <w:rPr>
          <w:rFonts w:eastAsiaTheme="minorEastAsia"/>
        </w:rPr>
        <w:t>基金合同》</w:t>
      </w:r>
      <w:r>
        <w:rPr>
          <w:rFonts w:hint="eastAsia" w:eastAsiaTheme="minorEastAsia"/>
        </w:rPr>
        <w:t>(以下简称“《基金合同》”)</w:t>
      </w:r>
      <w:r>
        <w:rPr>
          <w:rFonts w:eastAsiaTheme="minorEastAsia"/>
        </w:rPr>
        <w:t>负责公开募集，《基金合同》于</w:t>
      </w:r>
      <w:r>
        <w:rPr>
          <w:rFonts w:hint="eastAsia" w:eastAsiaTheme="minorEastAsia"/>
        </w:rPr>
        <w:t>2020年7月3日</w:t>
      </w:r>
      <w:r>
        <w:rPr>
          <w:rFonts w:eastAsiaTheme="minorEastAsia"/>
        </w:rPr>
        <w:t>正式生效</w:t>
      </w:r>
      <w:r>
        <w:rPr>
          <w:rFonts w:hint="eastAsia" w:eastAsiaTheme="minorEastAsia"/>
        </w:rPr>
        <w:t>，基金管理人为博时基金管理有限公司，基金托管人为上海银行股份有限公司。</w:t>
      </w:r>
    </w:p>
    <w:p>
      <w:pPr>
        <w:spacing w:line="360" w:lineRule="auto"/>
        <w:ind w:firstLine="420" w:firstLineChars="200"/>
        <w:rPr>
          <w:rFonts w:hint="eastAsia"/>
        </w:rPr>
      </w:pPr>
      <w:r>
        <w:rPr>
          <w:rFonts w:hint="eastAsia" w:asciiTheme="minorEastAsia" w:hAnsiTheme="minorEastAsia" w:eastAsiaTheme="minorEastAsia"/>
          <w:szCs w:val="21"/>
        </w:rPr>
        <w:t>根据《中华人民共和国证券投资基金法》、《公开募集证券投资基金运作管理办法》和《基金合同》的有关规定，基金管理人经与基金托管人协商一致，以通讯方式召开了本基金的基金份额持有人大会，审议《</w:t>
      </w:r>
      <w:r>
        <w:rPr>
          <w:rStyle w:val="39"/>
          <w:rFonts w:hint="eastAsia" w:ascii="宋体" w:hAnsi="宋体" w:cs="Arial"/>
        </w:rPr>
        <w:t>关于终止博时鑫荣稳健混合型证券投资基金基金合同有关事项的议案</w:t>
      </w:r>
      <w:r>
        <w:rPr>
          <w:rFonts w:hint="eastAsia" w:asciiTheme="minorEastAsia" w:hAnsiTheme="minorEastAsia" w:eastAsiaTheme="minorEastAsia"/>
          <w:szCs w:val="21"/>
        </w:rPr>
        <w:t>》，会议议案于2024年8月21日表决通过，本次基金份额持有人大会决议自该日起生效。根据本基金管理人于</w:t>
      </w:r>
      <w:r>
        <w:rPr>
          <w:rStyle w:val="39"/>
          <w:rFonts w:hint="eastAsia" w:ascii="宋体" w:hAnsi="宋体" w:cs="Arial"/>
        </w:rPr>
        <w:t>2024年8月22日</w:t>
      </w:r>
      <w:r>
        <w:rPr>
          <w:rFonts w:hint="eastAsia" w:asciiTheme="minorEastAsia" w:hAnsiTheme="minorEastAsia" w:eastAsiaTheme="minorEastAsia"/>
          <w:szCs w:val="21"/>
        </w:rPr>
        <w:t>发布的《博时基金管理有限公司关于</w:t>
      </w:r>
      <w:r>
        <w:rPr>
          <w:rStyle w:val="39"/>
          <w:rFonts w:hint="eastAsia" w:ascii="宋体" w:hAnsi="宋体" w:cs="Arial"/>
        </w:rPr>
        <w:t>博时鑫荣稳健混合型证券投资基金</w:t>
      </w:r>
      <w:r>
        <w:rPr>
          <w:rFonts w:hint="eastAsia" w:asciiTheme="minorEastAsia" w:hAnsiTheme="minorEastAsia" w:eastAsiaTheme="minorEastAsia"/>
          <w:szCs w:val="21"/>
        </w:rPr>
        <w:t>基金份额持有人大会表决结果暨决议生效的公告》，本基金从2024年8月23日起进入清算期，不再恢复申购、定期定额投资、转换转入业务，同时不再接受持有人提出的份额赎回、转换转出、转托管等申请。</w:t>
      </w:r>
      <w:r>
        <w:rPr>
          <w:rFonts w:hint="eastAsia"/>
        </w:rPr>
        <w:t xml:space="preserve">  </w:t>
      </w:r>
    </w:p>
    <w:p>
      <w:pPr>
        <w:spacing w:line="360" w:lineRule="auto"/>
        <w:ind w:firstLine="420" w:firstLineChars="200"/>
        <w:rPr>
          <w:rFonts w:ascii="宋体" w:hAnsi="宋体" w:cs="Arial"/>
          <w:color w:val="000000"/>
          <w:szCs w:val="21"/>
        </w:rPr>
      </w:pPr>
      <w:r>
        <w:rPr>
          <w:rFonts w:hint="eastAsia" w:ascii="宋体" w:hAnsi="宋体" w:cs="Arial"/>
          <w:color w:val="000000"/>
          <w:szCs w:val="21"/>
        </w:rPr>
        <w:t>本基金的最后运作日为</w:t>
      </w:r>
      <w:r>
        <w:rPr>
          <w:rFonts w:hint="eastAsia" w:ascii="宋体" w:hAnsi="宋体" w:cs="Arial"/>
          <w:color w:val="000000"/>
          <w:szCs w:val="21"/>
          <w:lang w:eastAsia="zh-CN"/>
        </w:rPr>
        <w:t>2024年8月22日</w:t>
      </w:r>
      <w:r>
        <w:rPr>
          <w:rFonts w:hint="eastAsia" w:ascii="宋体" w:hAnsi="宋体" w:cs="Arial"/>
          <w:color w:val="000000"/>
          <w:szCs w:val="21"/>
        </w:rPr>
        <w:t>，自</w:t>
      </w:r>
      <w:r>
        <w:rPr>
          <w:rFonts w:hint="eastAsia" w:ascii="宋体" w:hAnsi="宋体" w:cs="Arial"/>
          <w:color w:val="000000"/>
          <w:szCs w:val="21"/>
          <w:lang w:eastAsia="zh-CN"/>
        </w:rPr>
        <w:t>2024年8月23日</w:t>
      </w:r>
      <w:r>
        <w:rPr>
          <w:rFonts w:hint="eastAsia" w:ascii="宋体" w:hAnsi="宋体" w:cs="Arial"/>
          <w:color w:val="000000"/>
          <w:szCs w:val="21"/>
        </w:rPr>
        <w:t>起，本基金进入清算程序，由本基金管理人博时基金管理有限公司、基金托管人</w:t>
      </w:r>
      <w:r>
        <w:rPr>
          <w:rFonts w:hint="eastAsia" w:ascii="宋体" w:hAnsi="宋体" w:cs="Arial"/>
          <w:color w:val="000000"/>
          <w:szCs w:val="21"/>
          <w:lang w:eastAsia="zh-CN"/>
        </w:rPr>
        <w:t>上海银行</w:t>
      </w:r>
      <w:r>
        <w:rPr>
          <w:rFonts w:hint="eastAsia" w:ascii="宋体" w:hAnsi="宋体" w:cs="Arial"/>
          <w:color w:val="000000"/>
          <w:szCs w:val="21"/>
        </w:rPr>
        <w:t>股份有限公司、</w:t>
      </w:r>
      <w:r>
        <w:rPr>
          <w:rFonts w:hint="eastAsia" w:ascii="宋体" w:hAnsi="宋体" w:cs="Arial"/>
          <w:color w:val="000000"/>
          <w:szCs w:val="21"/>
          <w:lang w:eastAsia="zh-CN"/>
        </w:rPr>
        <w:t>安永华明</w:t>
      </w:r>
      <w:r>
        <w:rPr>
          <w:rFonts w:hint="eastAsia" w:ascii="宋体" w:hAnsi="宋体" w:cs="Arial"/>
          <w:color w:val="000000"/>
          <w:szCs w:val="21"/>
        </w:rPr>
        <w:t>会计师事务所（特殊普通合伙）和上海源泰律师事务所组成基金财产清算小组履行基金财产清算程序，并由</w:t>
      </w:r>
      <w:r>
        <w:rPr>
          <w:rFonts w:hint="eastAsia" w:ascii="宋体" w:hAnsi="宋体" w:cs="Arial"/>
          <w:color w:val="000000"/>
          <w:szCs w:val="21"/>
          <w:lang w:eastAsia="zh-CN"/>
        </w:rPr>
        <w:t>安永华明</w:t>
      </w:r>
      <w:r>
        <w:rPr>
          <w:rFonts w:hint="eastAsia" w:ascii="宋体" w:hAnsi="宋体" w:cs="Arial"/>
          <w:color w:val="000000"/>
          <w:szCs w:val="21"/>
        </w:rPr>
        <w:t>会计师事务所（特殊普通合伙）对本基金进行清算审计，上海源泰律师事务所对清算报告出具法律意见。</w:t>
      </w:r>
    </w:p>
    <w:p>
      <w:pPr>
        <w:pStyle w:val="2"/>
        <w:keepNext/>
        <w:keepLines/>
        <w:widowControl w:val="0"/>
        <w:spacing w:before="312" w:beforeLines="100" w:after="312" w:afterLines="100" w:line="360" w:lineRule="auto"/>
        <w:jc w:val="center"/>
        <w:rPr>
          <w:rStyle w:val="20"/>
          <w:rFonts w:ascii="宋体" w:hAnsi="宋体"/>
        </w:rPr>
      </w:pPr>
      <w:bookmarkStart w:id="9" w:name="_Toc484769796"/>
      <w:bookmarkStart w:id="10" w:name="_Toc491963079"/>
      <w:r>
        <w:rPr>
          <w:rStyle w:val="20"/>
          <w:rFonts w:ascii="宋体" w:hAnsi="宋体"/>
        </w:rPr>
        <w:t>2</w:t>
      </w:r>
      <w:r>
        <w:rPr>
          <w:rStyle w:val="20"/>
          <w:rFonts w:hint="eastAsia" w:ascii="宋体" w:hAnsi="宋体"/>
        </w:rPr>
        <w:t>、</w:t>
      </w:r>
      <w:r>
        <w:rPr>
          <w:rStyle w:val="20"/>
          <w:rFonts w:ascii="宋体" w:hAnsi="宋体"/>
        </w:rPr>
        <w:t>基金</w:t>
      </w:r>
      <w:r>
        <w:rPr>
          <w:rStyle w:val="20"/>
          <w:rFonts w:hint="eastAsia" w:ascii="宋体" w:hAnsi="宋体"/>
        </w:rPr>
        <w:t>概况</w:t>
      </w:r>
      <w:bookmarkEnd w:id="9"/>
      <w:bookmarkEnd w:id="10"/>
    </w:p>
    <w:p>
      <w:pPr>
        <w:pStyle w:val="3"/>
        <w:spacing w:before="0" w:after="0"/>
        <w:rPr>
          <w:rFonts w:ascii="宋体" w:hAnsi="宋体" w:eastAsia="宋体"/>
          <w:kern w:val="0"/>
          <w:sz w:val="21"/>
          <w:szCs w:val="21"/>
        </w:rPr>
      </w:pPr>
      <w:bookmarkStart w:id="11" w:name="_Toc483396829"/>
      <w:bookmarkStart w:id="12" w:name="_Toc484769797"/>
      <w:bookmarkStart w:id="13" w:name="_Toc409100044"/>
      <w:bookmarkStart w:id="14" w:name="_Toc409100407"/>
      <w:bookmarkStart w:id="15" w:name="_Toc491963080"/>
      <w:bookmarkStart w:id="16" w:name="_Toc361324845"/>
      <w:bookmarkStart w:id="17" w:name="_Toc476577246"/>
      <w:bookmarkStart w:id="18" w:name="_Toc484607302"/>
      <w:r>
        <w:rPr>
          <w:rFonts w:ascii="宋体" w:hAnsi="宋体" w:eastAsia="宋体"/>
          <w:kern w:val="0"/>
          <w:sz w:val="21"/>
          <w:szCs w:val="21"/>
        </w:rPr>
        <w:t>2.1</w:t>
      </w:r>
      <w:r>
        <w:rPr>
          <w:rFonts w:hint="eastAsia" w:ascii="宋体" w:hAnsi="宋体" w:eastAsia="宋体"/>
          <w:kern w:val="0"/>
          <w:sz w:val="21"/>
          <w:szCs w:val="21"/>
        </w:rPr>
        <w:t xml:space="preserve"> </w:t>
      </w:r>
      <w:r>
        <w:rPr>
          <w:rFonts w:ascii="宋体" w:hAnsi="宋体" w:eastAsia="宋体"/>
          <w:kern w:val="0"/>
          <w:sz w:val="21"/>
          <w:szCs w:val="21"/>
        </w:rPr>
        <w:t>基金基本情况</w:t>
      </w:r>
      <w:bookmarkEnd w:id="11"/>
      <w:bookmarkEnd w:id="12"/>
      <w:bookmarkEnd w:id="13"/>
      <w:bookmarkEnd w:id="14"/>
      <w:bookmarkEnd w:id="15"/>
      <w:bookmarkEnd w:id="16"/>
      <w:bookmarkEnd w:id="17"/>
      <w:bookmarkEnd w:id="18"/>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38"/>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基金简称</w:t>
            </w:r>
          </w:p>
        </w:tc>
        <w:tc>
          <w:tcPr>
            <w:tcW w:w="5918" w:type="dxa"/>
            <w:gridSpan w:val="2"/>
            <w:vAlign w:val="center"/>
          </w:tcPr>
          <w:p>
            <w:pPr>
              <w:adjustRightInd w:val="0"/>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博时鑫荣稳健混合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基金全称</w:t>
            </w:r>
          </w:p>
        </w:tc>
        <w:tc>
          <w:tcPr>
            <w:tcW w:w="5918" w:type="dxa"/>
            <w:gridSpan w:val="2"/>
            <w:vAlign w:val="center"/>
          </w:tcPr>
          <w:p>
            <w:pPr>
              <w:adjustRightInd w:val="0"/>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博时鑫荣稳健混合型证券投资基金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基金主代码</w:t>
            </w:r>
          </w:p>
        </w:tc>
        <w:tc>
          <w:tcPr>
            <w:tcW w:w="5918" w:type="dxa"/>
            <w:gridSpan w:val="2"/>
            <w:tcBorders>
              <w:bottom w:val="single" w:color="auto" w:sz="4" w:space="0"/>
            </w:tcBorders>
            <w:vAlign w:val="center"/>
          </w:tcPr>
          <w:p>
            <w:pPr>
              <w:adjustRightInd w:val="0"/>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009545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基金运作方式</w:t>
            </w:r>
          </w:p>
        </w:tc>
        <w:tc>
          <w:tcPr>
            <w:tcW w:w="5918" w:type="dxa"/>
            <w:gridSpan w:val="2"/>
            <w:tcBorders>
              <w:top w:val="single" w:color="auto" w:sz="4" w:space="0"/>
            </w:tcBorders>
            <w:vAlign w:val="center"/>
          </w:tcPr>
          <w:p>
            <w:pPr>
              <w:adjustRightInd w:val="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契约型</w:t>
            </w:r>
            <w:r>
              <w:rPr>
                <w:color w:val="000000" w:themeColor="text1"/>
                <w:kern w:val="0"/>
                <w:szCs w:val="21"/>
                <w14:textFill>
                  <w14:solidFill>
                    <w14:schemeClr w14:val="tx1"/>
                  </w14:solidFill>
                </w14:textFill>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基金合同生效日</w:t>
            </w:r>
          </w:p>
        </w:tc>
        <w:tc>
          <w:tcPr>
            <w:tcW w:w="5918" w:type="dxa"/>
            <w:gridSpan w:val="2"/>
            <w:vAlign w:val="center"/>
          </w:tcPr>
          <w:p>
            <w:pPr>
              <w:adjustRightInd w:val="0"/>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2020年7月3日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szCs w:val="21"/>
              </w:rPr>
            </w:pPr>
            <w:r>
              <w:rPr>
                <w:rFonts w:hint="eastAsia"/>
                <w:kern w:val="0"/>
                <w:szCs w:val="21"/>
                <w:lang w:eastAsia="zh-CN"/>
              </w:rPr>
              <w:t>最后运作日</w:t>
            </w:r>
            <w:r>
              <w:rPr>
                <w:rFonts w:hint="eastAsia"/>
                <w:kern w:val="0"/>
                <w:szCs w:val="21"/>
              </w:rPr>
              <w:t>（</w:t>
            </w:r>
            <w:r>
              <w:rPr>
                <w:rFonts w:hint="eastAsia"/>
                <w:kern w:val="0"/>
                <w:szCs w:val="21"/>
                <w:lang w:eastAsia="zh-CN"/>
              </w:rPr>
              <w:t>2024年8月22日</w:t>
            </w:r>
            <w:r>
              <w:rPr>
                <w:rFonts w:hint="eastAsia"/>
                <w:kern w:val="0"/>
                <w:szCs w:val="21"/>
              </w:rPr>
              <w:t>）</w:t>
            </w:r>
            <w:r>
              <w:rPr>
                <w:kern w:val="0"/>
                <w:szCs w:val="21"/>
              </w:rPr>
              <w:t>基金份额总额</w:t>
            </w:r>
          </w:p>
        </w:tc>
        <w:tc>
          <w:tcPr>
            <w:tcW w:w="5918" w:type="dxa"/>
            <w:gridSpan w:val="2"/>
            <w:vAlign w:val="center"/>
          </w:tcPr>
          <w:p>
            <w:pPr>
              <w:adjustRightInd w:val="0"/>
              <w:rPr>
                <w:szCs w:val="21"/>
              </w:rPr>
            </w:pPr>
            <w:r>
              <w:rPr>
                <w:kern w:val="0"/>
                <w:szCs w:val="21"/>
              </w:rPr>
              <w:t>1</w:t>
            </w:r>
            <w:r>
              <w:rPr>
                <w:rFonts w:hint="eastAsia"/>
                <w:kern w:val="0"/>
                <w:szCs w:val="21"/>
                <w:lang w:val="en-US" w:eastAsia="zh-CN"/>
              </w:rPr>
              <w:t>0</w:t>
            </w:r>
            <w:r>
              <w:rPr>
                <w:kern w:val="0"/>
                <w:szCs w:val="21"/>
              </w:rPr>
              <w:t>,</w:t>
            </w:r>
            <w:r>
              <w:rPr>
                <w:rFonts w:hint="eastAsia"/>
                <w:kern w:val="0"/>
                <w:szCs w:val="21"/>
                <w:lang w:val="en-US" w:eastAsia="zh-CN"/>
              </w:rPr>
              <w:t>942</w:t>
            </w:r>
            <w:r>
              <w:rPr>
                <w:kern w:val="0"/>
                <w:szCs w:val="21"/>
              </w:rPr>
              <w:t>,</w:t>
            </w:r>
            <w:r>
              <w:rPr>
                <w:rFonts w:hint="eastAsia"/>
                <w:kern w:val="0"/>
                <w:szCs w:val="21"/>
                <w:lang w:val="en-US" w:eastAsia="zh-CN"/>
              </w:rPr>
              <w:t>197</w:t>
            </w:r>
            <w:r>
              <w:rPr>
                <w:kern w:val="0"/>
                <w:szCs w:val="21"/>
              </w:rPr>
              <w:t>.</w:t>
            </w:r>
            <w:r>
              <w:rPr>
                <w:rFonts w:hint="eastAsia"/>
                <w:kern w:val="0"/>
                <w:szCs w:val="21"/>
                <w:lang w:val="en-US" w:eastAsia="zh-CN"/>
              </w:rPr>
              <w:t>03</w:t>
            </w:r>
            <w:r>
              <w:rPr>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基金管理人</w:t>
            </w:r>
          </w:p>
        </w:tc>
        <w:tc>
          <w:tcPr>
            <w:tcW w:w="5918" w:type="dxa"/>
            <w:gridSpan w:val="2"/>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博时基金管理有限公司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基金托管人</w:t>
            </w:r>
          </w:p>
        </w:tc>
        <w:tc>
          <w:tcPr>
            <w:tcW w:w="5918" w:type="dxa"/>
            <w:gridSpan w:val="2"/>
            <w:vAlign w:val="center"/>
          </w:tcPr>
          <w:p>
            <w:pPr>
              <w:adjustRightInd w:val="0"/>
              <w:rPr>
                <w:color w:val="000000" w:themeColor="text1"/>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上海银行</w:t>
            </w:r>
            <w:r>
              <w:rPr>
                <w:rFonts w:hint="eastAsia"/>
                <w:color w:val="000000" w:themeColor="text1"/>
                <w:kern w:val="0"/>
                <w:szCs w:val="21"/>
                <w14:textFill>
                  <w14:solidFill>
                    <w14:schemeClr w14:val="tx1"/>
                  </w14:solidFill>
                </w14:textFill>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下属分级基金的基金简称</w:t>
            </w:r>
          </w:p>
        </w:tc>
        <w:tc>
          <w:tcPr>
            <w:tcW w:w="2838" w:type="dxa"/>
            <w:vAlign w:val="center"/>
          </w:tcPr>
          <w:p>
            <w:pP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博时鑫荣稳健混合</w:t>
            </w:r>
            <w:r>
              <w:rPr>
                <w:color w:val="000000" w:themeColor="text1"/>
                <w:szCs w:val="21"/>
                <w14:textFill>
                  <w14:solidFill>
                    <w14:schemeClr w14:val="tx1"/>
                  </w14:solidFill>
                </w14:textFill>
              </w:rPr>
              <w:t>A</w:t>
            </w:r>
          </w:p>
        </w:tc>
        <w:tc>
          <w:tcPr>
            <w:tcW w:w="3080" w:type="dxa"/>
            <w:vAlign w:val="center"/>
          </w:tcPr>
          <w:p>
            <w:pP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博时鑫荣稳健混合</w:t>
            </w:r>
            <w:r>
              <w:rPr>
                <w:color w:val="000000" w:themeColor="text1"/>
                <w:szCs w:val="21"/>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r>
              <w:t>下属分级基金的交易代码</w:t>
            </w:r>
          </w:p>
        </w:tc>
        <w:tc>
          <w:tcPr>
            <w:tcW w:w="2838" w:type="dxa"/>
            <w:vAlign w:val="center"/>
          </w:tcPr>
          <w:p>
            <w:pPr>
              <w:rPr>
                <w:rFonts w:hint="eastAsia" w:eastAsia="宋体"/>
                <w:lang w:eastAsia="zh-CN"/>
              </w:rPr>
            </w:pPr>
            <w:r>
              <w:rPr>
                <w:rFonts w:hint="eastAsia"/>
                <w:lang w:eastAsia="zh-CN"/>
              </w:rPr>
              <w:t>009545</w:t>
            </w:r>
          </w:p>
        </w:tc>
        <w:tc>
          <w:tcPr>
            <w:tcW w:w="3080" w:type="dxa"/>
            <w:vAlign w:val="center"/>
          </w:tcPr>
          <w:p>
            <w:pPr>
              <w:rPr>
                <w:rFonts w:hint="eastAsia" w:eastAsia="宋体"/>
                <w:lang w:eastAsia="zh-CN"/>
              </w:rPr>
            </w:pPr>
            <w:r>
              <w:rPr>
                <w:rFonts w:hint="eastAsia"/>
                <w:lang w:eastAsia="zh-CN"/>
              </w:rPr>
              <w:t>009546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最后运作日</w:t>
            </w:r>
            <w:r>
              <w:rPr>
                <w:color w:val="000000" w:themeColor="text1"/>
                <w:szCs w:val="21"/>
                <w14:textFill>
                  <w14:solidFill>
                    <w14:schemeClr w14:val="tx1"/>
                  </w14:solidFill>
                </w14:textFill>
              </w:rPr>
              <w:t>下属分级基金的份额总额</w:t>
            </w:r>
          </w:p>
        </w:tc>
        <w:tc>
          <w:tcPr>
            <w:tcW w:w="2838" w:type="dxa"/>
            <w:vAlign w:val="center"/>
          </w:tcPr>
          <w:p>
            <w:pPr>
              <w:rPr>
                <w:color w:val="000000" w:themeColor="text1"/>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9</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211</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277</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60</w:t>
            </w:r>
            <w:r>
              <w:rPr>
                <w:color w:val="000000" w:themeColor="text1"/>
                <w:kern w:val="0"/>
                <w:szCs w:val="21"/>
                <w14:textFill>
                  <w14:solidFill>
                    <w14:schemeClr w14:val="tx1"/>
                  </w14:solidFill>
                </w14:textFill>
              </w:rPr>
              <w:t>份</w:t>
            </w:r>
          </w:p>
        </w:tc>
        <w:tc>
          <w:tcPr>
            <w:tcW w:w="3080" w:type="dxa"/>
            <w:vAlign w:val="center"/>
          </w:tcPr>
          <w:p>
            <w:pPr>
              <w:rPr>
                <w:color w:val="000000" w:themeColor="text1"/>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730</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919</w:t>
            </w:r>
            <w:r>
              <w:rPr>
                <w:color w:val="000000" w:themeColor="text1"/>
                <w:kern w:val="0"/>
                <w:szCs w:val="21"/>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43</w:t>
            </w:r>
            <w:r>
              <w:rPr>
                <w:color w:val="000000" w:themeColor="text1"/>
                <w:kern w:val="0"/>
                <w:szCs w:val="21"/>
                <w14:textFill>
                  <w14:solidFill>
                    <w14:schemeClr w14:val="tx1"/>
                  </w14:solidFill>
                </w14:textFill>
              </w:rPr>
              <w:t>份</w:t>
            </w:r>
          </w:p>
        </w:tc>
      </w:tr>
    </w:tbl>
    <w:p>
      <w:pPr>
        <w:pStyle w:val="22"/>
        <w:rPr>
          <w:rFonts w:ascii="宋体" w:hAnsi="宋体"/>
          <w:sz w:val="21"/>
          <w:szCs w:val="21"/>
        </w:rPr>
      </w:pPr>
      <w:bookmarkStart w:id="19" w:name="_Toc491184118"/>
      <w:bookmarkStart w:id="20" w:name="_Toc390421230"/>
      <w:bookmarkStart w:id="21" w:name="_Toc482092221"/>
      <w:bookmarkStart w:id="22" w:name="_Toc491963081"/>
      <w:r>
        <w:rPr>
          <w:rFonts w:ascii="宋体" w:hAnsi="宋体"/>
          <w:sz w:val="21"/>
          <w:szCs w:val="21"/>
        </w:rPr>
        <w:t>2.2 基金产品说明</w:t>
      </w:r>
      <w:bookmarkEnd w:id="19"/>
      <w:bookmarkEnd w:id="20"/>
      <w:bookmarkEnd w:id="21"/>
      <w:bookmarkEnd w:id="2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投资目标</w:t>
            </w:r>
          </w:p>
        </w:tc>
        <w:tc>
          <w:tcPr>
            <w:tcW w:w="5986"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本基金通过对多种投资策略的有机结合，在有效控制风险的前提下，力争为基金持有人获取长期持续稳定的投资回报。</w:t>
            </w:r>
            <w:r>
              <w:rPr>
                <w:rFonts w:hint="eastAsia"/>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投资策略</w:t>
            </w:r>
          </w:p>
        </w:tc>
        <w:tc>
          <w:tcPr>
            <w:tcW w:w="5986"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本基金通过自上而下和自下而上相结合、定性分析和定量分析互相补充的方法，在股票、债券和现金等资产类之间</w:t>
            </w:r>
            <w:r>
              <w:rPr>
                <w:rFonts w:hint="eastAsia"/>
                <w:color w:val="000000" w:themeColor="text1"/>
                <w:kern w:val="0"/>
                <w:szCs w:val="21"/>
                <w:lang w:eastAsia="zh-CN"/>
                <w14:textFill>
                  <w14:solidFill>
                    <w14:schemeClr w14:val="tx1"/>
                  </w14:solidFill>
                </w14:textFill>
              </w:rPr>
              <w:t>进</w:t>
            </w:r>
            <w:r>
              <w:rPr>
                <w:rFonts w:hint="eastAsia"/>
                <w:color w:val="000000" w:themeColor="text1"/>
                <w:kern w:val="0"/>
                <w:szCs w:val="21"/>
                <w14:textFill>
                  <w14:solidFill>
                    <w14:schemeClr w14:val="tx1"/>
                  </w14:solidFill>
                </w14:textFill>
              </w:rPr>
              <w:t>行相对稳定的适度配置，强调通过自上而下的宏观分析</w:t>
            </w:r>
            <w:r>
              <w:rPr>
                <w:color w:val="000000" w:themeColor="text1"/>
                <w:kern w:val="0"/>
                <w:szCs w:val="21"/>
                <w14:textFill>
                  <w14:solidFill>
                    <w14:schemeClr w14:val="tx1"/>
                  </w14:solidFill>
                </w14:textFill>
              </w:rPr>
              <w:t>与</w:t>
            </w:r>
            <w:r>
              <w:rPr>
                <w:rFonts w:hint="eastAsia"/>
                <w:color w:val="000000" w:themeColor="text1"/>
                <w:kern w:val="0"/>
                <w:szCs w:val="21"/>
                <w14:textFill>
                  <w14:solidFill>
                    <w14:schemeClr w14:val="tx1"/>
                  </w14:solidFill>
                </w14:textFill>
              </w:rPr>
              <w:t>自下而上的市场趋势分析有机结合</w:t>
            </w:r>
            <w:r>
              <w:rPr>
                <w:rFonts w:hint="eastAsia"/>
                <w:color w:val="000000" w:themeColor="text1"/>
                <w:kern w:val="0"/>
                <w:szCs w:val="21"/>
                <w:lang w:eastAsia="zh-CN"/>
                <w14:textFill>
                  <w14:solidFill>
                    <w14:schemeClr w14:val="tx1"/>
                  </w14:solidFill>
                </w14:textFill>
              </w:rPr>
              <w:t>进</w:t>
            </w:r>
            <w:r>
              <w:rPr>
                <w:rFonts w:hint="eastAsia"/>
                <w:color w:val="000000" w:themeColor="text1"/>
                <w:kern w:val="0"/>
                <w:szCs w:val="21"/>
                <w14:textFill>
                  <w14:solidFill>
                    <w14:schemeClr w14:val="tx1"/>
                  </w14:solidFill>
                </w14:textFill>
              </w:rPr>
              <w:t>行前瞻性的决策。本基金的主要投资策略包括：债券投资策略、股票投资策略、资产支持证券投资策略、衍生产品投资策略、融资业务。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业绩比较基准</w:t>
            </w:r>
          </w:p>
        </w:tc>
        <w:tc>
          <w:tcPr>
            <w:tcW w:w="5986" w:type="dxa"/>
            <w:vAlign w:val="center"/>
          </w:tcPr>
          <w:p>
            <w:pPr>
              <w:adjustRightInd w:val="0"/>
              <w:rPr>
                <w:rFonts w:hint="eastAsia" w:eastAsia="宋体"/>
                <w:color w:val="000000" w:themeColor="text1"/>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沪深300指数收益率×25%＋恒生综合指数收益率×10%＋中债综合财富（总值）指数收益率×65%。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风险收益特征</w:t>
            </w:r>
          </w:p>
        </w:tc>
        <w:tc>
          <w:tcPr>
            <w:tcW w:w="5986" w:type="dxa"/>
            <w:vAlign w:val="center"/>
          </w:tcPr>
          <w:p>
            <w:pPr>
              <w:pStyle w:val="11"/>
              <w:spacing w:before="0" w:beforeAutospacing="0" w:after="0" w:afterAutospacing="0"/>
              <w:rPr>
                <w:color w:val="000000" w:themeColor="text1"/>
                <w:szCs w:val="21"/>
                <w:lang w:eastAsia="zh-CN"/>
                <w14:textFill>
                  <w14:solidFill>
                    <w14:schemeClr w14:val="tx1"/>
                  </w14:solidFill>
                </w14:textFill>
              </w:rPr>
            </w:pPr>
            <w:r>
              <w:rPr>
                <w:rFonts w:hint="eastAsia" w:ascii="Times New Roman" w:hAnsi="Times New Roman" w:eastAsia="宋体" w:cs="Times New Roman"/>
                <w:kern w:val="2"/>
                <w:sz w:val="21"/>
                <w:szCs w:val="21"/>
                <w:lang w:val="en-US" w:eastAsia="zh-CN"/>
              </w:rPr>
              <w:t xml:space="preserve">本基金是混合型证券投资基金，其预期收益和预期风险水平高于债券型基金产品和货币市场基金，低于股票型基金，属于中高预期风险、中高预期收益的基金产品。本基金如果投资港股通标的股票，需承担汇率风险以及境外市场的风险。 </w:t>
            </w:r>
          </w:p>
        </w:tc>
      </w:tr>
    </w:tbl>
    <w:p>
      <w:pPr>
        <w:pStyle w:val="2"/>
        <w:keepNext/>
        <w:keepLines/>
        <w:widowControl w:val="0"/>
        <w:spacing w:before="312" w:beforeLines="100" w:after="312" w:afterLines="100" w:line="360" w:lineRule="auto"/>
        <w:jc w:val="center"/>
        <w:rPr>
          <w:rStyle w:val="20"/>
          <w:rFonts w:ascii="宋体" w:hAnsi="宋体"/>
          <w:b w:val="0"/>
        </w:rPr>
      </w:pPr>
      <w:bookmarkStart w:id="23" w:name="_Toc225498250"/>
      <w:bookmarkStart w:id="24" w:name="_Toc409100049"/>
      <w:bookmarkStart w:id="25" w:name="_Toc361324850"/>
      <w:bookmarkStart w:id="26" w:name="_Toc409100412"/>
      <w:bookmarkStart w:id="27" w:name="_Toc484769799"/>
      <w:bookmarkStart w:id="28" w:name="_Toc491963082"/>
      <w:r>
        <w:rPr>
          <w:rStyle w:val="20"/>
          <w:rFonts w:ascii="宋体" w:hAnsi="宋体"/>
        </w:rPr>
        <w:t>3</w:t>
      </w:r>
      <w:bookmarkEnd w:id="23"/>
      <w:bookmarkEnd w:id="24"/>
      <w:bookmarkEnd w:id="25"/>
      <w:bookmarkEnd w:id="26"/>
      <w:r>
        <w:rPr>
          <w:rStyle w:val="20"/>
          <w:rFonts w:hint="eastAsia" w:ascii="宋体" w:hAnsi="宋体"/>
        </w:rPr>
        <w:t>、基金运作情况说明</w:t>
      </w:r>
      <w:bookmarkEnd w:id="27"/>
      <w:bookmarkEnd w:id="28"/>
    </w:p>
    <w:p>
      <w:pPr>
        <w:pStyle w:val="24"/>
        <w:rPr>
          <w:rFonts w:hint="eastAsia"/>
        </w:rPr>
      </w:pPr>
      <w:bookmarkStart w:id="29" w:name="_Toc484769805"/>
      <w:bookmarkStart w:id="30" w:name="_Toc491963083"/>
      <w:r>
        <w:rPr>
          <w:rFonts w:hint="eastAsia"/>
        </w:rPr>
        <w:t>本基金经中国证监会证监许可[2019]2378号《关于准予博时鑫荣稳健混合型证券投资基金注册的批复》准予注册，由博时基金管理有限公司依照《中华人民共和国证券投资基金法》和《基金合同》负责公开募集，《基金合同》于2020年7月3日正式生效，基金合同生效日的基金份额总额为</w:t>
      </w:r>
      <w:r>
        <w:t>235,199,868.03</w:t>
      </w:r>
      <w:r>
        <w:rPr>
          <w:rFonts w:hint="eastAsia"/>
        </w:rPr>
        <w:t>份基金份额，其中认购资金利息折合</w:t>
      </w:r>
      <w:r>
        <w:t>10,692.70</w:t>
      </w:r>
      <w:r>
        <w:rPr>
          <w:rFonts w:hint="eastAsia"/>
        </w:rPr>
        <w:t>份基金份额。</w:t>
      </w:r>
    </w:p>
    <w:p>
      <w:pPr>
        <w:pStyle w:val="24"/>
        <w:rPr>
          <w:rFonts w:hint="eastAsia"/>
        </w:rPr>
      </w:pPr>
      <w:r>
        <w:rPr>
          <w:rFonts w:hint="eastAsia"/>
        </w:rPr>
        <w:t>自2020年7月3日至2024年8月22日期间，本基金按《基金合同》正常运作。</w:t>
      </w:r>
    </w:p>
    <w:p>
      <w:pPr>
        <w:spacing w:line="360" w:lineRule="auto"/>
        <w:ind w:firstLine="420" w:firstLineChars="200"/>
        <w:rPr>
          <w:rFonts w:eastAsiaTheme="minorEastAsia"/>
        </w:rPr>
      </w:pPr>
      <w:r>
        <w:rPr>
          <w:rFonts w:hint="eastAsia" w:asciiTheme="minorEastAsia" w:hAnsiTheme="minorEastAsia" w:eastAsiaTheme="minorEastAsia"/>
          <w:szCs w:val="21"/>
        </w:rPr>
        <w:t>根据《中华人民共和国证券投资基金法》、《公开募集证券投资基金运作管理办法》和《基金合同》的有关规定，基金管理人经与基金托管人协商一致，以通讯方式召开了本基金的基金份额持有人大会，审议《</w:t>
      </w:r>
      <w:r>
        <w:rPr>
          <w:rStyle w:val="39"/>
          <w:rFonts w:hint="eastAsia" w:ascii="宋体" w:hAnsi="宋体" w:cs="Arial"/>
        </w:rPr>
        <w:t>关于终止博时鑫荣稳健混合型证券投资基金基金合同有关事项的议案</w:t>
      </w:r>
      <w:r>
        <w:rPr>
          <w:rFonts w:hint="eastAsia" w:asciiTheme="minorEastAsia" w:hAnsiTheme="minorEastAsia" w:eastAsiaTheme="minorEastAsia"/>
          <w:szCs w:val="21"/>
        </w:rPr>
        <w:t>》，会议议案于2024年8月21日表决通过，本次基金份额持有人大会决议自该日起生效。根据本基金管理人于</w:t>
      </w:r>
      <w:r>
        <w:rPr>
          <w:rStyle w:val="39"/>
          <w:rFonts w:hint="eastAsia" w:ascii="宋体" w:hAnsi="宋体" w:cs="Arial"/>
        </w:rPr>
        <w:t>2024年8月22日</w:t>
      </w:r>
      <w:r>
        <w:rPr>
          <w:rFonts w:hint="eastAsia" w:asciiTheme="minorEastAsia" w:hAnsiTheme="minorEastAsia" w:eastAsiaTheme="minorEastAsia"/>
          <w:szCs w:val="21"/>
        </w:rPr>
        <w:t>发布的《博时基金管理有限公司关于</w:t>
      </w:r>
      <w:r>
        <w:rPr>
          <w:rStyle w:val="39"/>
          <w:rFonts w:hint="eastAsia" w:ascii="宋体" w:hAnsi="宋体" w:cs="Arial"/>
        </w:rPr>
        <w:t>博时鑫荣稳健混合型证券投资基金</w:t>
      </w:r>
      <w:r>
        <w:rPr>
          <w:rFonts w:hint="eastAsia" w:asciiTheme="minorEastAsia" w:hAnsiTheme="minorEastAsia" w:eastAsiaTheme="minorEastAsia"/>
          <w:szCs w:val="21"/>
        </w:rPr>
        <w:t>基金份额持有人大会表决结果暨决议生效的公告》，本基金从2024年8月23日起进入清算期，不再恢复申购、定期定额投资、转换转入业务，同时不再接受持有人提出的份额赎回、转换转出、转托管等申请。</w:t>
      </w:r>
      <w:r>
        <w:rPr>
          <w:rFonts w:hint="eastAsia" w:eastAsiaTheme="minorEastAsia"/>
        </w:rPr>
        <w:t>本基金最后运作日为2024年8月22日，自2024年8月23日起进入清算程序。</w:t>
      </w:r>
    </w:p>
    <w:p>
      <w:pPr>
        <w:pStyle w:val="2"/>
        <w:keepNext/>
        <w:keepLines/>
        <w:widowControl w:val="0"/>
        <w:spacing w:before="312" w:beforeLines="100" w:after="312" w:afterLines="100" w:line="360" w:lineRule="auto"/>
        <w:jc w:val="center"/>
        <w:rPr>
          <w:rStyle w:val="20"/>
          <w:rFonts w:ascii="宋体" w:hAnsi="宋体"/>
        </w:rPr>
      </w:pPr>
      <w:r>
        <w:rPr>
          <w:rStyle w:val="20"/>
          <w:rFonts w:hint="eastAsia" w:ascii="宋体" w:hAnsi="宋体"/>
        </w:rPr>
        <w:t>4、财务报告</w:t>
      </w:r>
      <w:bookmarkEnd w:id="29"/>
      <w:bookmarkEnd w:id="30"/>
    </w:p>
    <w:p>
      <w:pPr>
        <w:pStyle w:val="3"/>
        <w:spacing w:before="0" w:after="0"/>
        <w:rPr>
          <w:rFonts w:ascii="宋体" w:hAnsi="宋体" w:eastAsia="宋体"/>
          <w:kern w:val="0"/>
          <w:sz w:val="21"/>
          <w:szCs w:val="21"/>
        </w:rPr>
      </w:pPr>
      <w:bookmarkStart w:id="31" w:name="_Toc225498268"/>
      <w:bookmarkStart w:id="32" w:name="_Toc409100074"/>
      <w:bookmarkStart w:id="33" w:name="_Toc409100437"/>
      <w:bookmarkStart w:id="34" w:name="_Toc491963084"/>
      <w:bookmarkStart w:id="35" w:name="_Toc361324873"/>
      <w:bookmarkStart w:id="36" w:name="_Toc484769806"/>
      <w:bookmarkStart w:id="37" w:name="_Toc483396838"/>
      <w:bookmarkStart w:id="38" w:name="_Toc476577275"/>
      <w:bookmarkStart w:id="39" w:name="_Toc484607311"/>
      <w:r>
        <w:rPr>
          <w:rFonts w:hint="eastAsia" w:ascii="宋体" w:hAnsi="宋体" w:eastAsia="宋体"/>
          <w:kern w:val="0"/>
          <w:sz w:val="21"/>
          <w:szCs w:val="21"/>
        </w:rPr>
        <w:t>4</w:t>
      </w:r>
      <w:r>
        <w:rPr>
          <w:rFonts w:ascii="宋体" w:hAnsi="宋体" w:eastAsia="宋体"/>
          <w:kern w:val="0"/>
          <w:sz w:val="21"/>
          <w:szCs w:val="21"/>
        </w:rPr>
        <w:t>.1 资产负债表</w:t>
      </w:r>
      <w:bookmarkEnd w:id="31"/>
      <w:bookmarkEnd w:id="32"/>
      <w:bookmarkEnd w:id="33"/>
      <w:bookmarkEnd w:id="34"/>
      <w:bookmarkEnd w:id="35"/>
      <w:bookmarkEnd w:id="36"/>
      <w:bookmarkEnd w:id="37"/>
      <w:bookmarkEnd w:id="38"/>
      <w:bookmarkEnd w:id="39"/>
      <w:r>
        <w:rPr>
          <w:rFonts w:hint="eastAsia" w:ascii="宋体" w:hAnsi="宋体" w:eastAsia="宋体"/>
          <w:kern w:val="0"/>
          <w:sz w:val="21"/>
          <w:szCs w:val="21"/>
        </w:rPr>
        <w:t>(已经审计)</w:t>
      </w:r>
    </w:p>
    <w:p>
      <w:pPr>
        <w:autoSpaceDE w:val="0"/>
        <w:autoSpaceDN w:val="0"/>
        <w:adjustRightInd w:val="0"/>
        <w:spacing w:before="29" w:line="360" w:lineRule="auto"/>
        <w:ind w:left="15"/>
        <w:jc w:val="right"/>
        <w:rPr>
          <w:rFonts w:ascii="宋体" w:hAnsi="宋体"/>
          <w:color w:val="000000"/>
          <w:kern w:val="0"/>
          <w:szCs w:val="21"/>
        </w:rPr>
      </w:pPr>
      <w:r>
        <w:rPr>
          <w:rFonts w:ascii="宋体" w:hAnsi="宋体"/>
          <w:color w:val="000000"/>
          <w:kern w:val="0"/>
          <w:szCs w:val="21"/>
        </w:rPr>
        <w:t>单位：人民币元</w:t>
      </w:r>
    </w:p>
    <w:tbl>
      <w:tblPr>
        <w:tblStyle w:val="13"/>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center"/>
          </w:tcPr>
          <w:p>
            <w:pPr>
              <w:spacing w:before="100" w:beforeAutospacing="1" w:after="100" w:afterAutospacing="1"/>
              <w:jc w:val="center"/>
              <w:rPr>
                <w:rFonts w:ascii="Arial" w:hAnsi="Arial" w:cs="Arial"/>
                <w:b/>
                <w:bCs/>
                <w:sz w:val="24"/>
              </w:rPr>
            </w:pPr>
            <w:r>
              <w:rPr>
                <w:rFonts w:ascii="Arial" w:hAnsi="Arial" w:cs="Arial"/>
                <w:b/>
                <w:bCs/>
                <w:sz w:val="24"/>
              </w:rPr>
              <w:t>资产</w:t>
            </w:r>
          </w:p>
        </w:tc>
        <w:tc>
          <w:tcPr>
            <w:tcW w:w="5584" w:type="dxa"/>
            <w:shd w:val="clear" w:color="auto" w:fill="auto"/>
            <w:vAlign w:val="center"/>
          </w:tcPr>
          <w:p>
            <w:pPr>
              <w:ind w:left="-114" w:right="-87"/>
              <w:jc w:val="center"/>
              <w:rPr>
                <w:rFonts w:ascii="Arial" w:hAnsi="Arial" w:cs="Arial"/>
                <w:b/>
                <w:bCs/>
                <w:color w:val="000000"/>
                <w:sz w:val="24"/>
              </w:rPr>
            </w:pPr>
            <w:r>
              <w:rPr>
                <w:rFonts w:ascii="Arial" w:hAnsi="Arial" w:cs="Arial"/>
                <w:b/>
                <w:bCs/>
                <w:color w:val="000000"/>
                <w:sz w:val="24"/>
              </w:rPr>
              <w:t>本期末</w:t>
            </w:r>
          </w:p>
          <w:p>
            <w:pPr>
              <w:ind w:left="-114" w:right="-87"/>
              <w:jc w:val="center"/>
              <w:rPr>
                <w:rFonts w:hint="eastAsia" w:ascii="Arial" w:hAnsi="Arial" w:eastAsia="宋体" w:cs="Arial"/>
                <w:b/>
                <w:bCs/>
                <w:color w:val="000000"/>
                <w:sz w:val="24"/>
                <w:lang w:eastAsia="zh-CN"/>
              </w:rPr>
            </w:pPr>
            <w:r>
              <w:rPr>
                <w:rFonts w:hint="eastAsia" w:ascii="Arial" w:hAnsi="Arial" w:cs="Arial"/>
                <w:b/>
                <w:bCs/>
                <w:color w:val="000000"/>
                <w:sz w:val="24"/>
                <w:lang w:eastAsia="zh-CN"/>
              </w:rPr>
              <w:t>2024年8月22日</w:t>
            </w:r>
          </w:p>
          <w:p>
            <w:pPr>
              <w:ind w:left="-114" w:right="-87"/>
              <w:jc w:val="center"/>
              <w:rPr>
                <w:rFonts w:ascii="Arial" w:hAnsi="Arial" w:cs="Arial"/>
                <w:b/>
                <w:bCs/>
                <w:color w:val="000000"/>
                <w:sz w:val="24"/>
              </w:rPr>
            </w:pPr>
            <w:r>
              <w:rPr>
                <w:rFonts w:ascii="Arial" w:hAnsi="Arial" w:cs="Arial"/>
                <w:b/>
                <w:bCs/>
                <w:color w:val="000000"/>
                <w:sz w:val="24"/>
              </w:rPr>
              <w:t>(基金</w:t>
            </w:r>
            <w:r>
              <w:rPr>
                <w:rFonts w:hint="eastAsia" w:ascii="Arial" w:hAnsi="Arial" w:cs="Arial"/>
                <w:b/>
                <w:bCs/>
                <w:color w:val="000000"/>
                <w:sz w:val="24"/>
              </w:rPr>
              <w:t>最后运作</w:t>
            </w:r>
            <w:r>
              <w:rPr>
                <w:rFonts w:ascii="Arial" w:hAnsi="Arial" w:cs="Arial"/>
                <w:b/>
                <w:b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w:t>
            </w:r>
          </w:p>
        </w:tc>
        <w:tc>
          <w:tcPr>
            <w:tcW w:w="5584" w:type="dxa"/>
            <w:shd w:val="clear" w:color="auto" w:fill="auto"/>
            <w:vAlign w:val="bottom"/>
          </w:tcPr>
          <w:p>
            <w:pPr>
              <w:spacing w:before="100" w:beforeAutospacing="1" w:after="100" w:afterAutospacing="1"/>
              <w:ind w:left="-72"/>
              <w:jc w:val="righ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银行存款</w:t>
            </w:r>
          </w:p>
        </w:tc>
        <w:tc>
          <w:tcPr>
            <w:tcW w:w="5584" w:type="dxa"/>
            <w:shd w:val="clear" w:color="auto" w:fill="auto"/>
            <w:vAlign w:val="center"/>
          </w:tcPr>
          <w:p>
            <w:pPr>
              <w:ind w:left="-80"/>
              <w:jc w:val="right"/>
              <w:rPr>
                <w:rFonts w:hint="eastAsia" w:ascii="Arial" w:hAnsi="Arial" w:cs="Arial"/>
                <w:color w:val="000000"/>
                <w:sz w:val="24"/>
                <w:lang w:val="en-US" w:eastAsia="zh-CN"/>
              </w:rPr>
            </w:pPr>
            <w:r>
              <w:rPr>
                <w:rFonts w:hint="eastAsia" w:ascii="Arial" w:hAnsi="Arial" w:cs="Arial"/>
                <w:color w:val="000000"/>
                <w:sz w:val="24"/>
                <w:lang w:val="en-US" w:eastAsia="zh-CN"/>
              </w:rPr>
              <w:t>2,805,703.88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结算备付金</w:t>
            </w:r>
          </w:p>
        </w:tc>
        <w:tc>
          <w:tcPr>
            <w:tcW w:w="5584" w:type="dxa"/>
            <w:shd w:val="clear" w:color="auto" w:fill="auto"/>
            <w:vAlign w:val="center"/>
          </w:tcPr>
          <w:p>
            <w:pPr>
              <w:ind w:left="-80"/>
              <w:jc w:val="right"/>
              <w:rPr>
                <w:rFonts w:hint="eastAsia" w:ascii="Arial" w:hAnsi="Arial" w:cs="Arial"/>
                <w:color w:val="000000"/>
                <w:sz w:val="24"/>
                <w:lang w:val="en-US" w:eastAsia="zh-CN"/>
              </w:rPr>
            </w:pPr>
            <w:r>
              <w:rPr>
                <w:rFonts w:hint="eastAsia" w:ascii="Arial" w:hAnsi="Arial" w:cs="Arial"/>
                <w:color w:val="000000"/>
                <w:sz w:val="24"/>
                <w:lang w:val="en-US" w:eastAsia="zh-CN"/>
              </w:rPr>
              <w:t>214,206.11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存出保证金</w:t>
            </w:r>
          </w:p>
        </w:tc>
        <w:tc>
          <w:tcPr>
            <w:tcW w:w="5584" w:type="dxa"/>
            <w:shd w:val="clear" w:color="auto" w:fill="auto"/>
            <w:vAlign w:val="center"/>
          </w:tcPr>
          <w:p>
            <w:pPr>
              <w:ind w:left="-80"/>
              <w:jc w:val="right"/>
              <w:rPr>
                <w:rFonts w:hint="eastAsia" w:ascii="Arial" w:hAnsi="Arial" w:cs="Arial"/>
                <w:color w:val="000000"/>
                <w:sz w:val="24"/>
                <w:lang w:val="en-US" w:eastAsia="zh-CN"/>
              </w:rPr>
            </w:pPr>
            <w:r>
              <w:rPr>
                <w:rFonts w:hint="eastAsia" w:ascii="Arial" w:hAnsi="Arial" w:cs="Arial"/>
                <w:color w:val="000000"/>
                <w:sz w:val="24"/>
                <w:lang w:val="en-US" w:eastAsia="zh-CN"/>
              </w:rPr>
              <w:t>10,232.53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交易性金融资产</w:t>
            </w:r>
          </w:p>
        </w:tc>
        <w:tc>
          <w:tcPr>
            <w:tcW w:w="5584" w:type="dxa"/>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Arial" w:hAnsi="Arial" w:cs="Arial"/>
                <w:color w:val="000000"/>
                <w:sz w:val="24"/>
                <w:lang w:val="en-US" w:eastAsia="zh-CN"/>
              </w:rPr>
              <w:t>3,318,900.41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hint="eastAsia" w:ascii="Arial" w:hAnsi="Arial" w:eastAsia="宋体" w:cs="Arial"/>
                <w:sz w:val="24"/>
                <w:lang w:eastAsia="zh-CN"/>
              </w:rPr>
            </w:pPr>
            <w:r>
              <w:rPr>
                <w:rFonts w:hint="eastAsia" w:ascii="Arial" w:hAnsi="Arial" w:cs="Arial"/>
                <w:sz w:val="24"/>
                <w:lang w:eastAsia="zh-CN"/>
              </w:rPr>
              <w:t>其中：债券投资</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3,318,900.41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应收清算款</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3,000,154.52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资产总计</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b/>
                <w:bCs/>
                <w:color w:val="000000"/>
                <w:sz w:val="24"/>
                <w:lang w:val="en-US" w:eastAsia="zh-CN"/>
              </w:rPr>
            </w:pPr>
            <w:r>
              <w:rPr>
                <w:rFonts w:hint="eastAsia" w:ascii="Arial" w:hAnsi="Arial" w:cs="Arial"/>
                <w:b/>
                <w:bCs/>
                <w:color w:val="000000"/>
                <w:sz w:val="24"/>
                <w:lang w:val="en-US" w:eastAsia="zh-CN"/>
              </w:rPr>
              <w:t>9,349,197.45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w:t>
            </w:r>
          </w:p>
        </w:tc>
        <w:tc>
          <w:tcPr>
            <w:tcW w:w="5584" w:type="dxa"/>
            <w:shd w:val="clear" w:color="auto" w:fill="auto"/>
            <w:vAlign w:val="bottom"/>
          </w:tcPr>
          <w:p>
            <w:pPr>
              <w:ind w:left="-72"/>
              <w:jc w:val="right"/>
              <w:rPr>
                <w:rFonts w:ascii="Arial" w:hAnsi="Arial"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hint="eastAsia" w:ascii="Arial" w:hAnsi="Arial" w:cs="Arial"/>
                <w:sz w:val="24"/>
              </w:rPr>
              <w:t>应</w:t>
            </w:r>
            <w:r>
              <w:rPr>
                <w:rFonts w:hint="eastAsia" w:ascii="Arial" w:hAnsi="Arial" w:cs="Arial"/>
                <w:sz w:val="24"/>
                <w:lang w:eastAsia="zh-CN"/>
              </w:rPr>
              <w:t>付</w:t>
            </w:r>
            <w:r>
              <w:rPr>
                <w:rFonts w:hint="eastAsia" w:ascii="Arial" w:hAnsi="Arial" w:cs="Arial"/>
                <w:sz w:val="24"/>
              </w:rPr>
              <w:t>清算款</w:t>
            </w:r>
          </w:p>
        </w:tc>
        <w:tc>
          <w:tcPr>
            <w:tcW w:w="5584" w:type="dxa"/>
            <w:shd w:val="clear" w:color="auto" w:fill="auto"/>
            <w:vAlign w:val="bottom"/>
          </w:tcPr>
          <w:p>
            <w:pPr>
              <w:ind w:left="-72"/>
              <w:jc w:val="right"/>
              <w:rPr>
                <w:rFonts w:hint="eastAsia" w:ascii="Arial" w:hAnsi="Arial" w:eastAsia="宋体" w:cs="Arial"/>
                <w:color w:val="000000"/>
                <w:sz w:val="24"/>
                <w:lang w:val="en-US" w:eastAsia="zh-CN"/>
              </w:rPr>
            </w:pPr>
            <w:r>
              <w:rPr>
                <w:rFonts w:hint="eastAsia" w:ascii="Arial" w:hAnsi="Arial" w:cs="Arial"/>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应付赎回款</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886.22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应付管理人报酬</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4,717.22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应付托管费</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471.70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应付销售服务费</w:t>
            </w:r>
          </w:p>
        </w:tc>
        <w:tc>
          <w:tcPr>
            <w:tcW w:w="5584" w:type="dxa"/>
            <w:shd w:val="clear" w:color="auto" w:fill="auto"/>
            <w:vAlign w:val="center"/>
          </w:tcPr>
          <w:p>
            <w:pPr>
              <w:keepNext w:val="0"/>
              <w:keepLines w:val="0"/>
              <w:widowControl/>
              <w:suppressLineNumbers w:val="0"/>
              <w:jc w:val="right"/>
              <w:textAlignment w:val="center"/>
              <w:rPr>
                <w:rFonts w:hint="eastAsia" w:ascii="Arial" w:hAnsi="Arial" w:cs="Arial"/>
                <w:color w:val="000000"/>
                <w:sz w:val="24"/>
                <w:lang w:val="en-US" w:eastAsia="zh-CN"/>
              </w:rPr>
            </w:pPr>
            <w:r>
              <w:rPr>
                <w:rFonts w:hint="eastAsia" w:ascii="Arial" w:hAnsi="Arial" w:cs="Arial"/>
                <w:color w:val="000000"/>
                <w:sz w:val="24"/>
                <w:lang w:val="en-US" w:eastAsia="zh-CN"/>
              </w:rPr>
              <w:t>450.92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其他负债</w:t>
            </w:r>
          </w:p>
        </w:tc>
        <w:tc>
          <w:tcPr>
            <w:tcW w:w="5584" w:type="dxa"/>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kern w:val="2"/>
                <w:sz w:val="20"/>
                <w:szCs w:val="20"/>
                <w:u w:val="none"/>
                <w:lang w:val="en-US" w:eastAsia="zh-CN" w:bidi="ar-SA"/>
              </w:rPr>
            </w:pPr>
            <w:r>
              <w:rPr>
                <w:rFonts w:hint="eastAsia" w:ascii="Arial" w:hAnsi="Arial" w:cs="Arial"/>
                <w:color w:val="000000"/>
                <w:sz w:val="24"/>
                <w:lang w:val="en-US" w:eastAsia="zh-CN"/>
              </w:rPr>
              <w:t>53,695.85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负债合计</w:t>
            </w:r>
          </w:p>
        </w:tc>
        <w:tc>
          <w:tcPr>
            <w:tcW w:w="5584" w:type="dxa"/>
            <w:shd w:val="clear" w:color="auto" w:fill="auto"/>
            <w:vAlign w:val="bottom"/>
          </w:tcPr>
          <w:p>
            <w:pPr>
              <w:keepNext w:val="0"/>
              <w:keepLines w:val="0"/>
              <w:widowControl/>
              <w:suppressLineNumbers w:val="0"/>
              <w:jc w:val="right"/>
              <w:textAlignment w:val="bottom"/>
              <w:rPr>
                <w:rFonts w:ascii="Arial" w:hAnsi="Arial" w:eastAsia="宋体" w:cs="Arial"/>
                <w:i w:val="0"/>
                <w:iCs w:val="0"/>
                <w:color w:val="000000"/>
                <w:kern w:val="2"/>
                <w:sz w:val="20"/>
                <w:szCs w:val="20"/>
                <w:u w:val="none"/>
                <w:lang w:val="en-US" w:eastAsia="zh-CN" w:bidi="ar-SA"/>
              </w:rPr>
            </w:pPr>
            <w:r>
              <w:rPr>
                <w:rFonts w:hint="default" w:ascii="Arial" w:hAnsi="Arial" w:cs="Arial"/>
                <w:b/>
                <w:bCs/>
                <w:color w:val="000000"/>
                <w:sz w:val="24"/>
                <w:lang w:val="en-US" w:eastAsia="zh-CN"/>
              </w:rPr>
              <w:t>60</w:t>
            </w:r>
            <w:r>
              <w:rPr>
                <w:rFonts w:hint="eastAsia" w:ascii="Arial" w:hAnsi="Arial" w:cs="Arial"/>
                <w:b/>
                <w:bCs/>
                <w:color w:val="000000"/>
                <w:sz w:val="24"/>
                <w:lang w:val="en-US" w:eastAsia="zh-CN"/>
              </w:rPr>
              <w:t>,</w:t>
            </w:r>
            <w:r>
              <w:rPr>
                <w:rFonts w:hint="default" w:ascii="Arial" w:hAnsi="Arial" w:cs="Arial"/>
                <w:b/>
                <w:bCs/>
                <w:color w:val="000000"/>
                <w:sz w:val="24"/>
                <w:lang w:val="en-US" w:eastAsia="zh-CN"/>
              </w:rPr>
              <w:t>221.91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所有者权益：</w:t>
            </w:r>
          </w:p>
        </w:tc>
        <w:tc>
          <w:tcPr>
            <w:tcW w:w="5584" w:type="dxa"/>
            <w:shd w:val="clear" w:color="auto" w:fill="auto"/>
            <w:vAlign w:val="bottom"/>
          </w:tcPr>
          <w:p>
            <w:pPr>
              <w:ind w:left="-72"/>
              <w:jc w:val="right"/>
              <w:rPr>
                <w:rFonts w:ascii="Arial" w:hAnsi="Arial"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实收基金</w:t>
            </w:r>
          </w:p>
        </w:tc>
        <w:tc>
          <w:tcPr>
            <w:tcW w:w="5584" w:type="dxa"/>
            <w:shd w:val="clear" w:color="auto" w:fill="auto"/>
            <w:vAlign w:val="center"/>
          </w:tcPr>
          <w:p>
            <w:pPr>
              <w:keepNext w:val="0"/>
              <w:keepLines w:val="0"/>
              <w:widowControl/>
              <w:suppressLineNumbers w:val="0"/>
              <w:jc w:val="right"/>
              <w:textAlignment w:val="bottom"/>
              <w:rPr>
                <w:rFonts w:hint="eastAsia" w:ascii="Arial" w:hAnsi="Arial" w:cs="Arial"/>
                <w:color w:val="000000"/>
                <w:sz w:val="24"/>
                <w:lang w:val="en-US" w:eastAsia="zh-CN"/>
              </w:rPr>
            </w:pPr>
            <w:r>
              <w:rPr>
                <w:rFonts w:hint="eastAsia" w:ascii="Arial" w:hAnsi="Arial" w:cs="Arial"/>
                <w:color w:val="000000"/>
                <w:sz w:val="24"/>
                <w:lang w:val="en-US" w:eastAsia="zh-CN"/>
              </w:rPr>
              <w:t>10,942,197.03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未分配利润</w:t>
            </w:r>
          </w:p>
        </w:tc>
        <w:tc>
          <w:tcPr>
            <w:tcW w:w="5584" w:type="dxa"/>
            <w:shd w:val="clear" w:color="auto" w:fill="auto"/>
            <w:vAlign w:val="center"/>
          </w:tcPr>
          <w:p>
            <w:pPr>
              <w:keepNext w:val="0"/>
              <w:keepLines w:val="0"/>
              <w:widowControl/>
              <w:suppressLineNumbers w:val="0"/>
              <w:jc w:val="right"/>
              <w:textAlignment w:val="bottom"/>
              <w:rPr>
                <w:rFonts w:hint="eastAsia" w:ascii="Arial" w:hAnsi="Arial" w:cs="Arial"/>
                <w:color w:val="000000"/>
                <w:sz w:val="24"/>
                <w:lang w:val="en-US" w:eastAsia="zh-CN"/>
              </w:rPr>
            </w:pPr>
            <w:r>
              <w:rPr>
                <w:rFonts w:hint="eastAsia" w:ascii="Arial" w:hAnsi="Arial" w:cs="Arial"/>
                <w:color w:val="000000"/>
                <w:sz w:val="24"/>
                <w:lang w:val="en-US" w:eastAsia="zh-CN"/>
              </w:rPr>
              <w:t>-1,653,221.49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所有者权益合计</w:t>
            </w:r>
          </w:p>
        </w:tc>
        <w:tc>
          <w:tcPr>
            <w:tcW w:w="5584" w:type="dxa"/>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Arial" w:hAnsi="Arial" w:cs="Arial"/>
                <w:b/>
                <w:bCs/>
                <w:color w:val="000000"/>
                <w:sz w:val="24"/>
                <w:lang w:val="en-US" w:eastAsia="zh-CN"/>
              </w:rPr>
              <w:t>9,288,975.54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负债和所有者权益总计</w:t>
            </w:r>
          </w:p>
        </w:tc>
        <w:tc>
          <w:tcPr>
            <w:tcW w:w="5584" w:type="dxa"/>
            <w:shd w:val="clear" w:color="auto" w:fill="auto"/>
            <w:vAlign w:val="bottom"/>
          </w:tcPr>
          <w:p>
            <w:pPr>
              <w:ind w:left="-72"/>
              <w:jc w:val="right"/>
              <w:rPr>
                <w:rFonts w:ascii="Arial" w:hAnsi="Arial" w:cs="Arial"/>
                <w:color w:val="000000"/>
                <w:sz w:val="24"/>
              </w:rPr>
            </w:pPr>
            <w:r>
              <w:rPr>
                <w:rFonts w:hint="eastAsia" w:ascii="Arial" w:hAnsi="Arial" w:cs="Arial"/>
                <w:b/>
                <w:bCs/>
                <w:color w:val="000000"/>
                <w:sz w:val="24"/>
                <w:lang w:val="en-US" w:eastAsia="zh-CN"/>
              </w:rPr>
              <w:t>9,349,197.45</w:t>
            </w:r>
          </w:p>
        </w:tc>
      </w:tr>
    </w:tbl>
    <w:p>
      <w:pPr>
        <w:pStyle w:val="24"/>
        <w:rPr>
          <w:highlight w:val="yellow"/>
        </w:rPr>
      </w:pPr>
      <w:r>
        <w:rPr>
          <w:rFonts w:hint="eastAsia"/>
        </w:rPr>
        <w:t>注：报告截止日</w:t>
      </w:r>
      <w:r>
        <w:rPr>
          <w:rFonts w:hint="eastAsia"/>
          <w:lang w:eastAsia="zh-CN"/>
        </w:rPr>
        <w:t>2024年8月22日</w:t>
      </w:r>
      <w:r>
        <w:rPr>
          <w:rFonts w:hint="eastAsia"/>
        </w:rPr>
        <w:t>(基金最后运作日)，基金份额总额10,942,197.03份，其中A类基金份额净值0.</w:t>
      </w:r>
      <w:r>
        <w:rPr>
          <w:rFonts w:hint="eastAsia"/>
          <w:lang w:val="en-US" w:eastAsia="zh-CN"/>
        </w:rPr>
        <w:t>8494</w:t>
      </w:r>
      <w:r>
        <w:rPr>
          <w:rFonts w:hint="eastAsia"/>
        </w:rPr>
        <w:t>元，基金份额9,211,277.60份；C类基金份额净值0.8</w:t>
      </w:r>
      <w:r>
        <w:rPr>
          <w:rFonts w:hint="eastAsia"/>
          <w:lang w:val="en-US" w:eastAsia="zh-CN"/>
        </w:rPr>
        <w:t>462</w:t>
      </w:r>
      <w:r>
        <w:rPr>
          <w:rFonts w:hint="eastAsia"/>
        </w:rPr>
        <w:t>元，基金份额1,730,919.43份。</w:t>
      </w:r>
    </w:p>
    <w:p>
      <w:pPr>
        <w:pStyle w:val="3"/>
        <w:spacing w:before="0" w:after="0"/>
        <w:rPr>
          <w:rFonts w:ascii="宋体" w:hAnsi="宋体" w:eastAsia="宋体"/>
          <w:kern w:val="0"/>
          <w:sz w:val="21"/>
          <w:szCs w:val="21"/>
        </w:rPr>
      </w:pPr>
      <w:bookmarkStart w:id="40" w:name="_Toc491963085"/>
      <w:bookmarkStart w:id="41" w:name="_Toc484769807"/>
      <w:r>
        <w:rPr>
          <w:rFonts w:hint="eastAsia" w:ascii="宋体" w:hAnsi="宋体" w:eastAsia="宋体"/>
          <w:kern w:val="0"/>
          <w:sz w:val="21"/>
          <w:szCs w:val="21"/>
        </w:rPr>
        <w:t>4</w:t>
      </w:r>
      <w:r>
        <w:rPr>
          <w:rFonts w:ascii="宋体" w:hAnsi="宋体" w:eastAsia="宋体"/>
          <w:kern w:val="0"/>
          <w:sz w:val="21"/>
          <w:szCs w:val="21"/>
        </w:rPr>
        <w:t xml:space="preserve">.2 </w:t>
      </w:r>
      <w:r>
        <w:rPr>
          <w:rFonts w:hint="eastAsia" w:ascii="宋体" w:hAnsi="宋体" w:eastAsia="宋体"/>
          <w:kern w:val="0"/>
          <w:sz w:val="21"/>
          <w:szCs w:val="21"/>
        </w:rPr>
        <w:t>清算损益表</w:t>
      </w:r>
      <w:bookmarkEnd w:id="40"/>
      <w:bookmarkEnd w:id="41"/>
    </w:p>
    <w:tbl>
      <w:tblPr>
        <w:tblStyle w:val="13"/>
        <w:tblW w:w="7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5"/>
        <w:gridCol w:w="4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4408"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2024年8月23日</w:t>
            </w:r>
            <w:r>
              <w:rPr>
                <w:rFonts w:ascii="宋体" w:hAnsi="宋体" w:eastAsia="宋体"/>
                <w:b/>
                <w:color w:val="000000" w:themeColor="text1"/>
                <w:sz w:val="21"/>
                <w:szCs w:val="21"/>
                <w:lang w:eastAsia="zh-CN"/>
                <w14:textFill>
                  <w14:solidFill>
                    <w14:schemeClr w14:val="tx1"/>
                  </w14:solidFill>
                </w14:textFill>
              </w:rPr>
              <w:t>至</w:t>
            </w:r>
            <w:r>
              <w:rPr>
                <w:rFonts w:hint="eastAsia" w:ascii="宋体" w:hAnsi="宋体" w:eastAsia="宋体"/>
                <w:b/>
                <w:color w:val="000000" w:themeColor="text1"/>
                <w:sz w:val="21"/>
                <w:szCs w:val="21"/>
                <w:lang w:eastAsia="zh-CN"/>
                <w14:textFill>
                  <w14:solidFill>
                    <w14:schemeClr w14:val="tx1"/>
                  </w14:solidFill>
                </w14:textFill>
              </w:rPr>
              <w:t>2024年9月20日</w:t>
            </w:r>
          </w:p>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（清算期间）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b/>
                <w:color w:val="000000" w:themeColor="text1"/>
                <w:szCs w:val="21"/>
                <w14:textFill>
                  <w14:solidFill>
                    <w14:schemeClr w14:val="tx1"/>
                  </w14:solidFill>
                </w14:textFill>
              </w:rPr>
            </w:pPr>
            <w:r>
              <w:rPr>
                <w:rFonts w:hint="eastAsia"/>
                <w:b/>
                <w:bCs/>
                <w:color w:val="000000"/>
                <w:szCs w:val="21"/>
              </w:rPr>
              <w:t>一、清算收益</w:t>
            </w:r>
          </w:p>
        </w:tc>
        <w:tc>
          <w:tcPr>
            <w:tcW w:w="4408" w:type="dxa"/>
          </w:tcPr>
          <w:p>
            <w:pPr>
              <w:ind w:left="-80"/>
              <w:jc w:val="right"/>
              <w:rPr>
                <w:rFonts w:hint="default" w:ascii="Arial" w:hAnsi="Arial" w:eastAsia="宋体" w:cs="Arial"/>
                <w:b/>
                <w:color w:val="000000"/>
                <w:sz w:val="24"/>
                <w:lang w:val="en-US" w:eastAsia="zh-CN"/>
              </w:rPr>
            </w:pPr>
            <w:r>
              <w:rPr>
                <w:rFonts w:hint="eastAsia" w:ascii="Arial" w:hAnsi="Arial" w:cs="Arial"/>
                <w:b/>
                <w:color w:val="000000"/>
                <w:sz w:val="24"/>
                <w:lang w:val="en-US" w:eastAsia="zh-CN"/>
              </w:rPr>
              <w:t>6</w:t>
            </w:r>
            <w:r>
              <w:rPr>
                <w:rFonts w:hint="eastAsia" w:ascii="Arial" w:hAnsi="Arial" w:cs="Arial"/>
                <w:b/>
                <w:color w:val="000000"/>
                <w:sz w:val="24"/>
              </w:rPr>
              <w:t>,</w:t>
            </w:r>
            <w:r>
              <w:rPr>
                <w:rFonts w:hint="eastAsia" w:ascii="Arial" w:hAnsi="Arial" w:cs="Arial"/>
                <w:b/>
                <w:color w:val="000000"/>
                <w:sz w:val="24"/>
                <w:lang w:val="en-US" w:eastAsia="zh-CN"/>
              </w:rPr>
              <w:t>006</w:t>
            </w:r>
            <w:r>
              <w:rPr>
                <w:rFonts w:hint="eastAsia" w:ascii="Arial" w:hAnsi="Arial" w:cs="Arial"/>
                <w:b/>
                <w:color w:val="000000"/>
                <w:sz w:val="24"/>
              </w:rPr>
              <w:t>.</w:t>
            </w:r>
            <w:r>
              <w:rPr>
                <w:rFonts w:hint="eastAsia" w:ascii="Arial" w:hAnsi="Arial" w:cs="Arial"/>
                <w:b/>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color w:val="000000"/>
                <w:szCs w:val="21"/>
              </w:rPr>
              <w:t>1.</w:t>
            </w:r>
            <w:r>
              <w:rPr>
                <w:color w:val="000000"/>
                <w:sz w:val="14"/>
                <w:szCs w:val="14"/>
              </w:rPr>
              <w:t xml:space="preserve"> </w:t>
            </w:r>
            <w:r>
              <w:rPr>
                <w:rFonts w:hint="eastAsia"/>
                <w:color w:val="000000"/>
                <w:szCs w:val="21"/>
              </w:rPr>
              <w:t>利息收入</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5,289.20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color w:val="000000"/>
                <w:szCs w:val="21"/>
              </w:rPr>
              <w:t>2</w:t>
            </w:r>
            <w:r>
              <w:rPr>
                <w:rFonts w:hint="eastAsia"/>
                <w:color w:val="000000"/>
                <w:szCs w:val="21"/>
              </w:rPr>
              <w:t>.</w:t>
            </w:r>
            <w:r>
              <w:rPr>
                <w:color w:val="000000"/>
                <w:szCs w:val="21"/>
              </w:rPr>
              <w:t xml:space="preserve"> </w:t>
            </w:r>
            <w:r>
              <w:rPr>
                <w:rFonts w:hint="eastAsia"/>
                <w:color w:val="000000"/>
                <w:szCs w:val="21"/>
              </w:rPr>
              <w:t>投资收益</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962.76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3</w:t>
            </w:r>
            <w:r>
              <w:rPr>
                <w:color w:val="000000"/>
                <w:szCs w:val="21"/>
              </w:rPr>
              <w:t xml:space="preserve">. </w:t>
            </w:r>
            <w:r>
              <w:rPr>
                <w:rFonts w:hint="eastAsia"/>
                <w:color w:val="000000"/>
                <w:szCs w:val="21"/>
              </w:rPr>
              <w:t>公允价值变动损益</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-248.00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4</w:t>
            </w:r>
            <w:r>
              <w:rPr>
                <w:color w:val="000000"/>
                <w:szCs w:val="21"/>
              </w:rPr>
              <w:t xml:space="preserve">. </w:t>
            </w:r>
            <w:r>
              <w:rPr>
                <w:rFonts w:hint="eastAsia"/>
                <w:color w:val="000000"/>
                <w:szCs w:val="21"/>
              </w:rPr>
              <w:t>其他收入</w:t>
            </w:r>
          </w:p>
        </w:tc>
        <w:tc>
          <w:tcPr>
            <w:tcW w:w="4408" w:type="dxa"/>
          </w:tcPr>
          <w:p>
            <w:pPr>
              <w:ind w:left="-80"/>
              <w:jc w:val="right"/>
              <w:rPr>
                <w:rFonts w:hint="default" w:ascii="Arial" w:hAnsi="Arial" w:eastAsia="宋体" w:cs="Arial"/>
                <w:color w:val="000000"/>
                <w:sz w:val="24"/>
                <w:lang w:val="en-US" w:eastAsia="zh-CN"/>
              </w:rPr>
            </w:pPr>
            <w:r>
              <w:rPr>
                <w:rFonts w:hint="eastAsia" w:ascii="Arial" w:hAnsi="Arial" w:cs="Arial"/>
                <w:color w:val="000000"/>
                <w:sz w:val="24"/>
                <w:lang w:val="en-US" w:eastAsia="zh-CN"/>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二、清算费用</w:t>
            </w:r>
          </w:p>
        </w:tc>
        <w:tc>
          <w:tcPr>
            <w:tcW w:w="4408" w:type="dxa"/>
          </w:tcPr>
          <w:p>
            <w:pPr>
              <w:ind w:left="-80"/>
              <w:jc w:val="right"/>
              <w:rPr>
                <w:rFonts w:hint="default" w:ascii="Arial" w:hAnsi="Arial" w:eastAsia="宋体" w:cs="Arial"/>
                <w:b/>
                <w:color w:val="000000"/>
                <w:sz w:val="24"/>
                <w:lang w:val="en-US" w:eastAsia="zh-CN"/>
              </w:rPr>
            </w:pPr>
            <w:r>
              <w:rPr>
                <w:rFonts w:hint="eastAsia" w:ascii="Arial" w:hAnsi="Arial" w:cs="Arial"/>
                <w:b/>
                <w:color w:val="000000"/>
                <w:sz w:val="24"/>
                <w:lang w:val="en-US" w:eastAsia="zh-CN"/>
              </w:rPr>
              <w:t>458.33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color w:val="000000"/>
                <w:szCs w:val="21"/>
              </w:rPr>
              <w:t>汇划费</w:t>
            </w:r>
          </w:p>
        </w:tc>
        <w:tc>
          <w:tcPr>
            <w:tcW w:w="4408" w:type="dxa"/>
          </w:tcPr>
          <w:p>
            <w:pPr>
              <w:ind w:left="-80"/>
              <w:jc w:val="right"/>
              <w:rPr>
                <w:rFonts w:ascii="Arial" w:hAnsi="Arial" w:cs="Arial"/>
                <w:color w:val="000000"/>
                <w:sz w:val="24"/>
              </w:rPr>
            </w:pPr>
            <w:r>
              <w:rPr>
                <w:rFonts w:hint="eastAsia" w:ascii="Arial" w:hAnsi="Arial" w:cs="Arial"/>
                <w:b w:val="0"/>
                <w:bCs/>
                <w:color w:val="000000"/>
                <w:sz w:val="24"/>
                <w:lang w:val="en-US" w:eastAsia="zh-CN"/>
              </w:rPr>
              <w:t>458.33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税金及附加</w:t>
            </w:r>
          </w:p>
        </w:tc>
        <w:tc>
          <w:tcPr>
            <w:tcW w:w="4408" w:type="dxa"/>
          </w:tcPr>
          <w:p>
            <w:pPr>
              <w:ind w:left="-80"/>
              <w:jc w:val="right"/>
              <w:rPr>
                <w:rFonts w:hint="eastAsia" w:ascii="Arial" w:hAnsi="Arial" w:eastAsia="宋体" w:cs="Arial"/>
                <w:color w:val="000000"/>
                <w:sz w:val="24"/>
                <w:lang w:val="en-US" w:eastAsia="zh-CN"/>
              </w:rPr>
            </w:pPr>
            <w:r>
              <w:rPr>
                <w:rFonts w:hint="eastAsia" w:ascii="Arial" w:hAnsi="Arial" w:cs="Arial"/>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b/>
                <w:bCs/>
                <w:color w:val="000000"/>
                <w:szCs w:val="21"/>
              </w:rPr>
              <w:t>三、清算收益（损失）总额</w:t>
            </w:r>
          </w:p>
        </w:tc>
        <w:tc>
          <w:tcPr>
            <w:tcW w:w="4408" w:type="dxa"/>
            <w:vAlign w:val="center"/>
          </w:tcPr>
          <w:p>
            <w:pPr>
              <w:ind w:left="-80"/>
              <w:jc w:val="right"/>
              <w:rPr>
                <w:rFonts w:ascii="Arial" w:hAnsi="Arial" w:cs="Arial"/>
                <w:b/>
                <w:color w:val="000000"/>
                <w:sz w:val="24"/>
              </w:rPr>
            </w:pPr>
            <w:r>
              <w:rPr>
                <w:rFonts w:hint="eastAsia" w:ascii="Arial" w:hAnsi="Arial" w:cs="Arial"/>
                <w:b/>
                <w:color w:val="000000"/>
                <w:sz w:val="24"/>
              </w:rPr>
              <w:t>5,547.87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color w:val="000000" w:themeColor="text1"/>
                <w:szCs w:val="21"/>
                <w14:textFill>
                  <w14:solidFill>
                    <w14:schemeClr w14:val="tx1"/>
                  </w14:solidFill>
                </w14:textFill>
              </w:rPr>
            </w:pPr>
            <w:r>
              <w:rPr>
                <w:rFonts w:hint="eastAsia"/>
                <w:color w:val="000000"/>
                <w:szCs w:val="21"/>
              </w:rPr>
              <w:t>减：所得税费用</w:t>
            </w:r>
          </w:p>
        </w:tc>
        <w:tc>
          <w:tcPr>
            <w:tcW w:w="4408" w:type="dxa"/>
            <w:shd w:val="clear" w:color="auto" w:fill="auto"/>
            <w:vAlign w:val="center"/>
          </w:tcPr>
          <w:p>
            <w:pPr>
              <w:ind w:left="-80"/>
              <w:jc w:val="right"/>
              <w:rPr>
                <w:rFonts w:hint="eastAsia" w:ascii="Arial" w:hAnsi="Arial" w:eastAsia="宋体" w:cs="Arial"/>
                <w:b/>
                <w:bCs/>
                <w:color w:val="000000"/>
                <w:sz w:val="24"/>
                <w:lang w:val="en-US" w:eastAsia="zh-CN"/>
              </w:rPr>
            </w:pPr>
            <w:r>
              <w:rPr>
                <w:rFonts w:hint="eastAsia" w:ascii="Arial" w:hAnsi="Arial" w:cs="Arial"/>
                <w:b w:val="0"/>
                <w:bCs w:val="0"/>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四、清算净收益（损失）</w:t>
            </w:r>
          </w:p>
        </w:tc>
        <w:tc>
          <w:tcPr>
            <w:tcW w:w="4408" w:type="dxa"/>
            <w:shd w:val="clear" w:color="auto" w:fill="auto"/>
            <w:vAlign w:val="center"/>
          </w:tcPr>
          <w:p>
            <w:pPr>
              <w:ind w:left="-80"/>
              <w:jc w:val="right"/>
              <w:rPr>
                <w:rFonts w:ascii="Arial" w:hAnsi="Arial" w:cs="Arial"/>
                <w:b/>
                <w:color w:val="000000"/>
                <w:sz w:val="24"/>
              </w:rPr>
            </w:pPr>
            <w:r>
              <w:rPr>
                <w:rFonts w:hint="eastAsia" w:ascii="Arial" w:hAnsi="Arial" w:cs="Arial"/>
                <w:b/>
                <w:color w:val="000000"/>
                <w:sz w:val="24"/>
              </w:rPr>
              <w:t>5,547.87</w:t>
            </w:r>
          </w:p>
        </w:tc>
      </w:tr>
    </w:tbl>
    <w:p>
      <w:pPr>
        <w:pStyle w:val="24"/>
        <w:rPr>
          <w:b/>
        </w:rPr>
      </w:pPr>
      <w:bookmarkStart w:id="42" w:name="_Toc484607313"/>
      <w:bookmarkStart w:id="43" w:name="_Toc483396840"/>
      <w:bookmarkStart w:id="44" w:name="_Toc484769808"/>
      <w:r>
        <w:rPr>
          <w:rFonts w:hint="eastAsia"/>
        </w:rPr>
        <w:t>注：利息收入系以当前适用的利率预估计提的自</w:t>
      </w:r>
      <w:r>
        <w:rPr>
          <w:rFonts w:hint="eastAsia"/>
          <w:lang w:eastAsia="zh-CN"/>
        </w:rPr>
        <w:t>2024年8月23日</w:t>
      </w:r>
      <w:r>
        <w:rPr>
          <w:rFonts w:hint="eastAsia"/>
        </w:rPr>
        <w:t>至</w:t>
      </w:r>
      <w:r>
        <w:rPr>
          <w:rFonts w:hint="eastAsia"/>
          <w:lang w:eastAsia="zh-CN"/>
        </w:rPr>
        <w:t>2024年9月20日</w:t>
      </w:r>
      <w:r>
        <w:rPr>
          <w:rFonts w:hint="eastAsia"/>
        </w:rPr>
        <w:t>止清算期间的活期存款利息、结算备付金利息和存出保证金利息。</w:t>
      </w:r>
    </w:p>
    <w:p>
      <w:pPr>
        <w:pStyle w:val="3"/>
        <w:spacing w:before="0" w:after="0"/>
        <w:rPr>
          <w:rFonts w:ascii="宋体" w:hAnsi="宋体" w:eastAsia="宋体"/>
          <w:kern w:val="0"/>
          <w:sz w:val="21"/>
          <w:szCs w:val="21"/>
        </w:rPr>
      </w:pPr>
      <w:bookmarkStart w:id="45" w:name="_Toc491963086"/>
      <w:r>
        <w:rPr>
          <w:rFonts w:hint="eastAsia" w:ascii="宋体" w:hAnsi="宋体" w:eastAsia="宋体"/>
          <w:kern w:val="0"/>
          <w:sz w:val="21"/>
          <w:szCs w:val="21"/>
        </w:rPr>
        <w:t>4.3</w:t>
      </w:r>
      <w:r>
        <w:rPr>
          <w:rFonts w:ascii="宋体" w:hAnsi="宋体" w:eastAsia="宋体"/>
          <w:kern w:val="0"/>
          <w:sz w:val="21"/>
          <w:szCs w:val="21"/>
        </w:rPr>
        <w:t xml:space="preserve"> </w:t>
      </w:r>
      <w:r>
        <w:rPr>
          <w:rFonts w:hint="eastAsia" w:ascii="宋体" w:hAnsi="宋体" w:eastAsia="宋体"/>
          <w:kern w:val="0"/>
          <w:sz w:val="21"/>
          <w:szCs w:val="21"/>
        </w:rPr>
        <w:t>报表附注</w:t>
      </w:r>
      <w:bookmarkEnd w:id="42"/>
      <w:bookmarkEnd w:id="43"/>
      <w:bookmarkEnd w:id="44"/>
      <w:bookmarkEnd w:id="45"/>
    </w:p>
    <w:p>
      <w:pPr>
        <w:spacing w:line="360" w:lineRule="auto"/>
        <w:rPr>
          <w:rFonts w:ascii="宋体" w:hAnsi="宋体"/>
          <w:b/>
          <w:szCs w:val="21"/>
        </w:rPr>
      </w:pPr>
      <w:r>
        <w:rPr>
          <w:rFonts w:ascii="宋体" w:hAnsi="宋体"/>
          <w:b/>
          <w:szCs w:val="21"/>
        </w:rPr>
        <w:t>4.3.</w:t>
      </w:r>
      <w:r>
        <w:rPr>
          <w:rFonts w:hint="eastAsia" w:ascii="宋体" w:hAnsi="宋体"/>
          <w:b/>
          <w:szCs w:val="21"/>
        </w:rPr>
        <w:t>1基金基本情况</w:t>
      </w:r>
    </w:p>
    <w:p>
      <w:pPr>
        <w:pStyle w:val="24"/>
        <w:rPr>
          <w:rFonts w:hint="eastAsia"/>
        </w:rPr>
      </w:pPr>
      <w:r>
        <w:rPr>
          <w:rFonts w:hint="eastAsia"/>
        </w:rPr>
        <w:t>本基金经中国证监会证监许可[2019]2378号《关于准予博时鑫荣稳健混合型证券投资基金注册的批复》准予</w:t>
      </w:r>
      <w:r>
        <w:t>注册</w:t>
      </w:r>
      <w:r>
        <w:rPr>
          <w:rFonts w:hint="eastAsia"/>
        </w:rPr>
        <w:t>，由博时基金管理有限公司依照《中华人民共和国证券投资基金法》和《基金合同》负责公开募集。本基金为契约型、开放式，存续期限不定，首次设立募集不包括认购资金利息共募集人民币</w:t>
      </w:r>
      <w:r>
        <w:t>235,189,175.33</w:t>
      </w:r>
      <w:r>
        <w:rPr>
          <w:rFonts w:hint="eastAsia"/>
        </w:rPr>
        <w:t>元，业经普华永道中天会计师事务所（特殊普通合伙）</w:t>
      </w:r>
      <w:r>
        <w:rPr>
          <w:rFonts w:hint="eastAsia"/>
          <w:highlight w:val="none"/>
          <w:lang w:eastAsia="zh-CN"/>
        </w:rPr>
        <w:t>普华永道中天验字(2020)第0392号</w:t>
      </w:r>
      <w:r>
        <w:rPr>
          <w:rFonts w:hint="eastAsia"/>
        </w:rPr>
        <w:t>验资报告予以验证。经向中国证监会备案，《基金合同》于2020年7月3日正式生效，基金合同生效日的基金份额总额为</w:t>
      </w:r>
      <w:r>
        <w:t>235,199,868.03</w:t>
      </w:r>
      <w:r>
        <w:rPr>
          <w:rFonts w:hint="eastAsia"/>
        </w:rPr>
        <w:t>份基金份额，其中认购资金利息折合</w:t>
      </w:r>
      <w:r>
        <w:t>10,692.70</w:t>
      </w:r>
      <w:r>
        <w:rPr>
          <w:rFonts w:hint="eastAsia"/>
        </w:rPr>
        <w:t>份基金份额。本基金的基金管理人为博时基金管理有限公司，基金托管人为上海银行股份有限公司。</w:t>
      </w:r>
    </w:p>
    <w:p>
      <w:pPr>
        <w:pStyle w:val="24"/>
      </w:pPr>
      <w:r>
        <w:rPr>
          <w:rFonts w:hint="eastAsia"/>
        </w:rPr>
        <w:t>根据《基金合同》，本基金根据认购/申购费用、销售服务费收取方式的不同，将基金份额分为不同的类别。在投资者认购、申购时收取认购、申购费用，不从本类别基金资产中计提销售服务费的基金份额，称为A类基金份额；从本类别基金资产中计提销售服务费、不收取认购/申购费用的基金份额，称为C类基金份额。本基金A类和C类基金份额分别设置代码。由于基金费用的不同，本基金A类基金份额和C类基金份额将分别计算基金份额净值，计算公式为计算日各类别基金资产净值除以计算日发售在外的该类别基金份额总数。</w:t>
      </w:r>
    </w:p>
    <w:p>
      <w:pPr>
        <w:pStyle w:val="24"/>
        <w:rPr>
          <w:rFonts w:hint="eastAsia"/>
        </w:rPr>
      </w:pPr>
      <w:r>
        <w:rPr>
          <w:rFonts w:hint="eastAsia"/>
        </w:rPr>
        <w:t>根据《中华人民共和国证券投资基金法》和《基金合同》的有关规定，本基金的投资范围包括国内依法发行上市的股票（包括中小板、创业板以及其他经中国证监会核准或注册上市的股票、存托凭证）、港股通机制下允许投资的香港联合交易所上市的股票（以下简称“港股通标的股票”）等证券、债券（国债、金融债、企业债、公司债、地方政府债、可转换债券（含分离交易可转债）、可交换债券、央行票据、中期票据、短期融资券、超短期融资券、次级债、二级资本债等）、资产支持证券、债券回</w:t>
      </w:r>
      <w:r>
        <w:rPr>
          <w:rFonts w:hint="eastAsia"/>
          <w:lang w:eastAsia="zh-CN"/>
        </w:rPr>
        <w:t>购</w:t>
      </w:r>
      <w:r>
        <w:rPr>
          <w:rFonts w:hint="eastAsia"/>
        </w:rPr>
        <w:t>、银行存款、同业存单、货币市场工具、股</w:t>
      </w:r>
      <w:r>
        <w:rPr>
          <w:rFonts w:hint="eastAsia"/>
          <w:lang w:eastAsia="zh-CN"/>
        </w:rPr>
        <w:t>指</w:t>
      </w:r>
      <w:r>
        <w:rPr>
          <w:rFonts w:hint="eastAsia"/>
        </w:rPr>
        <w:t>期货、国债期货、股票期权及法律法</w:t>
      </w:r>
      <w:r>
        <w:rPr>
          <w:rFonts w:hint="eastAsia"/>
          <w:lang w:eastAsia="zh-CN"/>
        </w:rPr>
        <w:t>规</w:t>
      </w:r>
      <w:r>
        <w:rPr>
          <w:rFonts w:hint="eastAsia"/>
        </w:rPr>
        <w:t>或中国证监会允许基金投资的其他金融工具（但须符合中国证监会相关</w:t>
      </w:r>
      <w:r>
        <w:rPr>
          <w:rFonts w:hint="eastAsia"/>
          <w:lang w:eastAsia="zh-CN"/>
        </w:rPr>
        <w:t>规</w:t>
      </w:r>
      <w:r>
        <w:rPr>
          <w:rFonts w:hint="eastAsia"/>
        </w:rPr>
        <w:t>定）。本基金可根据相关法律法</w:t>
      </w:r>
      <w:r>
        <w:rPr>
          <w:rFonts w:hint="eastAsia"/>
          <w:lang w:eastAsia="zh-CN"/>
        </w:rPr>
        <w:t>规</w:t>
      </w:r>
      <w:r>
        <w:rPr>
          <w:rFonts w:hint="eastAsia"/>
        </w:rPr>
        <w:t>和基金合同的约定</w:t>
      </w:r>
      <w:r>
        <w:rPr>
          <w:rFonts w:hint="eastAsia"/>
          <w:lang w:eastAsia="zh-CN"/>
        </w:rPr>
        <w:t>参与</w:t>
      </w:r>
      <w:r>
        <w:rPr>
          <w:rFonts w:hint="eastAsia"/>
        </w:rPr>
        <w:t>融资业务。本基金可</w:t>
      </w:r>
      <w:r>
        <w:rPr>
          <w:rFonts w:hint="eastAsia"/>
          <w:lang w:eastAsia="zh-CN"/>
        </w:rPr>
        <w:t>参与</w:t>
      </w:r>
      <w:r>
        <w:rPr>
          <w:rFonts w:hint="eastAsia"/>
        </w:rPr>
        <w:t>一级市场的新股申</w:t>
      </w:r>
      <w:r>
        <w:rPr>
          <w:rFonts w:hint="eastAsia"/>
          <w:lang w:eastAsia="zh-CN"/>
        </w:rPr>
        <w:t>购</w:t>
      </w:r>
      <w:r>
        <w:rPr>
          <w:rFonts w:hint="eastAsia"/>
        </w:rPr>
        <w:t>及增发。如法律法</w:t>
      </w:r>
      <w:r>
        <w:rPr>
          <w:rFonts w:hint="eastAsia"/>
          <w:lang w:eastAsia="zh-CN"/>
        </w:rPr>
        <w:t>规</w:t>
      </w:r>
      <w:r>
        <w:rPr>
          <w:rFonts w:hint="eastAsia"/>
        </w:rPr>
        <w:t>或监管机构以后允许基金投资其他品种，基金管理人在履行适当程序后，本基金可以将其纳入投资范围。</w:t>
      </w:r>
    </w:p>
    <w:p>
      <w:pPr>
        <w:pStyle w:val="24"/>
      </w:pPr>
      <w:r>
        <w:rPr>
          <w:rFonts w:hint="eastAsia"/>
        </w:rPr>
        <w:t>基金的投资组合比例为：股票（含存托凭证）占基金资产的比例</w:t>
      </w:r>
      <w:r>
        <w:rPr>
          <w:rFonts w:hint="eastAsia"/>
          <w:lang w:eastAsia="zh-CN"/>
        </w:rPr>
        <w:t>不</w:t>
      </w:r>
      <w:r>
        <w:rPr>
          <w:rFonts w:hint="eastAsia"/>
        </w:rPr>
        <w:t>高</w:t>
      </w:r>
      <w:r>
        <w:rPr>
          <w:rFonts w:hint="eastAsia"/>
          <w:lang w:eastAsia="zh-CN"/>
        </w:rPr>
        <w:t>于</w:t>
      </w:r>
      <w:r>
        <w:rPr>
          <w:rFonts w:hint="eastAsia"/>
        </w:rPr>
        <w:t>50%，其中对港股通标的股票的投资比例为股票资产的0%-50%。每个交易日日终在扣除股</w:t>
      </w:r>
      <w:r>
        <w:rPr>
          <w:rFonts w:hint="eastAsia"/>
          <w:lang w:eastAsia="zh-CN"/>
        </w:rPr>
        <w:t>指</w:t>
      </w:r>
      <w:r>
        <w:rPr>
          <w:rFonts w:hint="eastAsia"/>
        </w:rPr>
        <w:t>期货、国债期货、股票期权合约需缴纳的交易保证金以后，现金或者到期日在一年以内的政府债券</w:t>
      </w:r>
      <w:r>
        <w:rPr>
          <w:rFonts w:hint="eastAsia"/>
          <w:lang w:eastAsia="zh-CN"/>
        </w:rPr>
        <w:t>不</w:t>
      </w:r>
      <w:r>
        <w:rPr>
          <w:rFonts w:hint="eastAsia"/>
        </w:rPr>
        <w:t>低</w:t>
      </w:r>
      <w:r>
        <w:rPr>
          <w:rFonts w:hint="eastAsia"/>
          <w:lang w:eastAsia="zh-CN"/>
        </w:rPr>
        <w:t>于</w:t>
      </w:r>
      <w:r>
        <w:rPr>
          <w:rFonts w:hint="eastAsia"/>
        </w:rPr>
        <w:t>基金资产净值的5%，其中现金</w:t>
      </w:r>
      <w:r>
        <w:rPr>
          <w:rFonts w:hint="eastAsia"/>
          <w:lang w:eastAsia="zh-CN"/>
        </w:rPr>
        <w:t>不</w:t>
      </w:r>
      <w:r>
        <w:rPr>
          <w:rFonts w:hint="eastAsia"/>
        </w:rPr>
        <w:t>包括结算备付金、存出保证金、应收申</w:t>
      </w:r>
      <w:r>
        <w:rPr>
          <w:rFonts w:hint="eastAsia"/>
          <w:lang w:eastAsia="zh-CN"/>
        </w:rPr>
        <w:t>购</w:t>
      </w:r>
      <w:r>
        <w:rPr>
          <w:rFonts w:hint="eastAsia"/>
        </w:rPr>
        <w:t>款等。</w:t>
      </w:r>
    </w:p>
    <w:p>
      <w:pPr>
        <w:pStyle w:val="24"/>
        <w:rPr>
          <w:rFonts w:hint="eastAsia" w:eastAsia="宋体"/>
          <w:lang w:eastAsia="zh-CN"/>
        </w:rPr>
      </w:pPr>
      <w:r>
        <w:rPr>
          <w:rFonts w:hint="eastAsia"/>
        </w:rPr>
        <w:t>本基金的业绩比较基准为：</w:t>
      </w:r>
      <w:r>
        <w:rPr>
          <w:rFonts w:hint="eastAsia"/>
          <w:lang w:eastAsia="zh-CN"/>
        </w:rPr>
        <w:t>沪深300指数收益率×25%＋恒生综合指数收益率×10%＋中债综合财富（总值）指数收益率×65%。</w:t>
      </w:r>
    </w:p>
    <w:p>
      <w:pPr>
        <w:pStyle w:val="24"/>
      </w:pPr>
      <w:r>
        <w:rPr>
          <w:rFonts w:hint="eastAsia"/>
        </w:rPr>
        <w:t>根据《</w:t>
      </w:r>
      <w:r>
        <w:rPr>
          <w:rFonts w:hint="default" w:ascii="Times New Roman" w:hAnsi="Times New Roman" w:cs="Times New Roman"/>
        </w:rPr>
        <w:t>博时基金管理有限公司关于博时鑫荣稳健混合型证券投资基金基金份额持有人大会表决结果暨决议生效的公告</w:t>
      </w:r>
      <w:r>
        <w:rPr>
          <w:rFonts w:hint="eastAsia" w:ascii="Times New Roman" w:hAnsi="Times New Roman" w:cs="Times New Roman"/>
        </w:rPr>
        <w:t>》</w:t>
      </w:r>
      <w:r>
        <w:rPr>
          <w:rFonts w:hint="eastAsia"/>
        </w:rPr>
        <w:t>，</w:t>
      </w:r>
      <w:r>
        <w:rPr>
          <w:rFonts w:hint="default" w:ascii="Times New Roman" w:hAnsi="Times New Roman" w:cs="Times New Roman" w:eastAsiaTheme="majorEastAsia"/>
          <w:szCs w:val="21"/>
        </w:rPr>
        <w:t>本次基金份额持有人大会决议生效后，根据基金份额持有人大会通过的议案及方案说明，本基金从2024年8月23日起进入清算期</w:t>
      </w:r>
      <w:r>
        <w:rPr>
          <w:rFonts w:hint="eastAsia" w:ascii="Times New Roman" w:hAnsi="Times New Roman" w:cs="Times New Roman" w:eastAsiaTheme="majorEastAsia"/>
          <w:szCs w:val="21"/>
          <w:lang w:eastAsia="zh-CN"/>
        </w:rPr>
        <w:t>，</w:t>
      </w:r>
      <w:r>
        <w:rPr>
          <w:rFonts w:hint="eastAsia" w:ascii="宋体" w:hAnsi="宋体"/>
          <w:szCs w:val="21"/>
        </w:rPr>
        <w:t>不再恢复申购、定期定额投资</w:t>
      </w:r>
      <w:r>
        <w:rPr>
          <w:rFonts w:hint="eastAsia" w:ascii="宋体" w:hAnsi="宋体"/>
          <w:szCs w:val="21"/>
          <w:lang w:eastAsia="zh-CN"/>
        </w:rPr>
        <w:t>、</w:t>
      </w:r>
      <w:r>
        <w:rPr>
          <w:rFonts w:hint="eastAsia" w:ascii="宋体" w:hAnsi="宋体"/>
          <w:szCs w:val="21"/>
          <w:lang w:val="en-US" w:eastAsia="zh-CN"/>
        </w:rPr>
        <w:t>转换转入</w:t>
      </w:r>
      <w:r>
        <w:rPr>
          <w:rFonts w:hint="eastAsia" w:ascii="宋体" w:hAnsi="宋体"/>
          <w:szCs w:val="21"/>
        </w:rPr>
        <w:t>业务</w:t>
      </w:r>
      <w:r>
        <w:rPr>
          <w:rFonts w:hint="eastAsia" w:ascii="宋体" w:hAnsi="宋体"/>
          <w:szCs w:val="21"/>
          <w:lang w:eastAsia="zh-CN"/>
        </w:rPr>
        <w:t>，</w:t>
      </w:r>
      <w:r>
        <w:rPr>
          <w:rFonts w:hint="eastAsia" w:ascii="宋体" w:hAnsi="宋体"/>
          <w:szCs w:val="21"/>
          <w:lang w:val="en-US" w:eastAsia="zh-CN"/>
        </w:rPr>
        <w:t>同时</w:t>
      </w:r>
      <w:r>
        <w:rPr>
          <w:rFonts w:hint="default" w:ascii="Times New Roman" w:hAnsi="Times New Roman" w:cs="Times New Roman"/>
          <w:kern w:val="0"/>
        </w:rPr>
        <w:t>不再接受持有人提出的份额赎回、</w:t>
      </w:r>
      <w:r>
        <w:rPr>
          <w:rFonts w:hint="eastAsia" w:ascii="Times New Roman" w:hAnsi="Times New Roman" w:cs="Times New Roman"/>
          <w:kern w:val="0"/>
          <w:lang w:val="en-US" w:eastAsia="zh-CN"/>
        </w:rPr>
        <w:t>转换转出、</w:t>
      </w:r>
      <w:r>
        <w:rPr>
          <w:rFonts w:hint="default" w:ascii="Times New Roman" w:hAnsi="Times New Roman" w:cs="Times New Roman"/>
          <w:kern w:val="0"/>
        </w:rPr>
        <w:t>转托管等申请。本基金进入清算程序后，停止收取基金管理费、基金托管费</w:t>
      </w:r>
      <w:r>
        <w:rPr>
          <w:rFonts w:hint="eastAsia" w:ascii="Times New Roman" w:hAnsi="Times New Roman" w:cs="Times New Roman"/>
          <w:kern w:val="0"/>
          <w:lang w:val="en-US" w:eastAsia="zh-CN"/>
        </w:rPr>
        <w:t>及销售服务费</w:t>
      </w:r>
      <w:r>
        <w:rPr>
          <w:rFonts w:hint="default" w:ascii="Times New Roman" w:hAnsi="Times New Roman" w:cs="Times New Roman"/>
          <w:kern w:val="0"/>
        </w:rPr>
        <w:t>。</w:t>
      </w:r>
      <w:r>
        <w:rPr>
          <w:rFonts w:hint="default" w:ascii="Times New Roman" w:hAnsi="Times New Roman" w:cs="Times New Roman" w:eastAsiaTheme="majorEastAsia"/>
          <w:szCs w:val="21"/>
        </w:rPr>
        <w:t>基金管理人将按照《基金合同》约定，组织成立基金财产清算小组进行基金财产清算程序，并及时予以公告。</w:t>
      </w:r>
      <w:r>
        <w:rPr>
          <w:rFonts w:hint="eastAsia"/>
        </w:rPr>
        <w:t>本基金的最后运作日为</w:t>
      </w:r>
      <w:r>
        <w:rPr>
          <w:rFonts w:hint="eastAsia"/>
          <w:lang w:eastAsia="zh-CN"/>
        </w:rPr>
        <w:t>2024年8月22日</w:t>
      </w:r>
      <w:r>
        <w:rPr>
          <w:rFonts w:hint="eastAsia"/>
        </w:rPr>
        <w:t>，自</w:t>
      </w:r>
      <w:r>
        <w:rPr>
          <w:rFonts w:hint="eastAsia"/>
          <w:lang w:eastAsia="zh-CN"/>
        </w:rPr>
        <w:t>2024年8月23日</w:t>
      </w:r>
      <w:r>
        <w:rPr>
          <w:rFonts w:hint="eastAsia"/>
        </w:rPr>
        <w:t>起进入清算程序。</w:t>
      </w:r>
    </w:p>
    <w:p>
      <w:pPr>
        <w:spacing w:line="360" w:lineRule="auto"/>
        <w:rPr>
          <w:rFonts w:ascii="宋体" w:hAnsi="宋体"/>
          <w:b/>
          <w:szCs w:val="21"/>
        </w:rPr>
      </w:pPr>
      <w:r>
        <w:rPr>
          <w:rFonts w:ascii="宋体" w:hAnsi="宋体"/>
          <w:b/>
          <w:szCs w:val="21"/>
        </w:rPr>
        <w:t>4.3.</w:t>
      </w:r>
      <w:r>
        <w:rPr>
          <w:rFonts w:hint="eastAsia" w:ascii="宋体" w:hAnsi="宋体"/>
          <w:b/>
          <w:szCs w:val="21"/>
        </w:rPr>
        <w:t>2清算原因</w:t>
      </w:r>
    </w:p>
    <w:p>
      <w:pPr>
        <w:spacing w:line="360" w:lineRule="auto"/>
        <w:ind w:firstLine="420" w:firstLineChars="200"/>
        <w:rPr>
          <w:rFonts w:eastAsiaTheme="minorEastAsia"/>
        </w:rPr>
      </w:pPr>
      <w:r>
        <w:rPr>
          <w:rFonts w:hint="eastAsia" w:asciiTheme="minorEastAsia" w:hAnsiTheme="minorEastAsia" w:eastAsiaTheme="minorEastAsia"/>
          <w:szCs w:val="21"/>
        </w:rPr>
        <w:t>根据本基金管理人于</w:t>
      </w:r>
      <w:r>
        <w:rPr>
          <w:rStyle w:val="39"/>
          <w:rFonts w:hint="eastAsia" w:ascii="宋体" w:hAnsi="宋体" w:cs="Arial"/>
        </w:rPr>
        <w:t>2024年8月22日</w:t>
      </w:r>
      <w:r>
        <w:rPr>
          <w:rFonts w:hint="eastAsia" w:asciiTheme="minorEastAsia" w:hAnsiTheme="minorEastAsia" w:eastAsiaTheme="minorEastAsia"/>
          <w:szCs w:val="21"/>
        </w:rPr>
        <w:t>发布的《博时基金管理有限公司关于</w:t>
      </w:r>
      <w:r>
        <w:rPr>
          <w:rStyle w:val="39"/>
          <w:rFonts w:hint="eastAsia" w:ascii="宋体" w:hAnsi="宋体" w:cs="Arial"/>
        </w:rPr>
        <w:t>博时鑫荣稳健混合型证券投资基金</w:t>
      </w:r>
      <w:r>
        <w:rPr>
          <w:rFonts w:hint="eastAsia" w:asciiTheme="minorEastAsia" w:hAnsiTheme="minorEastAsia" w:eastAsiaTheme="minorEastAsia"/>
          <w:szCs w:val="21"/>
        </w:rPr>
        <w:t>基金份额持有人大会表决结果暨决议生效的公告》，本基金从2024年8月23日起进入清算期，不再恢复申购、定期定额投资、转换转入业务，同时不再接受持有人提出的份额赎回、转换转出、转托管等申请。</w:t>
      </w:r>
      <w:r>
        <w:rPr>
          <w:rFonts w:hint="eastAsia" w:eastAsiaTheme="minorEastAsia"/>
        </w:rPr>
        <w:t>本基金最后运作日为2024年8月22日，自2024年8月23日起进入清算程序。</w:t>
      </w:r>
    </w:p>
    <w:p>
      <w:pPr>
        <w:spacing w:line="360" w:lineRule="auto"/>
        <w:rPr>
          <w:rFonts w:ascii="宋体" w:hAnsi="宋体"/>
          <w:b/>
          <w:szCs w:val="21"/>
        </w:rPr>
      </w:pPr>
      <w:r>
        <w:rPr>
          <w:rFonts w:ascii="宋体" w:hAnsi="宋体"/>
          <w:b/>
          <w:szCs w:val="21"/>
        </w:rPr>
        <w:t>4.3.</w:t>
      </w:r>
      <w:r>
        <w:rPr>
          <w:rFonts w:hint="eastAsia" w:ascii="宋体" w:hAnsi="宋体"/>
          <w:b/>
          <w:szCs w:val="21"/>
        </w:rPr>
        <w:t>3清算起始日</w:t>
      </w:r>
    </w:p>
    <w:p>
      <w:pPr>
        <w:pStyle w:val="24"/>
      </w:pPr>
      <w:r>
        <w:rPr>
          <w:rFonts w:hint="eastAsia"/>
        </w:rPr>
        <w:t>根据博时基金管理有限公司于2024年8月</w:t>
      </w:r>
      <w:r>
        <w:t>22</w:t>
      </w:r>
      <w:r>
        <w:rPr>
          <w:rFonts w:hint="eastAsia"/>
        </w:rPr>
        <w:t>日发布的《博时基金管理有限公司关于博时鑫荣稳健混合型证券投资基金基金份额持有人大会表决结果暨决议生效的公告》，本基金的清算起始日为2024年8月23日。</w:t>
      </w:r>
    </w:p>
    <w:p>
      <w:pPr>
        <w:spacing w:line="360" w:lineRule="auto"/>
        <w:rPr>
          <w:rFonts w:ascii="宋体" w:hAnsi="宋体"/>
          <w:b/>
          <w:szCs w:val="21"/>
        </w:rPr>
      </w:pPr>
      <w:r>
        <w:rPr>
          <w:rFonts w:ascii="宋体" w:hAnsi="宋体"/>
          <w:b/>
          <w:szCs w:val="21"/>
        </w:rPr>
        <w:t>4.3.</w:t>
      </w:r>
      <w:r>
        <w:rPr>
          <w:rFonts w:hint="eastAsia" w:ascii="宋体" w:hAnsi="宋体"/>
          <w:b/>
          <w:szCs w:val="21"/>
        </w:rPr>
        <w:t>4清算财务报表的编制基础</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如财务报表附注</w:t>
      </w:r>
      <w:r>
        <w:rPr>
          <w:rFonts w:asciiTheme="minorEastAsia" w:hAnsiTheme="minorEastAsia" w:eastAsiaTheme="minorEastAsia"/>
          <w:color w:val="000000"/>
          <w:szCs w:val="21"/>
        </w:rPr>
        <w:t>4.3.3</w:t>
      </w:r>
      <w:r>
        <w:rPr>
          <w:rFonts w:hint="eastAsia" w:asciiTheme="minorEastAsia" w:hAnsiTheme="minorEastAsia" w:eastAsiaTheme="minorEastAsia"/>
          <w:color w:val="000000"/>
          <w:szCs w:val="21"/>
        </w:rPr>
        <w:t>所述，自</w:t>
      </w:r>
      <w:r>
        <w:rPr>
          <w:rFonts w:hint="eastAsia" w:asciiTheme="minorEastAsia" w:hAnsiTheme="minorEastAsia" w:eastAsiaTheme="minorEastAsia"/>
          <w:color w:val="000000"/>
          <w:szCs w:val="21"/>
          <w:lang w:eastAsia="zh-CN"/>
        </w:rPr>
        <w:t>2024年8月23日</w:t>
      </w:r>
      <w:r>
        <w:rPr>
          <w:rFonts w:hint="eastAsia" w:asciiTheme="minorEastAsia" w:hAnsiTheme="minorEastAsia" w:eastAsiaTheme="minorEastAsia"/>
          <w:color w:val="000000"/>
          <w:szCs w:val="21"/>
        </w:rPr>
        <w:t>起，本基金进入清算程序，因此本财务报表以清算基础编制。</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本基金财务报表按附注</w:t>
      </w:r>
      <w:r>
        <w:rPr>
          <w:rFonts w:hint="eastAsia" w:asciiTheme="minorEastAsia" w:hAnsiTheme="minorEastAsia" w:eastAsiaTheme="minorEastAsia"/>
          <w:color w:val="000000"/>
          <w:szCs w:val="21"/>
        </w:rPr>
        <w:t>4.3.5</w:t>
      </w:r>
      <w:r>
        <w:rPr>
          <w:rFonts w:asciiTheme="minorEastAsia" w:hAnsiTheme="minorEastAsia" w:eastAsiaTheme="minorEastAsia"/>
          <w:color w:val="000000"/>
          <w:szCs w:val="21"/>
        </w:rPr>
        <w:t>中所述的</w:t>
      </w:r>
      <w:r>
        <w:rPr>
          <w:rFonts w:hint="eastAsia" w:asciiTheme="minorEastAsia" w:hAnsiTheme="minorEastAsia" w:eastAsiaTheme="minorEastAsia"/>
          <w:color w:val="000000"/>
          <w:szCs w:val="21"/>
        </w:rPr>
        <w:t>重要</w:t>
      </w:r>
      <w:r>
        <w:rPr>
          <w:rFonts w:asciiTheme="minorEastAsia" w:hAnsiTheme="minorEastAsia" w:eastAsiaTheme="minorEastAsia"/>
          <w:color w:val="000000"/>
          <w:szCs w:val="21"/>
        </w:rPr>
        <w:t>会计政策和会计估计以清算基础编制。于</w:t>
      </w:r>
      <w:r>
        <w:rPr>
          <w:rFonts w:hint="eastAsia" w:asciiTheme="minorEastAsia" w:hAnsiTheme="minorEastAsia" w:eastAsiaTheme="minorEastAsia"/>
          <w:color w:val="000000"/>
          <w:szCs w:val="21"/>
          <w:lang w:eastAsia="zh-CN"/>
        </w:rPr>
        <w:t>2024年8月22日</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基金最后运作日</w:t>
      </w:r>
      <w:r>
        <w:rPr>
          <w:rFonts w:asciiTheme="minorEastAsia" w:hAnsiTheme="minorEastAsia" w:eastAsiaTheme="minorEastAsia"/>
          <w:color w:val="000000"/>
          <w:szCs w:val="21"/>
        </w:rPr>
        <w:t>)，所有资产以可收回金额与原账面价值孰低计量，负债以预计需要清偿的金额计量。</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此外，本基金财务报表按照中国证券投资基金业协会(以下简称“中国基金业协会”)颁布的《证券投资基金会计核算业务指引》、《基金合同》约定的资产估值和会计核算方法及在财务报表附注4</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3所列示的中国证监会、中国基金业协会发布的有关规定及允许的基金行业实务操作编制。</w:t>
      </w:r>
    </w:p>
    <w:p>
      <w:pPr>
        <w:spacing w:line="360" w:lineRule="auto"/>
        <w:rPr>
          <w:rFonts w:ascii="宋体" w:hAnsi="宋体"/>
          <w:b/>
          <w:szCs w:val="21"/>
        </w:rPr>
      </w:pPr>
      <w:r>
        <w:rPr>
          <w:rFonts w:ascii="宋体" w:hAnsi="宋体"/>
          <w:b/>
          <w:szCs w:val="21"/>
        </w:rPr>
        <w:t>4.3.</w:t>
      </w:r>
      <w:r>
        <w:rPr>
          <w:rFonts w:hint="eastAsia" w:ascii="宋体" w:hAnsi="宋体"/>
          <w:b/>
          <w:szCs w:val="21"/>
        </w:rPr>
        <w:t>5 重要会计政策和会计估计</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1清算期间</w:t>
      </w:r>
    </w:p>
    <w:p>
      <w:pPr>
        <w:spacing w:line="360" w:lineRule="auto"/>
        <w:ind w:firstLine="420" w:firstLineChars="200"/>
        <w:rPr>
          <w:rFonts w:ascii="宋体" w:hAnsi="宋体"/>
          <w:color w:val="000000"/>
          <w:szCs w:val="21"/>
        </w:rPr>
      </w:pPr>
      <w:r>
        <w:rPr>
          <w:rFonts w:hint="eastAsia" w:ascii="宋体" w:hAnsi="宋体"/>
          <w:color w:val="000000"/>
          <w:szCs w:val="21"/>
        </w:rPr>
        <w:t>本清算期间为</w:t>
      </w:r>
      <w:r>
        <w:rPr>
          <w:rFonts w:hint="eastAsia" w:ascii="宋体" w:hAnsi="宋体"/>
          <w:color w:val="000000"/>
          <w:szCs w:val="21"/>
          <w:lang w:eastAsia="zh-CN"/>
        </w:rPr>
        <w:t>2024年8月23日</w:t>
      </w:r>
      <w:r>
        <w:rPr>
          <w:rFonts w:hint="eastAsia" w:ascii="宋体" w:hAnsi="宋体"/>
          <w:color w:val="000000"/>
          <w:szCs w:val="21"/>
        </w:rPr>
        <w:t>至</w:t>
      </w:r>
      <w:r>
        <w:rPr>
          <w:rFonts w:hint="eastAsia" w:ascii="宋体" w:hAnsi="宋体"/>
          <w:color w:val="000000"/>
          <w:szCs w:val="21"/>
          <w:lang w:eastAsia="zh-CN"/>
        </w:rPr>
        <w:t>2024年9月20日</w:t>
      </w:r>
      <w:r>
        <w:rPr>
          <w:rFonts w:hint="eastAsia" w:ascii="宋体" w:hAnsi="宋体"/>
          <w:color w:val="000000"/>
          <w:szCs w:val="21"/>
        </w:rPr>
        <w:t>。</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.2 记账本位币</w:t>
      </w:r>
    </w:p>
    <w:p>
      <w:pPr>
        <w:spacing w:line="360" w:lineRule="auto"/>
        <w:ind w:firstLine="420" w:firstLineChars="200"/>
        <w:rPr>
          <w:rFonts w:ascii="宋体" w:hAnsi="宋体"/>
          <w:color w:val="000000"/>
          <w:szCs w:val="21"/>
        </w:rPr>
      </w:pPr>
      <w:r>
        <w:rPr>
          <w:rFonts w:hint="eastAsia" w:ascii="宋体" w:hAnsi="宋体"/>
          <w:color w:val="000000"/>
          <w:szCs w:val="21"/>
        </w:rPr>
        <w:t>本清算财务报表以人民币为记账本位币。</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3</w:t>
      </w:r>
      <w:r>
        <w:rPr>
          <w:rFonts w:ascii="宋体" w:hAnsi="宋体"/>
          <w:b/>
          <w:szCs w:val="21"/>
        </w:rPr>
        <w:t xml:space="preserve"> </w:t>
      </w:r>
      <w:r>
        <w:rPr>
          <w:rFonts w:hint="eastAsia" w:ascii="宋体" w:hAnsi="宋体"/>
          <w:b/>
          <w:szCs w:val="21"/>
        </w:rPr>
        <w:t xml:space="preserve">应收利息的确认和计量 </w:t>
      </w:r>
    </w:p>
    <w:p>
      <w:pPr>
        <w:spacing w:line="360" w:lineRule="auto"/>
        <w:ind w:firstLine="420" w:firstLineChars="200"/>
        <w:rPr>
          <w:rFonts w:ascii="宋体" w:hAnsi="宋体"/>
          <w:color w:val="000000"/>
          <w:szCs w:val="21"/>
        </w:rPr>
      </w:pPr>
      <w:r>
        <w:rPr>
          <w:rFonts w:ascii="宋体" w:hAnsi="宋体"/>
          <w:color w:val="000000"/>
          <w:szCs w:val="21"/>
        </w:rPr>
        <w:t>应收款项按照未来应收取的款项金额计量。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 xml:space="preserve">应付款项的确认和计量 </w:t>
      </w:r>
    </w:p>
    <w:p>
      <w:pPr>
        <w:spacing w:line="360" w:lineRule="auto"/>
        <w:ind w:firstLine="420" w:firstLineChars="200"/>
        <w:rPr>
          <w:rFonts w:ascii="宋体" w:hAnsi="宋体"/>
          <w:color w:val="000000"/>
          <w:szCs w:val="21"/>
        </w:rPr>
      </w:pPr>
      <w:r>
        <w:rPr>
          <w:rFonts w:ascii="宋体" w:hAnsi="宋体"/>
          <w:color w:val="000000"/>
          <w:szCs w:val="21"/>
        </w:rPr>
        <w:t>应付款项按照未来应支付的款项金额计量。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5</w:t>
      </w:r>
      <w:r>
        <w:rPr>
          <w:rFonts w:ascii="宋体" w:hAnsi="宋体"/>
          <w:b/>
          <w:szCs w:val="21"/>
        </w:rPr>
        <w:t xml:space="preserve"> </w:t>
      </w:r>
      <w:r>
        <w:rPr>
          <w:rFonts w:hint="eastAsia" w:ascii="宋体" w:hAnsi="宋体"/>
          <w:b/>
          <w:szCs w:val="21"/>
        </w:rPr>
        <w:t xml:space="preserve">清算收益的确认和计量 </w:t>
      </w:r>
    </w:p>
    <w:p>
      <w:pPr>
        <w:spacing w:line="360" w:lineRule="auto"/>
        <w:ind w:firstLine="420" w:firstLineChars="200"/>
        <w:rPr>
          <w:rFonts w:ascii="宋体" w:hAnsi="宋体"/>
          <w:color w:val="000000"/>
          <w:szCs w:val="21"/>
        </w:rPr>
      </w:pPr>
      <w:r>
        <w:rPr>
          <w:rFonts w:ascii="宋体" w:hAnsi="宋体"/>
          <w:color w:val="000000"/>
          <w:szCs w:val="21"/>
        </w:rPr>
        <w:t>清算收益按照实际发生的收益金额或未来应收取的款项金额计量。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.6</w:t>
      </w:r>
      <w:r>
        <w:rPr>
          <w:rFonts w:hint="eastAsia" w:ascii="宋体" w:hAnsi="宋体"/>
          <w:b/>
          <w:szCs w:val="21"/>
        </w:rPr>
        <w:t xml:space="preserve">清算费用的确认和计量 </w:t>
      </w:r>
    </w:p>
    <w:p>
      <w:pPr>
        <w:spacing w:line="360" w:lineRule="auto"/>
        <w:ind w:firstLine="420" w:firstLineChars="200"/>
        <w:rPr>
          <w:rFonts w:ascii="宋体" w:hAnsi="宋体"/>
          <w:color w:val="000000"/>
          <w:szCs w:val="21"/>
        </w:rPr>
      </w:pPr>
      <w:r>
        <w:rPr>
          <w:rFonts w:ascii="宋体" w:hAnsi="宋体"/>
          <w:color w:val="000000"/>
          <w:szCs w:val="21"/>
        </w:rPr>
        <w:t>清算费用按照实际发生的费用金额或未来应支付的款项金额计量。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6 税项</w:t>
      </w:r>
    </w:p>
    <w:p>
      <w:pPr>
        <w:spacing w:line="360" w:lineRule="auto"/>
        <w:ind w:firstLine="420" w:firstLineChars="200"/>
        <w:rPr>
          <w:rFonts w:hint="eastAsia" w:ascii="宋体" w:hAnsi="宋体"/>
          <w:color w:val="000000"/>
          <w:szCs w:val="21"/>
        </w:rPr>
      </w:pPr>
      <w:bookmarkStart w:id="46" w:name="_Toc491963087"/>
      <w:bookmarkStart w:id="47" w:name="_Toc484769809"/>
      <w:r>
        <w:rPr>
          <w:rFonts w:hint="eastAsia" w:ascii="宋体" w:hAnsi="宋体"/>
          <w:color w:val="000000"/>
          <w:szCs w:val="21"/>
        </w:rPr>
        <w:t>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w:t>
      </w:r>
      <w:bookmarkStart w:id="81" w:name="_GoBack"/>
      <w:bookmarkEnd w:id="81"/>
      <w:r>
        <w:rPr>
          <w:rFonts w:hint="eastAsia" w:ascii="宋体" w:hAnsi="宋体"/>
          <w:color w:val="000000"/>
          <w:szCs w:val="21"/>
        </w:rPr>
        <w:t>财税[2017]90号《关于租入固定资产进项税额抵扣等增值税政策的通知》及其他相关财税法规和实务操作，主要税项列示如下：</w:t>
      </w:r>
    </w:p>
    <w:p>
      <w:pPr>
        <w:spacing w:line="360" w:lineRule="auto"/>
        <w:ind w:firstLine="420" w:firstLineChars="200"/>
        <w:rPr>
          <w:rFonts w:hint="eastAsia" w:ascii="宋体" w:hAnsi="宋体"/>
          <w:color w:val="000000"/>
          <w:szCs w:val="21"/>
        </w:rPr>
      </w:pPr>
      <w:r>
        <w:rPr>
          <w:rFonts w:hint="eastAsia" w:ascii="宋体" w:hAnsi="宋体"/>
          <w:color w:val="000000"/>
          <w:szCs w:val="21"/>
        </w:rPr>
        <w:t>(1)资管产品运营过程中发生的增值税应税行为，以资管产品管理人为增值税纳税人。资管产品管理人运营资管产品过程中发生的增值税应税行为，暂适用简易计税方法，按照3%的征收率缴纳增值税。</w:t>
      </w:r>
    </w:p>
    <w:p>
      <w:pPr>
        <w:spacing w:line="360" w:lineRule="auto"/>
        <w:ind w:firstLine="420" w:firstLineChars="200"/>
        <w:rPr>
          <w:rFonts w:hint="eastAsia" w:ascii="宋体" w:hAnsi="宋体"/>
          <w:color w:val="000000"/>
          <w:szCs w:val="21"/>
        </w:rPr>
      </w:pPr>
      <w:r>
        <w:rPr>
          <w:rFonts w:hint="eastAsia" w:ascii="宋体" w:hAnsi="宋体"/>
          <w:color w:val="000000"/>
          <w:szCs w:val="21"/>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pPr>
        <w:spacing w:line="360" w:lineRule="auto"/>
        <w:ind w:firstLine="420" w:firstLineChars="200"/>
        <w:rPr>
          <w:rFonts w:hint="eastAsia" w:ascii="宋体" w:hAnsi="宋体"/>
          <w:color w:val="000000"/>
          <w:szCs w:val="21"/>
        </w:rPr>
      </w:pPr>
      <w:r>
        <w:rPr>
          <w:rFonts w:hint="eastAsia" w:ascii="宋体" w:hAnsi="宋体"/>
          <w:color w:val="000000"/>
          <w:szCs w:val="21"/>
        </w:rPr>
        <w:t>(2)对基金从证券市场中取得的收入，包括买卖股票、债券的差价收入，股票的股息、红利收入，债券的利息收入及其他收入，暂不征收企业所得税。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对基金通过沪港通/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深港通投资香港联交所上市的非H股取得的股息红利，由中国结算按照20%的税率代扣个人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(4)基金卖出股票按0.1%的税率缴纳股票交易印花税，买入股票不征收股票交易印花税。根据财政部、国家税务总局公告2023年第39号《关于减半征收证券交易印花税的公告》，自2023年8月28日起，证券交易印花税实施减半征收。</w:t>
      </w:r>
    </w:p>
    <w:p>
      <w:pPr>
        <w:spacing w:line="360" w:lineRule="auto"/>
        <w:ind w:firstLine="420" w:firstLineChars="200"/>
        <w:rPr>
          <w:rFonts w:hint="eastAsia" w:ascii="宋体" w:hAnsi="宋体"/>
          <w:color w:val="000000"/>
          <w:szCs w:val="21"/>
        </w:rPr>
      </w:pPr>
      <w:r>
        <w:rPr>
          <w:rFonts w:hint="eastAsia" w:ascii="宋体" w:hAnsi="宋体"/>
          <w:color w:val="000000"/>
          <w:szCs w:val="21"/>
        </w:rPr>
        <w:t>基金通过沪港通/深港通买卖、继承、赠与联交所上市股票，按照香港特别行政区现行税法规定缴纳印花税。</w:t>
      </w:r>
    </w:p>
    <w:p>
      <w:pPr>
        <w:spacing w:line="360" w:lineRule="auto"/>
        <w:ind w:firstLine="420" w:firstLineChars="200"/>
      </w:pPr>
      <w:r>
        <w:rPr>
          <w:rFonts w:hint="eastAsia" w:ascii="宋体" w:hAnsi="宋体"/>
          <w:color w:val="000000"/>
          <w:szCs w:val="21"/>
        </w:rPr>
        <w:t>(5)本基金的城市维护建设税、教育费附加和地方教育附加等税费按照实际缴纳增值税额的适用比例计算缴纳。</w:t>
      </w:r>
    </w:p>
    <w:p>
      <w:pPr>
        <w:spacing w:line="360" w:lineRule="auto"/>
        <w:ind w:firstLine="562" w:firstLineChars="200"/>
        <w:jc w:val="center"/>
        <w:rPr>
          <w:rStyle w:val="20"/>
          <w:rFonts w:ascii="宋体" w:hAnsi="宋体"/>
        </w:rPr>
      </w:pPr>
      <w:r>
        <w:rPr>
          <w:rStyle w:val="20"/>
          <w:rFonts w:hint="eastAsia" w:ascii="宋体" w:hAnsi="宋体"/>
        </w:rPr>
        <w:t>5、清算情况</w:t>
      </w:r>
      <w:bookmarkEnd w:id="46"/>
    </w:p>
    <w:p>
      <w:pPr>
        <w:pStyle w:val="3"/>
        <w:spacing w:before="0" w:after="0"/>
        <w:rPr>
          <w:rFonts w:ascii="宋体" w:hAnsi="宋体" w:eastAsia="宋体"/>
          <w:kern w:val="0"/>
          <w:sz w:val="21"/>
          <w:szCs w:val="21"/>
        </w:rPr>
      </w:pPr>
      <w:bookmarkStart w:id="48" w:name="_Toc491963088"/>
      <w:r>
        <w:rPr>
          <w:rFonts w:hint="eastAsia" w:ascii="宋体" w:hAnsi="宋体" w:eastAsia="宋体"/>
          <w:kern w:val="0"/>
          <w:sz w:val="21"/>
          <w:szCs w:val="21"/>
        </w:rPr>
        <w:t>5.1 资产负债清算情况</w:t>
      </w:r>
      <w:bookmarkEnd w:id="48"/>
    </w:p>
    <w:p>
      <w:pPr>
        <w:pStyle w:val="24"/>
      </w:pPr>
      <w:r>
        <w:rPr>
          <w:rFonts w:hint="eastAsia"/>
        </w:rPr>
        <w:t>自</w:t>
      </w:r>
      <w:r>
        <w:rPr>
          <w:rFonts w:hint="eastAsia"/>
          <w:lang w:eastAsia="zh-CN"/>
        </w:rPr>
        <w:t>2024年8月23日</w:t>
      </w:r>
      <w:r>
        <w:rPr>
          <w:rFonts w:hint="eastAsia"/>
        </w:rPr>
        <w:t>至</w:t>
      </w:r>
      <w:r>
        <w:rPr>
          <w:rFonts w:hint="eastAsia"/>
          <w:lang w:eastAsia="zh-CN"/>
        </w:rPr>
        <w:t>2024年9月20日</w:t>
      </w:r>
      <w:r>
        <w:rPr>
          <w:rFonts w:hint="eastAsia"/>
        </w:rPr>
        <w:t>止为本次清算期间，基金财产清算小组对本基金的基金财产进行清算，全部清算工作按清算原则和清算手续进行。具体清算情况如下：</w:t>
      </w:r>
    </w:p>
    <w:p>
      <w:pPr>
        <w:pStyle w:val="24"/>
      </w:pPr>
      <w:r>
        <w:rPr>
          <w:rFonts w:hint="eastAsia"/>
        </w:rPr>
        <w:t>截至本次清算期结束日（</w:t>
      </w:r>
      <w:r>
        <w:rPr>
          <w:rFonts w:hint="eastAsia"/>
          <w:lang w:eastAsia="zh-CN"/>
        </w:rPr>
        <w:t>2024年9月20日</w:t>
      </w:r>
      <w:r>
        <w:rPr>
          <w:rFonts w:hint="eastAsia"/>
        </w:rPr>
        <w:t>），各项资产负债清算情况如下：</w:t>
      </w:r>
    </w:p>
    <w:p>
      <w:pPr>
        <w:pStyle w:val="24"/>
        <w:numPr>
          <w:ilvl w:val="0"/>
          <w:numId w:val="1"/>
        </w:numPr>
        <w:ind w:firstLineChars="0"/>
      </w:pPr>
      <w:r>
        <w:rPr>
          <w:rFonts w:hint="eastAsia"/>
        </w:rPr>
        <w:t>本基金最后运作日银行存款为2,805,703.88元（含应计利息3,609.33元），在清算期间产生银行存款应计利息</w:t>
      </w:r>
      <w:r>
        <w:rPr>
          <w:rFonts w:hint="eastAsia"/>
          <w:lang w:val="en-US" w:eastAsia="zh-CN"/>
        </w:rPr>
        <w:t>5,</w:t>
      </w:r>
      <w:r>
        <w:rPr>
          <w:rFonts w:hint="eastAsia"/>
        </w:rPr>
        <w:t>0</w:t>
      </w:r>
      <w:r>
        <w:rPr>
          <w:rFonts w:hint="eastAsia"/>
          <w:lang w:val="en-US" w:eastAsia="zh-CN"/>
        </w:rPr>
        <w:t>44</w:t>
      </w:r>
      <w:r>
        <w:rPr>
          <w:rFonts w:hint="eastAsia"/>
        </w:rPr>
        <w:t>.</w:t>
      </w:r>
      <w:r>
        <w:rPr>
          <w:rFonts w:hint="eastAsia"/>
          <w:lang w:val="en-US" w:eastAsia="zh-CN"/>
        </w:rPr>
        <w:t>83</w:t>
      </w:r>
      <w:r>
        <w:rPr>
          <w:rFonts w:hint="eastAsia"/>
        </w:rPr>
        <w:t>元，预计将于</w:t>
      </w:r>
      <w:r>
        <w:rPr>
          <w:rFonts w:hint="eastAsia"/>
          <w:lang w:eastAsia="zh-CN"/>
        </w:rPr>
        <w:t>2024年9月21日</w:t>
      </w:r>
      <w:r>
        <w:rPr>
          <w:rFonts w:hint="eastAsia"/>
        </w:rPr>
        <w:t>收到银行存款应计利息。</w:t>
      </w:r>
    </w:p>
    <w:p>
      <w:pPr>
        <w:pStyle w:val="24"/>
        <w:numPr>
          <w:ilvl w:val="0"/>
          <w:numId w:val="1"/>
        </w:numPr>
        <w:ind w:firstLineChars="0"/>
      </w:pPr>
      <w:r>
        <w:rPr>
          <w:rFonts w:hint="eastAsia"/>
        </w:rPr>
        <w:t>本基金最后运作日上交所最低结算备付金余额为213</w:t>
      </w:r>
      <w:r>
        <w:rPr>
          <w:rFonts w:hint="eastAsia"/>
          <w:lang w:val="en-US" w:eastAsia="zh-CN"/>
        </w:rPr>
        <w:t>,</w:t>
      </w:r>
      <w:r>
        <w:rPr>
          <w:rFonts w:hint="eastAsia"/>
        </w:rPr>
        <w:t>162.16元（含应计利息</w:t>
      </w:r>
      <w:r>
        <w:rPr>
          <w:rFonts w:hint="eastAsia"/>
          <w:lang w:val="en-US" w:eastAsia="zh-CN"/>
        </w:rPr>
        <w:t>150.93</w:t>
      </w:r>
      <w:r>
        <w:rPr>
          <w:rFonts w:hint="eastAsia"/>
        </w:rPr>
        <w:t>元），在清算期内上述款项产生应计利息</w:t>
      </w:r>
      <w:r>
        <w:rPr>
          <w:rFonts w:hint="eastAsia"/>
          <w:lang w:val="en-US" w:eastAsia="zh-CN"/>
        </w:rPr>
        <w:t>239.11</w:t>
      </w:r>
      <w:r>
        <w:rPr>
          <w:rFonts w:hint="eastAsia"/>
        </w:rPr>
        <w:t>元，预计将于</w:t>
      </w:r>
      <w:r>
        <w:rPr>
          <w:rFonts w:hint="eastAsia"/>
          <w:lang w:eastAsia="zh-CN"/>
        </w:rPr>
        <w:t>2024年9月</w:t>
      </w:r>
      <w:r>
        <w:rPr>
          <w:rFonts w:hint="eastAsia"/>
          <w:lang w:val="en-US" w:eastAsia="zh-CN"/>
        </w:rPr>
        <w:t>21日</w:t>
      </w:r>
      <w:r>
        <w:rPr>
          <w:rFonts w:hint="eastAsia"/>
        </w:rPr>
        <w:t>收到上交所最低结算备付金应计利息。</w:t>
      </w:r>
    </w:p>
    <w:p>
      <w:pPr>
        <w:pStyle w:val="24"/>
        <w:numPr>
          <w:ilvl w:val="0"/>
          <w:numId w:val="1"/>
        </w:numPr>
        <w:ind w:firstLineChars="0"/>
        <w:rPr>
          <w:rFonts w:hint="eastAsia"/>
        </w:rPr>
      </w:pPr>
      <w:r>
        <w:rPr>
          <w:rFonts w:hint="eastAsia"/>
        </w:rPr>
        <w:t>本基金最后运作日深交所最低结算备付金</w:t>
      </w:r>
      <w:r>
        <w:rPr>
          <w:rFonts w:hint="eastAsia"/>
          <w:lang w:val="en-US" w:eastAsia="zh-CN"/>
        </w:rPr>
        <w:t>5.76</w:t>
      </w:r>
      <w:r>
        <w:rPr>
          <w:rFonts w:hint="eastAsia"/>
        </w:rPr>
        <w:t>元（含应计利息</w:t>
      </w:r>
      <w:r>
        <w:rPr>
          <w:rFonts w:hint="eastAsia"/>
          <w:lang w:val="en-US" w:eastAsia="zh-CN"/>
        </w:rPr>
        <w:t>5.76</w:t>
      </w:r>
      <w:r>
        <w:rPr>
          <w:rFonts w:hint="eastAsia"/>
        </w:rPr>
        <w:t>元），预计将于</w:t>
      </w:r>
      <w:r>
        <w:rPr>
          <w:rFonts w:hint="eastAsia"/>
          <w:lang w:eastAsia="zh-CN"/>
        </w:rPr>
        <w:t>2024年9月21日</w:t>
      </w:r>
      <w:r>
        <w:rPr>
          <w:rFonts w:hint="eastAsia"/>
        </w:rPr>
        <w:t>收到深交所最低结算备付金应计利息。</w:t>
      </w:r>
    </w:p>
    <w:p>
      <w:pPr>
        <w:pStyle w:val="24"/>
        <w:numPr>
          <w:ilvl w:val="0"/>
          <w:numId w:val="1"/>
        </w:numPr>
        <w:ind w:firstLineChars="0"/>
        <w:rPr>
          <w:rFonts w:hint="eastAsia"/>
        </w:rPr>
      </w:pPr>
      <w:r>
        <w:rPr>
          <w:rFonts w:hint="eastAsia"/>
        </w:rPr>
        <w:t>本基金最后运作日</w:t>
      </w:r>
      <w:r>
        <w:rPr>
          <w:rFonts w:hint="eastAsia"/>
          <w:lang w:eastAsia="zh-CN"/>
        </w:rPr>
        <w:t>期货结算备付金</w:t>
      </w:r>
      <w:r>
        <w:rPr>
          <w:rFonts w:hint="eastAsia"/>
        </w:rPr>
        <w:t>1,038.19元（含应计利息</w:t>
      </w:r>
      <w:r>
        <w:rPr>
          <w:rFonts w:hint="eastAsia"/>
          <w:lang w:val="en-US" w:eastAsia="zh-CN"/>
        </w:rPr>
        <w:t>2.52</w:t>
      </w:r>
      <w:r>
        <w:rPr>
          <w:rFonts w:hint="eastAsia"/>
        </w:rPr>
        <w:t>元），</w:t>
      </w:r>
      <w:r>
        <w:rPr>
          <w:rFonts w:hint="eastAsia"/>
          <w:lang w:eastAsia="zh-CN"/>
        </w:rPr>
        <w:t>已于</w:t>
      </w:r>
      <w:r>
        <w:rPr>
          <w:rFonts w:hint="eastAsia"/>
          <w:lang w:val="en-US" w:eastAsia="zh-CN"/>
        </w:rPr>
        <w:t>2024年8月23日收到</w:t>
      </w:r>
      <w:r>
        <w:rPr>
          <w:rFonts w:hint="eastAsia"/>
          <w:lang w:eastAsia="zh-CN"/>
        </w:rPr>
        <w:t>期货结算备付金及其</w:t>
      </w:r>
      <w:r>
        <w:rPr>
          <w:rFonts w:hint="eastAsia"/>
        </w:rPr>
        <w:t>应计利息</w:t>
      </w:r>
      <w:r>
        <w:rPr>
          <w:rFonts w:hint="eastAsia"/>
          <w:lang w:eastAsia="zh-CN"/>
        </w:rPr>
        <w:t>共</w:t>
      </w:r>
      <w:r>
        <w:rPr>
          <w:rFonts w:hint="eastAsia"/>
          <w:lang w:val="en-US" w:eastAsia="zh-CN"/>
        </w:rPr>
        <w:t>1</w:t>
      </w:r>
      <w:r>
        <w:rPr>
          <w:rFonts w:hint="eastAsia"/>
        </w:rPr>
        <w:t>,</w:t>
      </w:r>
      <w:r>
        <w:rPr>
          <w:rFonts w:hint="eastAsia"/>
          <w:lang w:val="en-US" w:eastAsia="zh-CN"/>
        </w:rPr>
        <w:t>038.39元</w:t>
      </w:r>
      <w:r>
        <w:rPr>
          <w:rFonts w:hint="eastAsia"/>
        </w:rPr>
        <w:t>。</w:t>
      </w:r>
    </w:p>
    <w:p>
      <w:pPr>
        <w:pStyle w:val="24"/>
        <w:numPr>
          <w:ilvl w:val="0"/>
          <w:numId w:val="1"/>
        </w:numPr>
        <w:ind w:firstLineChars="0"/>
        <w:rPr>
          <w:highlight w:val="none"/>
        </w:rPr>
      </w:pPr>
      <w:r>
        <w:rPr>
          <w:rFonts w:hint="eastAsia"/>
          <w:highlight w:val="none"/>
        </w:rPr>
        <w:t>本基金最后运作日上交所结算保证金余额为3</w:t>
      </w:r>
      <w:r>
        <w:rPr>
          <w:rFonts w:hint="eastAsia"/>
          <w:highlight w:val="none"/>
          <w:lang w:val="en-US" w:eastAsia="zh-CN"/>
        </w:rPr>
        <w:t>,</w:t>
      </w:r>
      <w:r>
        <w:rPr>
          <w:rFonts w:hint="eastAsia"/>
          <w:highlight w:val="none"/>
        </w:rPr>
        <w:t>849.6</w:t>
      </w:r>
      <w:r>
        <w:rPr>
          <w:rFonts w:hint="eastAsia"/>
          <w:highlight w:val="none"/>
          <w:lang w:val="en-US" w:eastAsia="zh-CN"/>
        </w:rPr>
        <w:t>0</w:t>
      </w:r>
      <w:r>
        <w:rPr>
          <w:rFonts w:hint="eastAsia"/>
          <w:highlight w:val="none"/>
        </w:rPr>
        <w:t>元（含应计利息</w:t>
      </w:r>
      <w:r>
        <w:rPr>
          <w:rFonts w:hint="eastAsia"/>
          <w:highlight w:val="none"/>
          <w:lang w:val="en-US" w:eastAsia="zh-CN"/>
        </w:rPr>
        <w:t>13.98</w:t>
      </w:r>
      <w:r>
        <w:rPr>
          <w:rFonts w:hint="eastAsia"/>
          <w:highlight w:val="none"/>
        </w:rPr>
        <w:t>元），在清算期内上述款项产生应计利息</w:t>
      </w:r>
      <w:r>
        <w:rPr>
          <w:rFonts w:hint="eastAsia"/>
          <w:highlight w:val="none"/>
          <w:lang w:val="en-US" w:eastAsia="zh-CN"/>
        </w:rPr>
        <w:t>1.87</w:t>
      </w:r>
      <w:r>
        <w:rPr>
          <w:rFonts w:hint="eastAsia"/>
          <w:highlight w:val="none"/>
        </w:rPr>
        <w:t>元，预计将于</w:t>
      </w:r>
      <w:r>
        <w:rPr>
          <w:rFonts w:hint="eastAsia"/>
          <w:highlight w:val="none"/>
          <w:lang w:eastAsia="zh-CN"/>
        </w:rPr>
        <w:t>2024年9月</w:t>
      </w:r>
      <w:r>
        <w:rPr>
          <w:rFonts w:hint="eastAsia"/>
          <w:highlight w:val="none"/>
          <w:lang w:val="en-US" w:eastAsia="zh-CN"/>
        </w:rPr>
        <w:t>21</w:t>
      </w:r>
      <w:r>
        <w:rPr>
          <w:rFonts w:hint="eastAsia"/>
          <w:highlight w:val="none"/>
        </w:rPr>
        <w:t>日</w:t>
      </w:r>
      <w:r>
        <w:rPr>
          <w:rFonts w:hint="eastAsia"/>
          <w:highlight w:val="none"/>
          <w:lang w:eastAsia="zh-CN"/>
        </w:rPr>
        <w:t>收到</w:t>
      </w:r>
      <w:r>
        <w:rPr>
          <w:rFonts w:hint="eastAsia"/>
          <w:highlight w:val="none"/>
        </w:rPr>
        <w:t>上交所结算保证金应计利息。</w:t>
      </w:r>
    </w:p>
    <w:p>
      <w:pPr>
        <w:pStyle w:val="24"/>
        <w:numPr>
          <w:ilvl w:val="0"/>
          <w:numId w:val="1"/>
        </w:numPr>
        <w:ind w:firstLineChars="0"/>
        <w:rPr>
          <w:rFonts w:hint="eastAsia"/>
          <w:highlight w:val="none"/>
        </w:rPr>
      </w:pPr>
      <w:r>
        <w:rPr>
          <w:rFonts w:hint="eastAsia"/>
          <w:highlight w:val="none"/>
        </w:rPr>
        <w:t>本基金最后运作日</w:t>
      </w:r>
      <w:r>
        <w:rPr>
          <w:rFonts w:hint="eastAsia"/>
          <w:highlight w:val="none"/>
          <w:lang w:eastAsia="zh-CN"/>
        </w:rPr>
        <w:t>深</w:t>
      </w:r>
      <w:r>
        <w:rPr>
          <w:rFonts w:hint="eastAsia"/>
          <w:highlight w:val="none"/>
        </w:rPr>
        <w:t>交所结算保证金余额为6,382.93元（含应计利息</w:t>
      </w:r>
      <w:r>
        <w:rPr>
          <w:rFonts w:hint="eastAsia"/>
          <w:highlight w:val="none"/>
          <w:lang w:val="en-US" w:eastAsia="zh-CN"/>
        </w:rPr>
        <w:t>25.32</w:t>
      </w:r>
      <w:r>
        <w:rPr>
          <w:rFonts w:hint="eastAsia"/>
          <w:highlight w:val="none"/>
        </w:rPr>
        <w:t>元），在清算期内上述款项产生应计利息</w:t>
      </w:r>
      <w:r>
        <w:rPr>
          <w:rFonts w:hint="eastAsia"/>
          <w:highlight w:val="none"/>
          <w:lang w:val="en-US" w:eastAsia="zh-CN"/>
        </w:rPr>
        <w:t>3.19</w:t>
      </w:r>
      <w:r>
        <w:rPr>
          <w:rFonts w:hint="eastAsia"/>
          <w:highlight w:val="none"/>
        </w:rPr>
        <w:t>元，预计将于</w:t>
      </w:r>
      <w:r>
        <w:rPr>
          <w:rFonts w:hint="eastAsia"/>
          <w:highlight w:val="none"/>
          <w:lang w:eastAsia="zh-CN"/>
        </w:rPr>
        <w:t>2024年9月</w:t>
      </w:r>
      <w:r>
        <w:rPr>
          <w:rFonts w:hint="eastAsia"/>
          <w:highlight w:val="none"/>
          <w:lang w:val="en-US" w:eastAsia="zh-CN"/>
        </w:rPr>
        <w:t>21</w:t>
      </w:r>
      <w:r>
        <w:rPr>
          <w:rFonts w:hint="eastAsia"/>
          <w:highlight w:val="none"/>
        </w:rPr>
        <w:t>日</w:t>
      </w:r>
      <w:r>
        <w:rPr>
          <w:rFonts w:hint="eastAsia"/>
          <w:highlight w:val="none"/>
          <w:lang w:eastAsia="zh-CN"/>
        </w:rPr>
        <w:t>收到深</w:t>
      </w:r>
      <w:r>
        <w:rPr>
          <w:rFonts w:hint="eastAsia"/>
          <w:highlight w:val="none"/>
        </w:rPr>
        <w:t>交所结算保证金应计利息。</w:t>
      </w:r>
    </w:p>
    <w:p>
      <w:pPr>
        <w:pStyle w:val="24"/>
        <w:numPr>
          <w:ilvl w:val="0"/>
          <w:numId w:val="1"/>
        </w:numPr>
        <w:ind w:firstLineChars="0"/>
        <w:rPr>
          <w:rFonts w:hint="default"/>
          <w:highlight w:val="none"/>
          <w:lang w:val="en-US"/>
        </w:rPr>
      </w:pPr>
      <w:r>
        <w:rPr>
          <w:rFonts w:hint="eastAsia"/>
          <w:highlight w:val="none"/>
        </w:rPr>
        <w:t>本基金最后运作日</w:t>
      </w:r>
      <w:r>
        <w:rPr>
          <w:rFonts w:hint="eastAsia"/>
          <w:highlight w:val="none"/>
          <w:lang w:eastAsia="zh-CN"/>
        </w:rPr>
        <w:t>债券投资余额为3,318,900.41元（含应计利息17,250.41元），截止</w:t>
      </w:r>
      <w:r>
        <w:rPr>
          <w:rFonts w:hint="eastAsia"/>
          <w:highlight w:val="none"/>
          <w:lang w:val="en-US" w:eastAsia="zh-CN"/>
        </w:rPr>
        <w:t>2024年9月20日，该资产已全部卖出变现。</w:t>
      </w:r>
    </w:p>
    <w:p>
      <w:pPr>
        <w:pStyle w:val="24"/>
        <w:numPr>
          <w:ilvl w:val="0"/>
          <w:numId w:val="1"/>
        </w:numPr>
        <w:ind w:firstLineChars="0"/>
        <w:rPr>
          <w:rFonts w:hint="default"/>
          <w:highlight w:val="none"/>
          <w:lang w:val="en-US"/>
        </w:rPr>
      </w:pPr>
      <w:r>
        <w:rPr>
          <w:rFonts w:hint="eastAsia"/>
          <w:highlight w:val="none"/>
        </w:rPr>
        <w:t>本基金最后运作日</w:t>
      </w:r>
      <w:r>
        <w:rPr>
          <w:rFonts w:hint="eastAsia"/>
          <w:highlight w:val="none"/>
          <w:lang w:eastAsia="zh-CN"/>
        </w:rPr>
        <w:t>应收清算款</w:t>
      </w:r>
      <w:r>
        <w:rPr>
          <w:rFonts w:hint="eastAsia"/>
          <w:highlight w:val="none"/>
          <w:lang w:val="en-US" w:eastAsia="zh-CN"/>
        </w:rPr>
        <w:t>为3,000,154.52元，</w:t>
      </w:r>
      <w:r>
        <w:rPr>
          <w:rFonts w:hint="eastAsia"/>
          <w:highlight w:val="none"/>
          <w:lang w:eastAsia="zh-CN"/>
        </w:rPr>
        <w:t>截止</w:t>
      </w:r>
      <w:r>
        <w:rPr>
          <w:rFonts w:hint="eastAsia"/>
          <w:highlight w:val="none"/>
          <w:lang w:val="en-US" w:eastAsia="zh-CN"/>
        </w:rPr>
        <w:t>2024年9月20日该款项已全部收回。</w:t>
      </w:r>
    </w:p>
    <w:p>
      <w:pPr>
        <w:pStyle w:val="24"/>
        <w:numPr>
          <w:ilvl w:val="0"/>
          <w:numId w:val="1"/>
        </w:numPr>
        <w:ind w:firstLineChars="0"/>
        <w:rPr>
          <w:highlight w:val="none"/>
        </w:rPr>
      </w:pPr>
      <w:r>
        <w:rPr>
          <w:rFonts w:hint="eastAsia"/>
          <w:highlight w:val="none"/>
        </w:rPr>
        <w:t>本基金最后运作日应付赎回款</w:t>
      </w:r>
      <w:r>
        <w:rPr>
          <w:rFonts w:hint="eastAsia"/>
          <w:highlight w:val="none"/>
          <w:lang w:eastAsia="zh-CN"/>
        </w:rPr>
        <w:t>余额</w:t>
      </w:r>
      <w:r>
        <w:rPr>
          <w:rFonts w:hint="eastAsia"/>
          <w:highlight w:val="none"/>
        </w:rPr>
        <w:t>合计为886.22元，截至</w:t>
      </w:r>
      <w:r>
        <w:rPr>
          <w:rFonts w:hint="eastAsia"/>
          <w:highlight w:val="none"/>
          <w:lang w:eastAsia="zh-CN"/>
        </w:rPr>
        <w:t>2024年9月20日</w:t>
      </w:r>
      <w:r>
        <w:rPr>
          <w:rFonts w:hint="eastAsia"/>
          <w:highlight w:val="none"/>
        </w:rPr>
        <w:t>该款项已全部划出。</w:t>
      </w:r>
    </w:p>
    <w:p>
      <w:pPr>
        <w:pStyle w:val="24"/>
        <w:numPr>
          <w:ilvl w:val="0"/>
          <w:numId w:val="1"/>
        </w:numPr>
        <w:ind w:firstLineChars="0"/>
        <w:rPr>
          <w:highlight w:val="none"/>
        </w:rPr>
      </w:pPr>
      <w:r>
        <w:rPr>
          <w:rFonts w:hint="eastAsia"/>
          <w:highlight w:val="none"/>
        </w:rPr>
        <w:t>本基金最后运作日应付管理人报酬为</w:t>
      </w:r>
      <w:r>
        <w:rPr>
          <w:rFonts w:hint="eastAsia"/>
          <w:highlight w:val="none"/>
          <w:lang w:val="en-US" w:eastAsia="zh-CN"/>
        </w:rPr>
        <w:t>4,717.22</w:t>
      </w:r>
      <w:r>
        <w:rPr>
          <w:rFonts w:hint="eastAsia"/>
          <w:highlight w:val="none"/>
        </w:rPr>
        <w:t>元，</w:t>
      </w:r>
      <w:r>
        <w:rPr>
          <w:rFonts w:hint="eastAsia"/>
          <w:highlight w:val="none"/>
          <w:lang w:eastAsia="zh-CN"/>
        </w:rPr>
        <w:t>该款项已于</w:t>
      </w:r>
      <w:r>
        <w:rPr>
          <w:rFonts w:hint="eastAsia"/>
          <w:highlight w:val="none"/>
          <w:lang w:val="en-US" w:eastAsia="zh-CN"/>
        </w:rPr>
        <w:t>2024年9月4日支付</w:t>
      </w:r>
      <w:r>
        <w:rPr>
          <w:rFonts w:hint="eastAsia"/>
          <w:highlight w:val="none"/>
        </w:rPr>
        <w:t>。</w:t>
      </w:r>
    </w:p>
    <w:p>
      <w:pPr>
        <w:pStyle w:val="24"/>
        <w:numPr>
          <w:ilvl w:val="0"/>
          <w:numId w:val="1"/>
        </w:numPr>
        <w:ind w:firstLineChars="0"/>
        <w:rPr>
          <w:highlight w:val="none"/>
        </w:rPr>
      </w:pPr>
      <w:r>
        <w:rPr>
          <w:rFonts w:hint="eastAsia"/>
          <w:highlight w:val="none"/>
        </w:rPr>
        <w:t>本基金最后运作日应付托管费为</w:t>
      </w:r>
      <w:r>
        <w:rPr>
          <w:rFonts w:hint="eastAsia"/>
          <w:highlight w:val="none"/>
          <w:lang w:val="en-US" w:eastAsia="zh-CN"/>
        </w:rPr>
        <w:t>471.70元</w:t>
      </w:r>
      <w:r>
        <w:rPr>
          <w:rFonts w:hint="eastAsia"/>
          <w:highlight w:val="none"/>
        </w:rPr>
        <w:t>，</w:t>
      </w:r>
      <w:r>
        <w:rPr>
          <w:rFonts w:hint="eastAsia"/>
          <w:highlight w:val="none"/>
          <w:lang w:eastAsia="zh-CN"/>
        </w:rPr>
        <w:t>该款项已于</w:t>
      </w:r>
      <w:r>
        <w:rPr>
          <w:rFonts w:hint="eastAsia"/>
          <w:highlight w:val="none"/>
          <w:lang w:val="en-US" w:eastAsia="zh-CN"/>
        </w:rPr>
        <w:t>2024年9月4日支付</w:t>
      </w:r>
      <w:r>
        <w:rPr>
          <w:rFonts w:hint="eastAsia"/>
          <w:highlight w:val="none"/>
        </w:rPr>
        <w:t>。</w:t>
      </w:r>
    </w:p>
    <w:p>
      <w:pPr>
        <w:pStyle w:val="24"/>
        <w:numPr>
          <w:ilvl w:val="0"/>
          <w:numId w:val="1"/>
        </w:numPr>
        <w:ind w:firstLineChars="0"/>
        <w:rPr>
          <w:highlight w:val="none"/>
        </w:rPr>
      </w:pPr>
      <w:r>
        <w:rPr>
          <w:rFonts w:hint="eastAsia"/>
          <w:highlight w:val="none"/>
        </w:rPr>
        <w:t>本基金最后运作日应付销售服务费为</w:t>
      </w:r>
      <w:r>
        <w:rPr>
          <w:rFonts w:hint="eastAsia"/>
          <w:highlight w:val="none"/>
          <w:lang w:val="en-US" w:eastAsia="zh-CN"/>
        </w:rPr>
        <w:t>450.92</w:t>
      </w:r>
      <w:r>
        <w:rPr>
          <w:rFonts w:hint="eastAsia"/>
          <w:highlight w:val="none"/>
        </w:rPr>
        <w:t>元，</w:t>
      </w:r>
      <w:r>
        <w:rPr>
          <w:rFonts w:hint="eastAsia"/>
          <w:highlight w:val="none"/>
          <w:lang w:eastAsia="zh-CN"/>
        </w:rPr>
        <w:t>该款项已于</w:t>
      </w:r>
      <w:r>
        <w:rPr>
          <w:rFonts w:hint="eastAsia"/>
          <w:highlight w:val="none"/>
          <w:lang w:val="en-US" w:eastAsia="zh-CN"/>
        </w:rPr>
        <w:t>2024年9月4日支付</w:t>
      </w:r>
      <w:r>
        <w:rPr>
          <w:rFonts w:hint="eastAsia"/>
          <w:highlight w:val="none"/>
        </w:rPr>
        <w:t>。</w:t>
      </w:r>
    </w:p>
    <w:p>
      <w:pPr>
        <w:pStyle w:val="24"/>
        <w:numPr>
          <w:ilvl w:val="0"/>
          <w:numId w:val="1"/>
        </w:numPr>
        <w:ind w:firstLineChars="0"/>
        <w:rPr>
          <w:highlight w:val="none"/>
        </w:rPr>
      </w:pPr>
      <w:r>
        <w:rPr>
          <w:rFonts w:hint="eastAsia"/>
          <w:highlight w:val="none"/>
        </w:rPr>
        <w:t>本基金最后运作日其他负债为53,695.8</w:t>
      </w:r>
      <w:r>
        <w:rPr>
          <w:rFonts w:hint="eastAsia"/>
          <w:highlight w:val="none"/>
          <w:lang w:val="en-US" w:eastAsia="zh-CN"/>
        </w:rPr>
        <w:t>5</w:t>
      </w:r>
      <w:r>
        <w:rPr>
          <w:rFonts w:hint="eastAsia"/>
          <w:highlight w:val="none"/>
        </w:rPr>
        <w:t>元，包括</w:t>
      </w:r>
      <w:r>
        <w:rPr>
          <w:rFonts w:hint="eastAsia"/>
          <w:highlight w:val="none"/>
          <w:lang w:val="en-US" w:eastAsia="zh-CN"/>
        </w:rPr>
        <w:t>应付</w:t>
      </w:r>
      <w:r>
        <w:rPr>
          <w:rFonts w:hint="eastAsia"/>
          <w:highlight w:val="none"/>
        </w:rPr>
        <w:t>赎回费</w:t>
      </w:r>
      <w:r>
        <w:rPr>
          <w:rFonts w:hint="eastAsia"/>
          <w:highlight w:val="none"/>
          <w:lang w:eastAsia="zh-CN"/>
        </w:rPr>
        <w:t>与应付转出费、</w:t>
      </w:r>
      <w:r>
        <w:rPr>
          <w:rFonts w:hint="eastAsia"/>
          <w:highlight w:val="none"/>
        </w:rPr>
        <w:t>应付交易费用、预提审计费</w:t>
      </w:r>
      <w:r>
        <w:rPr>
          <w:rFonts w:hint="eastAsia"/>
          <w:highlight w:val="none"/>
          <w:lang w:eastAsia="zh-CN"/>
        </w:rPr>
        <w:t>、</w:t>
      </w:r>
      <w:r>
        <w:rPr>
          <w:rFonts w:hint="eastAsia"/>
          <w:highlight w:val="none"/>
        </w:rPr>
        <w:t>预提</w:t>
      </w:r>
      <w:r>
        <w:rPr>
          <w:rFonts w:hint="eastAsia"/>
          <w:highlight w:val="none"/>
          <w:lang w:eastAsia="zh-CN"/>
        </w:rPr>
        <w:t>信息披露费</w:t>
      </w:r>
      <w:r>
        <w:rPr>
          <w:rFonts w:hint="eastAsia"/>
          <w:highlight w:val="none"/>
        </w:rPr>
        <w:t>和预提</w:t>
      </w:r>
      <w:r>
        <w:rPr>
          <w:rFonts w:hint="eastAsia"/>
          <w:highlight w:val="none"/>
          <w:lang w:eastAsia="zh-CN"/>
        </w:rPr>
        <w:t>持有人大会律师费（</w:t>
      </w:r>
      <w:r>
        <w:rPr>
          <w:rFonts w:hint="eastAsia"/>
          <w:highlight w:val="none"/>
          <w:lang w:val="en-US" w:eastAsia="zh-CN"/>
        </w:rPr>
        <w:t>2024年4月的基金份额持有人大会产生该费用</w:t>
      </w:r>
      <w:r>
        <w:rPr>
          <w:rFonts w:hint="eastAsia"/>
          <w:highlight w:val="none"/>
          <w:lang w:eastAsia="zh-CN"/>
        </w:rPr>
        <w:t>）</w:t>
      </w:r>
      <w:r>
        <w:rPr>
          <w:rFonts w:hint="eastAsia"/>
          <w:highlight w:val="none"/>
        </w:rPr>
        <w:t>。其中：</w:t>
      </w:r>
    </w:p>
    <w:p>
      <w:pPr>
        <w:pStyle w:val="24"/>
        <w:numPr>
          <w:ilvl w:val="0"/>
          <w:numId w:val="2"/>
        </w:numPr>
        <w:ind w:firstLineChars="0"/>
        <w:rPr>
          <w:highlight w:val="none"/>
        </w:rPr>
      </w:pPr>
      <w:r>
        <w:rPr>
          <w:rFonts w:hint="eastAsia"/>
          <w:highlight w:val="none"/>
        </w:rPr>
        <w:t>应付赎回费</w:t>
      </w:r>
      <w:r>
        <w:rPr>
          <w:rFonts w:hint="eastAsia"/>
          <w:highlight w:val="none"/>
          <w:lang w:eastAsia="zh-CN"/>
        </w:rPr>
        <w:t>与应付转出费合计</w:t>
      </w:r>
      <w:r>
        <w:rPr>
          <w:rFonts w:hint="eastAsia"/>
          <w:highlight w:val="none"/>
        </w:rPr>
        <w:t>为</w:t>
      </w:r>
      <w:r>
        <w:rPr>
          <w:rFonts w:hint="eastAsia"/>
          <w:highlight w:val="none"/>
          <w:lang w:val="en-US" w:eastAsia="zh-CN"/>
        </w:rPr>
        <w:t>0.12</w:t>
      </w:r>
      <w:r>
        <w:rPr>
          <w:rFonts w:hint="eastAsia"/>
          <w:highlight w:val="none"/>
        </w:rPr>
        <w:t>元，</w:t>
      </w:r>
      <w:r>
        <w:rPr>
          <w:rFonts w:hint="eastAsia"/>
          <w:highlight w:val="none"/>
          <w:lang w:val="en-US" w:eastAsia="zh-CN"/>
        </w:rPr>
        <w:t>2024年8月27日产生</w:t>
      </w:r>
      <w:r>
        <w:rPr>
          <w:rFonts w:hint="eastAsia"/>
          <w:highlight w:val="none"/>
        </w:rPr>
        <w:t>应付赎回费</w:t>
      </w:r>
      <w:r>
        <w:rPr>
          <w:rFonts w:hint="eastAsia"/>
          <w:highlight w:val="none"/>
          <w:lang w:eastAsia="zh-CN"/>
        </w:rPr>
        <w:t>与应付转出费</w:t>
      </w:r>
      <w:r>
        <w:rPr>
          <w:rFonts w:hint="eastAsia"/>
          <w:highlight w:val="none"/>
          <w:lang w:val="en-US" w:eastAsia="zh-CN"/>
        </w:rPr>
        <w:t>2.24元，</w:t>
      </w:r>
      <w:r>
        <w:rPr>
          <w:rFonts w:hint="eastAsia"/>
          <w:highlight w:val="none"/>
        </w:rPr>
        <w:t>截至</w:t>
      </w:r>
      <w:r>
        <w:rPr>
          <w:rFonts w:hint="eastAsia"/>
          <w:highlight w:val="none"/>
          <w:lang w:eastAsia="zh-CN"/>
        </w:rPr>
        <w:t>2024年9月20日</w:t>
      </w:r>
      <w:r>
        <w:rPr>
          <w:rFonts w:hint="eastAsia"/>
          <w:highlight w:val="none"/>
        </w:rPr>
        <w:t>已全部支付；</w:t>
      </w:r>
    </w:p>
    <w:p>
      <w:pPr>
        <w:pStyle w:val="24"/>
        <w:numPr>
          <w:ilvl w:val="0"/>
          <w:numId w:val="2"/>
        </w:numPr>
        <w:rPr>
          <w:highlight w:val="none"/>
        </w:rPr>
      </w:pPr>
      <w:r>
        <w:rPr>
          <w:rFonts w:hint="eastAsia"/>
          <w:highlight w:val="none"/>
        </w:rPr>
        <w:t>应付交易费用为2,215.32元，其中应付佣金2,215.32元，</w:t>
      </w:r>
      <w:r>
        <w:rPr>
          <w:rFonts w:hint="eastAsia"/>
          <w:highlight w:val="none"/>
          <w:lang w:eastAsia="zh-CN"/>
        </w:rPr>
        <w:t>该款项预计将于</w:t>
      </w:r>
      <w:r>
        <w:rPr>
          <w:rFonts w:hint="eastAsia"/>
          <w:highlight w:val="none"/>
          <w:lang w:val="en-US" w:eastAsia="zh-CN"/>
        </w:rPr>
        <w:t>2024年10月支付</w:t>
      </w:r>
      <w:r>
        <w:rPr>
          <w:rFonts w:hint="eastAsia"/>
          <w:highlight w:val="none"/>
        </w:rPr>
        <w:t>；</w:t>
      </w:r>
    </w:p>
    <w:p>
      <w:pPr>
        <w:pStyle w:val="24"/>
        <w:numPr>
          <w:ilvl w:val="0"/>
          <w:numId w:val="2"/>
        </w:numPr>
        <w:rPr>
          <w:highlight w:val="none"/>
        </w:rPr>
      </w:pPr>
      <w:r>
        <w:rPr>
          <w:rFonts w:hint="eastAsia"/>
          <w:highlight w:val="none"/>
        </w:rPr>
        <w:t>预提审计费11,617.02元，该款项将于取得审计费发票后支付；</w:t>
      </w:r>
    </w:p>
    <w:p>
      <w:pPr>
        <w:pStyle w:val="24"/>
        <w:numPr>
          <w:ilvl w:val="0"/>
          <w:numId w:val="2"/>
        </w:numPr>
        <w:rPr>
          <w:highlight w:val="none"/>
        </w:rPr>
      </w:pPr>
      <w:r>
        <w:rPr>
          <w:rFonts w:hint="eastAsia"/>
          <w:highlight w:val="none"/>
        </w:rPr>
        <w:t>预提</w:t>
      </w:r>
      <w:r>
        <w:rPr>
          <w:rFonts w:hint="eastAsia"/>
          <w:highlight w:val="none"/>
          <w:lang w:eastAsia="zh-CN"/>
        </w:rPr>
        <w:t>信息披露</w:t>
      </w:r>
      <w:r>
        <w:rPr>
          <w:rFonts w:hint="eastAsia"/>
          <w:highlight w:val="none"/>
        </w:rPr>
        <w:t>费24</w:t>
      </w:r>
      <w:r>
        <w:rPr>
          <w:rFonts w:hint="eastAsia"/>
          <w:highlight w:val="none"/>
          <w:lang w:val="en-US" w:eastAsia="zh-CN"/>
        </w:rPr>
        <w:t>,</w:t>
      </w:r>
      <w:r>
        <w:rPr>
          <w:rFonts w:hint="eastAsia"/>
          <w:highlight w:val="none"/>
        </w:rPr>
        <w:t>863.39元，该款项将于取得</w:t>
      </w:r>
      <w:r>
        <w:rPr>
          <w:rFonts w:hint="eastAsia"/>
          <w:highlight w:val="none"/>
          <w:lang w:eastAsia="zh-CN"/>
        </w:rPr>
        <w:t>信息披露</w:t>
      </w:r>
      <w:r>
        <w:rPr>
          <w:rFonts w:hint="eastAsia"/>
          <w:highlight w:val="none"/>
        </w:rPr>
        <w:t>费发票后支付；</w:t>
      </w:r>
    </w:p>
    <w:p>
      <w:pPr>
        <w:pStyle w:val="24"/>
        <w:numPr>
          <w:ilvl w:val="0"/>
          <w:numId w:val="2"/>
        </w:numPr>
        <w:rPr>
          <w:highlight w:val="none"/>
        </w:rPr>
      </w:pPr>
      <w:r>
        <w:rPr>
          <w:rFonts w:hint="eastAsia"/>
        </w:rPr>
        <w:t>预提持有人大会律师费15</w:t>
      </w:r>
      <w:r>
        <w:t>,</w:t>
      </w:r>
      <w:r>
        <w:rPr>
          <w:rFonts w:hint="eastAsia"/>
        </w:rPr>
        <w:t>0</w:t>
      </w:r>
      <w:r>
        <w:t>00.00</w:t>
      </w:r>
      <w:r>
        <w:rPr>
          <w:rFonts w:hint="eastAsia"/>
        </w:rPr>
        <w:t>元，详见基金管理人于2024年4月24日发布的《关于博时鑫荣稳健混合型证券投资基金基金份额持有人大会会议情况的公告》，该费用将于取得律师费发票后支付。</w:t>
      </w:r>
    </w:p>
    <w:bookmarkEnd w:id="47"/>
    <w:p>
      <w:pPr>
        <w:pStyle w:val="3"/>
        <w:spacing w:before="0" w:after="0"/>
        <w:rPr>
          <w:rFonts w:ascii="宋体" w:hAnsi="宋体" w:eastAsia="宋体"/>
          <w:kern w:val="0"/>
          <w:sz w:val="21"/>
          <w:szCs w:val="21"/>
        </w:rPr>
      </w:pPr>
      <w:bookmarkStart w:id="49" w:name="_Toc491963089"/>
      <w:r>
        <w:rPr>
          <w:rFonts w:hint="eastAsia" w:ascii="宋体" w:hAnsi="宋体" w:eastAsia="宋体"/>
          <w:kern w:val="0"/>
          <w:sz w:val="21"/>
          <w:szCs w:val="21"/>
        </w:rPr>
        <w:t>5.2 截至本次清算期结束日的剩余财产情况及剩余财产分配安排</w:t>
      </w:r>
      <w:bookmarkEnd w:id="49"/>
    </w:p>
    <w:tbl>
      <w:tblPr>
        <w:tblStyle w:val="13"/>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4115"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最后运作日</w:t>
            </w:r>
            <w:r>
              <w:rPr>
                <w:rFonts w:hint="eastAsia" w:ascii="宋体" w:hAnsi="宋体"/>
                <w:b/>
                <w:color w:val="000000" w:themeColor="text1"/>
                <w:szCs w:val="21"/>
                <w:lang w:eastAsia="zh-CN"/>
                <w14:textFill>
                  <w14:solidFill>
                    <w14:schemeClr w14:val="tx1"/>
                  </w14:solidFill>
                </w14:textFill>
              </w:rPr>
              <w:t>2024年8月22日</w:t>
            </w:r>
            <w:r>
              <w:rPr>
                <w:rFonts w:hint="eastAsia" w:ascii="宋体" w:hAnsi="宋体"/>
                <w:b/>
                <w:color w:val="000000" w:themeColor="text1"/>
                <w:szCs w:val="21"/>
                <w14:textFill>
                  <w14:solidFill>
                    <w14:schemeClr w14:val="tx1"/>
                  </w14:solidFill>
                </w14:textFill>
              </w:rPr>
              <w:t>基金净资产</w:t>
            </w:r>
          </w:p>
        </w:tc>
        <w:tc>
          <w:tcPr>
            <w:tcW w:w="4115" w:type="dxa"/>
            <w:vAlign w:val="center"/>
          </w:tcPr>
          <w:p>
            <w:pPr>
              <w:ind w:left="-80"/>
              <w:jc w:val="right"/>
              <w:rPr>
                <w:rFonts w:ascii="Arial" w:hAnsi="Arial" w:cs="Arial"/>
                <w:b/>
                <w:color w:val="000000"/>
                <w:sz w:val="24"/>
                <w:highlight w:val="yellow"/>
              </w:rPr>
            </w:pPr>
            <w:r>
              <w:rPr>
                <w:rFonts w:hint="eastAsia" w:ascii="Arial" w:hAnsi="Arial" w:cs="Arial"/>
                <w:b/>
                <w:bCs/>
                <w:color w:val="000000"/>
                <w:sz w:val="24"/>
                <w:lang w:val="en-US" w:eastAsia="zh-CN"/>
              </w:rPr>
              <w:t>9,288,975.54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w:t>
            </w:r>
            <w:r>
              <w:rPr>
                <w:rFonts w:hint="eastAsia" w:ascii="宋体" w:hAnsi="宋体"/>
                <w:color w:val="000000" w:themeColor="text1"/>
                <w:szCs w:val="21"/>
                <w:lang w:eastAsia="zh-CN"/>
                <w14:textFill>
                  <w14:solidFill>
                    <w14:schemeClr w14:val="tx1"/>
                  </w14:solidFill>
                </w14:textFill>
              </w:rPr>
              <w:t>2024年8月23日</w:t>
            </w:r>
            <w:r>
              <w:rPr>
                <w:rFonts w:hint="eastAsia" w:ascii="宋体" w:hAnsi="宋体"/>
                <w:color w:val="000000" w:themeColor="text1"/>
                <w:szCs w:val="21"/>
                <w14:textFill>
                  <w14:solidFill>
                    <w14:schemeClr w14:val="tx1"/>
                  </w14:solidFill>
                </w14:textFill>
              </w:rPr>
              <w:t>确认申购对价</w:t>
            </w:r>
          </w:p>
        </w:tc>
        <w:tc>
          <w:tcPr>
            <w:tcW w:w="4115" w:type="dxa"/>
            <w:vAlign w:val="center"/>
          </w:tcPr>
          <w:p>
            <w:pPr>
              <w:ind w:left="-80"/>
              <w:jc w:val="right"/>
              <w:rPr>
                <w:rFonts w:hint="eastAsia" w:ascii="Arial" w:hAnsi="Arial" w:eastAsia="宋体" w:cs="Arial"/>
                <w:bCs/>
                <w:color w:val="000000"/>
                <w:sz w:val="24"/>
                <w:lang w:val="en-US" w:eastAsia="zh-CN"/>
              </w:rPr>
            </w:pPr>
            <w:r>
              <w:rPr>
                <w:rFonts w:hint="eastAsia" w:ascii="Arial" w:hAnsi="Arial" w:cs="Arial"/>
                <w:bCs/>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w:t>
            </w:r>
            <w:r>
              <w:rPr>
                <w:rFonts w:hint="eastAsia" w:ascii="宋体" w:hAnsi="宋体"/>
                <w:color w:val="000000" w:themeColor="text1"/>
                <w:szCs w:val="21"/>
                <w:lang w:eastAsia="zh-CN"/>
                <w14:textFill>
                  <w14:solidFill>
                    <w14:schemeClr w14:val="tx1"/>
                  </w14:solidFill>
                </w14:textFill>
              </w:rPr>
              <w:t>2024年8月23日</w:t>
            </w:r>
            <w:r>
              <w:rPr>
                <w:rFonts w:hint="eastAsia" w:ascii="宋体" w:hAnsi="宋体"/>
                <w:color w:val="000000" w:themeColor="text1"/>
                <w:szCs w:val="21"/>
                <w14:textFill>
                  <w14:solidFill>
                    <w14:schemeClr w14:val="tx1"/>
                  </w14:solidFill>
                </w14:textFill>
              </w:rPr>
              <w:t>确认赎回对价</w:t>
            </w:r>
          </w:p>
        </w:tc>
        <w:tc>
          <w:tcPr>
            <w:tcW w:w="4115" w:type="dxa"/>
            <w:vAlign w:val="center"/>
          </w:tcPr>
          <w:p>
            <w:pPr>
              <w:ind w:left="-80"/>
              <w:jc w:val="right"/>
              <w:rPr>
                <w:rFonts w:hint="default" w:ascii="Arial" w:hAnsi="Arial" w:eastAsia="宋体" w:cs="Arial"/>
                <w:b w:val="0"/>
                <w:bCs/>
                <w:color w:val="000000"/>
                <w:sz w:val="24"/>
                <w:lang w:val="en-US" w:eastAsia="zh-CN"/>
              </w:rPr>
            </w:pPr>
            <w:r>
              <w:rPr>
                <w:rFonts w:hint="eastAsia" w:ascii="Arial" w:hAnsi="Arial" w:cs="Arial"/>
                <w:b w:val="0"/>
                <w:bCs/>
                <w:color w:val="000000"/>
                <w:sz w:val="24"/>
                <w:lang w:val="en-US" w:eastAsia="zh-CN"/>
              </w:rPr>
              <w:t>127</w:t>
            </w:r>
            <w:r>
              <w:rPr>
                <w:rFonts w:hint="eastAsia" w:ascii="Arial" w:hAnsi="Arial" w:cs="Arial"/>
                <w:b w:val="0"/>
                <w:bCs/>
                <w:color w:val="000000"/>
                <w:sz w:val="24"/>
              </w:rPr>
              <w:t>,</w:t>
            </w:r>
            <w:r>
              <w:rPr>
                <w:rFonts w:hint="eastAsia" w:ascii="Arial" w:hAnsi="Arial" w:cs="Arial"/>
                <w:b w:val="0"/>
                <w:bCs/>
                <w:color w:val="000000"/>
                <w:sz w:val="24"/>
                <w:lang w:val="en-US" w:eastAsia="zh-CN"/>
              </w:rPr>
              <w:t>993.68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加：清算期间净收益</w:t>
            </w:r>
          </w:p>
        </w:tc>
        <w:tc>
          <w:tcPr>
            <w:tcW w:w="4115" w:type="dxa"/>
            <w:shd w:val="clear" w:color="auto" w:fill="auto"/>
            <w:vAlign w:val="center"/>
          </w:tcPr>
          <w:p>
            <w:pPr>
              <w:ind w:left="-80"/>
              <w:jc w:val="right"/>
              <w:rPr>
                <w:rFonts w:ascii="Arial" w:hAnsi="Arial" w:cs="Arial"/>
                <w:b w:val="0"/>
                <w:bCs/>
                <w:color w:val="000000"/>
                <w:sz w:val="24"/>
              </w:rPr>
            </w:pPr>
            <w:r>
              <w:rPr>
                <w:rFonts w:hint="eastAsia" w:ascii="Arial" w:hAnsi="Arial" w:cs="Arial"/>
                <w:b w:val="0"/>
                <w:bCs/>
                <w:color w:val="000000"/>
                <w:sz w:val="24"/>
              </w:rPr>
              <w:t>5,547.87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w:t>
            </w:r>
            <w:r>
              <w:rPr>
                <w:rFonts w:hint="eastAsia" w:ascii="宋体" w:hAnsi="宋体"/>
                <w:b/>
                <w:color w:val="000000" w:themeColor="text1"/>
                <w:szCs w:val="21"/>
                <w:lang w:eastAsia="zh-CN"/>
                <w14:textFill>
                  <w14:solidFill>
                    <w14:schemeClr w14:val="tx1"/>
                  </w14:solidFill>
                </w14:textFill>
              </w:rPr>
              <w:t>2024年9月20日</w:t>
            </w:r>
            <w:r>
              <w:rPr>
                <w:rFonts w:hint="eastAsia" w:ascii="宋体" w:hAnsi="宋体"/>
                <w:b/>
                <w:color w:val="000000" w:themeColor="text1"/>
                <w:szCs w:val="21"/>
                <w14:textFill>
                  <w14:solidFill>
                    <w14:schemeClr w14:val="tx1"/>
                  </w14:solidFill>
                </w14:textFill>
              </w:rPr>
              <w:t>基金净资产</w:t>
            </w:r>
          </w:p>
        </w:tc>
        <w:tc>
          <w:tcPr>
            <w:tcW w:w="4115" w:type="dxa"/>
            <w:vAlign w:val="center"/>
          </w:tcPr>
          <w:p>
            <w:pPr>
              <w:ind w:left="-80"/>
              <w:jc w:val="right"/>
              <w:rPr>
                <w:rFonts w:hint="eastAsia" w:ascii="Arial" w:hAnsi="Arial" w:cs="Arial"/>
                <w:b/>
                <w:bCs/>
                <w:color w:val="000000"/>
                <w:sz w:val="24"/>
                <w:lang w:val="en-US" w:eastAsia="zh-CN"/>
              </w:rPr>
            </w:pPr>
            <w:r>
              <w:rPr>
                <w:rFonts w:hint="eastAsia" w:ascii="Arial" w:hAnsi="Arial" w:cs="Arial"/>
                <w:b/>
                <w:bCs/>
                <w:color w:val="000000"/>
                <w:sz w:val="24"/>
                <w:lang w:val="en-US" w:eastAsia="zh-CN"/>
              </w:rPr>
              <w:t>9,166,529.73</w:t>
            </w:r>
          </w:p>
        </w:tc>
      </w:tr>
    </w:tbl>
    <w:p>
      <w:pPr>
        <w:pStyle w:val="24"/>
      </w:pPr>
      <w:r>
        <w:rPr>
          <w:rFonts w:hint="eastAsia"/>
        </w:rPr>
        <w:t>截至本次清算期结束日</w:t>
      </w:r>
      <w:r>
        <w:rPr>
          <w:rFonts w:hint="eastAsia"/>
          <w:lang w:eastAsia="zh-CN"/>
        </w:rPr>
        <w:t>2024年9月20日</w:t>
      </w:r>
      <w:r>
        <w:rPr>
          <w:rFonts w:hint="eastAsia"/>
        </w:rPr>
        <w:t>，本基金剩余财产为人民币</w:t>
      </w:r>
      <w:r>
        <w:rPr>
          <w:rFonts w:hint="eastAsia"/>
          <w:lang w:eastAsia="zh-CN"/>
        </w:rPr>
        <w:t>9,166,529.73</w:t>
      </w:r>
      <w:r>
        <w:rPr>
          <w:rFonts w:hint="eastAsia"/>
        </w:rPr>
        <w:t>元。自本次清算期结束日次日</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21</w:t>
      </w:r>
      <w:r>
        <w:rPr>
          <w:rFonts w:hint="eastAsia"/>
          <w:lang w:eastAsia="zh-CN"/>
        </w:rPr>
        <w:t>日</w:t>
      </w:r>
      <w:r>
        <w:rPr>
          <w:rFonts w:hint="eastAsia"/>
        </w:rPr>
        <w:t>至清算款划出前一日的收益和费用由基金份额持有人享有和承担。</w:t>
      </w:r>
    </w:p>
    <w:p>
      <w:pPr>
        <w:spacing w:line="360" w:lineRule="auto"/>
        <w:ind w:firstLine="420" w:firstLineChars="200"/>
        <w:rPr>
          <w:rFonts w:ascii="宋体" w:hAnsi="宋体"/>
          <w:szCs w:val="21"/>
        </w:rPr>
      </w:pPr>
      <w:r>
        <w:rPr>
          <w:rFonts w:hint="eastAsia" w:ascii="宋体" w:hAnsi="宋体"/>
          <w:szCs w:val="21"/>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pPr>
        <w:pStyle w:val="2"/>
        <w:keepNext/>
        <w:keepLines/>
        <w:widowControl w:val="0"/>
        <w:spacing w:before="312" w:beforeLines="100" w:after="312" w:afterLines="100" w:line="360" w:lineRule="auto"/>
        <w:jc w:val="center"/>
        <w:rPr>
          <w:rStyle w:val="20"/>
          <w:rFonts w:ascii="宋体" w:hAnsi="宋体"/>
        </w:rPr>
      </w:pPr>
      <w:bookmarkStart w:id="50" w:name="_Toc225500055"/>
      <w:bookmarkStart w:id="51" w:name="_Toc409100471"/>
      <w:bookmarkStart w:id="52" w:name="_Toc491963090"/>
      <w:bookmarkStart w:id="53" w:name="_Toc409100108"/>
      <w:bookmarkStart w:id="54" w:name="_Toc476577307"/>
      <w:bookmarkStart w:id="55" w:name="_Toc361324903"/>
      <w:bookmarkStart w:id="56" w:name="_Toc484769810"/>
      <w:r>
        <w:rPr>
          <w:rStyle w:val="20"/>
          <w:rFonts w:hint="eastAsia" w:ascii="宋体" w:hAnsi="宋体"/>
        </w:rPr>
        <w:t>6、</w:t>
      </w:r>
      <w:r>
        <w:rPr>
          <w:rStyle w:val="20"/>
          <w:rFonts w:ascii="宋体" w:hAnsi="宋体"/>
        </w:rPr>
        <w:t>备查文件目录</w:t>
      </w:r>
      <w:bookmarkEnd w:id="50"/>
      <w:bookmarkEnd w:id="51"/>
      <w:bookmarkEnd w:id="52"/>
      <w:bookmarkEnd w:id="53"/>
      <w:bookmarkEnd w:id="54"/>
      <w:bookmarkEnd w:id="55"/>
      <w:bookmarkEnd w:id="56"/>
    </w:p>
    <w:p>
      <w:pPr>
        <w:pStyle w:val="3"/>
        <w:spacing w:before="0" w:after="0"/>
        <w:rPr>
          <w:rFonts w:ascii="宋体" w:hAnsi="宋体" w:eastAsia="宋体"/>
          <w:kern w:val="0"/>
          <w:sz w:val="21"/>
          <w:szCs w:val="21"/>
        </w:rPr>
      </w:pPr>
      <w:bookmarkStart w:id="57" w:name="_Toc409100472"/>
      <w:bookmarkStart w:id="58" w:name="_Toc409100109"/>
      <w:bookmarkStart w:id="59" w:name="_Toc491963091"/>
      <w:bookmarkStart w:id="60" w:name="_Toc484607315"/>
      <w:bookmarkStart w:id="61" w:name="_Toc361324904"/>
      <w:bookmarkStart w:id="62" w:name="_Toc484769811"/>
      <w:bookmarkStart w:id="63" w:name="_Toc476577308"/>
      <w:bookmarkStart w:id="64" w:name="_Toc483396843"/>
      <w:r>
        <w:rPr>
          <w:rFonts w:hint="eastAsia" w:ascii="宋体" w:hAnsi="宋体" w:eastAsia="宋体"/>
          <w:kern w:val="0"/>
          <w:sz w:val="21"/>
          <w:szCs w:val="21"/>
        </w:rPr>
        <w:t>6</w:t>
      </w:r>
      <w:r>
        <w:rPr>
          <w:rFonts w:ascii="宋体" w:hAnsi="宋体" w:eastAsia="宋体"/>
          <w:kern w:val="0"/>
          <w:sz w:val="21"/>
          <w:szCs w:val="21"/>
        </w:rPr>
        <w:t>.1 备查文件目录</w:t>
      </w:r>
      <w:bookmarkEnd w:id="57"/>
      <w:bookmarkEnd w:id="58"/>
      <w:bookmarkEnd w:id="59"/>
      <w:bookmarkEnd w:id="60"/>
      <w:bookmarkEnd w:id="61"/>
      <w:bookmarkEnd w:id="62"/>
      <w:bookmarkEnd w:id="63"/>
      <w:bookmarkEnd w:id="64"/>
    </w:p>
    <w:p>
      <w:pPr>
        <w:spacing w:line="360" w:lineRule="auto"/>
        <w:ind w:firstLine="420" w:firstLineChars="200"/>
        <w:rPr>
          <w:rFonts w:ascii="宋体" w:hAnsi="宋体"/>
          <w:szCs w:val="21"/>
        </w:rPr>
      </w:pPr>
      <w:r>
        <w:rPr>
          <w:rFonts w:hint="eastAsia" w:ascii="宋体" w:hAnsi="宋体"/>
          <w:color w:val="000000"/>
          <w:szCs w:val="21"/>
        </w:rPr>
        <w:t>6.</w:t>
      </w:r>
      <w:r>
        <w:rPr>
          <w:rFonts w:ascii="宋体" w:hAnsi="宋体"/>
          <w:color w:val="000000"/>
          <w:szCs w:val="21"/>
        </w:rPr>
        <w:t>1.1</w:t>
      </w:r>
      <w:r>
        <w:rPr>
          <w:rFonts w:hint="eastAsia"/>
          <w:lang w:eastAsia="zh-CN"/>
        </w:rPr>
        <w:t>博时鑫荣稳健混合型证券投资基金</w:t>
      </w:r>
      <w:r>
        <w:rPr>
          <w:rFonts w:ascii="宋体" w:hAnsi="宋体"/>
          <w:color w:val="000000"/>
          <w:szCs w:val="21"/>
        </w:rPr>
        <w:t>清算财务报表及审计报告</w:t>
      </w:r>
    </w:p>
    <w:p>
      <w:pPr>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.1.2</w:t>
      </w:r>
      <w:r>
        <w:rPr>
          <w:rFonts w:hint="eastAsia" w:ascii="宋体" w:hAnsi="宋体"/>
          <w:color w:val="000000"/>
          <w:szCs w:val="21"/>
        </w:rPr>
        <w:t>上海源泰律师事务所关于</w:t>
      </w:r>
      <w:r>
        <w:rPr>
          <w:rFonts w:hint="eastAsia" w:ascii="宋体" w:hAnsi="宋体"/>
          <w:color w:val="000000"/>
          <w:szCs w:val="21"/>
          <w:lang w:eastAsia="zh-CN"/>
        </w:rPr>
        <w:t>博时鑫荣稳健混合型证券投资基金</w:t>
      </w:r>
      <w:r>
        <w:rPr>
          <w:rFonts w:hint="eastAsia" w:ascii="宋体" w:hAnsi="宋体"/>
          <w:color w:val="000000"/>
          <w:szCs w:val="21"/>
        </w:rPr>
        <w:t>清算事宜之法律意见</w:t>
      </w:r>
    </w:p>
    <w:p>
      <w:pPr>
        <w:pStyle w:val="3"/>
        <w:spacing w:before="0" w:after="0"/>
        <w:rPr>
          <w:rFonts w:ascii="宋体" w:hAnsi="宋体" w:eastAsia="宋体"/>
          <w:kern w:val="0"/>
          <w:sz w:val="21"/>
          <w:szCs w:val="21"/>
        </w:rPr>
      </w:pPr>
      <w:bookmarkStart w:id="65" w:name="_Toc491963092"/>
      <w:bookmarkStart w:id="66" w:name="_Toc409100110"/>
      <w:bookmarkStart w:id="67" w:name="_Toc361324905"/>
      <w:bookmarkStart w:id="68" w:name="_Toc484607316"/>
      <w:bookmarkStart w:id="69" w:name="_Toc476577309"/>
      <w:bookmarkStart w:id="70" w:name="_Toc409100473"/>
      <w:bookmarkStart w:id="71" w:name="_Toc484769812"/>
      <w:bookmarkStart w:id="72" w:name="_Toc483396844"/>
      <w:r>
        <w:rPr>
          <w:rFonts w:hint="eastAsia" w:ascii="宋体" w:hAnsi="宋体" w:eastAsia="宋体"/>
          <w:kern w:val="0"/>
          <w:sz w:val="21"/>
          <w:szCs w:val="21"/>
        </w:rPr>
        <w:t>6</w:t>
      </w:r>
      <w:r>
        <w:rPr>
          <w:rFonts w:ascii="宋体" w:hAnsi="宋体" w:eastAsia="宋体"/>
          <w:kern w:val="0"/>
          <w:sz w:val="21"/>
          <w:szCs w:val="21"/>
        </w:rPr>
        <w:t>.2 存放地点</w:t>
      </w:r>
      <w:bookmarkEnd w:id="65"/>
      <w:bookmarkEnd w:id="66"/>
      <w:bookmarkEnd w:id="67"/>
      <w:bookmarkEnd w:id="68"/>
      <w:bookmarkEnd w:id="69"/>
      <w:bookmarkEnd w:id="70"/>
      <w:bookmarkEnd w:id="71"/>
      <w:bookmarkEnd w:id="72"/>
    </w:p>
    <w:p>
      <w:pPr>
        <w:spacing w:line="360" w:lineRule="auto"/>
        <w:ind w:firstLine="420" w:firstLineChars="200"/>
        <w:rPr>
          <w:rFonts w:ascii="宋体" w:hAnsi="宋体"/>
          <w:color w:val="000000"/>
          <w:szCs w:val="21"/>
        </w:rPr>
      </w:pPr>
      <w:r>
        <w:rPr>
          <w:rFonts w:ascii="宋体" w:hAnsi="宋体"/>
          <w:color w:val="000000"/>
          <w:szCs w:val="21"/>
        </w:rPr>
        <w:t>基金管理人、基金托管人处</w:t>
      </w:r>
    </w:p>
    <w:p>
      <w:pPr>
        <w:pStyle w:val="3"/>
        <w:spacing w:before="0" w:after="0"/>
        <w:rPr>
          <w:rFonts w:ascii="宋体" w:hAnsi="宋体" w:eastAsia="宋体"/>
          <w:kern w:val="0"/>
          <w:sz w:val="21"/>
          <w:szCs w:val="21"/>
        </w:rPr>
      </w:pPr>
      <w:bookmarkStart w:id="73" w:name="_Toc476577310"/>
      <w:bookmarkStart w:id="74" w:name="_Toc409100474"/>
      <w:bookmarkStart w:id="75" w:name="_Toc484769813"/>
      <w:bookmarkStart w:id="76" w:name="_Toc409100111"/>
      <w:bookmarkStart w:id="77" w:name="_Toc491963093"/>
      <w:bookmarkStart w:id="78" w:name="_Toc361324906"/>
      <w:bookmarkStart w:id="79" w:name="_Toc484607317"/>
      <w:bookmarkStart w:id="80" w:name="_Toc483396845"/>
      <w:r>
        <w:rPr>
          <w:rFonts w:hint="eastAsia" w:ascii="宋体" w:hAnsi="宋体" w:eastAsia="宋体"/>
          <w:kern w:val="0"/>
          <w:sz w:val="21"/>
          <w:szCs w:val="21"/>
        </w:rPr>
        <w:t>6</w:t>
      </w:r>
      <w:r>
        <w:rPr>
          <w:rFonts w:ascii="宋体" w:hAnsi="宋体" w:eastAsia="宋体"/>
          <w:kern w:val="0"/>
          <w:sz w:val="21"/>
          <w:szCs w:val="21"/>
        </w:rPr>
        <w:t>.3 查阅方式</w:t>
      </w:r>
      <w:bookmarkEnd w:id="73"/>
      <w:bookmarkEnd w:id="74"/>
      <w:bookmarkEnd w:id="75"/>
      <w:bookmarkEnd w:id="76"/>
      <w:bookmarkEnd w:id="77"/>
      <w:bookmarkEnd w:id="78"/>
      <w:bookmarkEnd w:id="79"/>
      <w:bookmarkEnd w:id="80"/>
    </w:p>
    <w:p>
      <w:pPr>
        <w:spacing w:line="360" w:lineRule="auto"/>
        <w:ind w:firstLine="420" w:firstLineChars="200"/>
        <w:rPr>
          <w:rFonts w:ascii="宋体" w:hAnsi="宋体"/>
          <w:color w:val="000000"/>
          <w:szCs w:val="21"/>
        </w:rPr>
      </w:pPr>
      <w:r>
        <w:rPr>
          <w:rFonts w:ascii="宋体" w:hAnsi="宋体"/>
          <w:color w:val="000000"/>
          <w:szCs w:val="21"/>
        </w:rPr>
        <w:t>投资者可在营业时间免费查阅，也可按工本费购买复印件</w:t>
      </w:r>
    </w:p>
    <w:p>
      <w:pPr>
        <w:spacing w:line="360" w:lineRule="auto"/>
        <w:ind w:firstLine="420" w:firstLineChars="200"/>
        <w:rPr>
          <w:rFonts w:ascii="宋体" w:hAnsi="宋体"/>
          <w:color w:val="000000"/>
          <w:szCs w:val="21"/>
        </w:rPr>
      </w:pPr>
      <w:r>
        <w:rPr>
          <w:rFonts w:ascii="宋体" w:hAnsi="宋体"/>
          <w:color w:val="000000"/>
          <w:szCs w:val="21"/>
        </w:rPr>
        <w:t>投资者对本报告书如有疑问，可咨询本基金管理人博时基金管理有限公司</w:t>
      </w:r>
    </w:p>
    <w:p>
      <w:pPr>
        <w:spacing w:line="360" w:lineRule="auto"/>
        <w:ind w:firstLine="420" w:firstLineChars="200"/>
        <w:rPr>
          <w:rFonts w:ascii="宋体" w:hAnsi="宋体"/>
          <w:color w:val="000000"/>
          <w:szCs w:val="21"/>
        </w:rPr>
      </w:pPr>
      <w:r>
        <w:rPr>
          <w:rFonts w:ascii="宋体" w:hAnsi="宋体"/>
          <w:color w:val="000000"/>
          <w:szCs w:val="21"/>
        </w:rPr>
        <w:t>博时一线通：95105568（免长途话费）</w:t>
      </w: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left="840"/>
        <w:jc w:val="right"/>
        <w:rPr>
          <w:rFonts w:ascii="宋体" w:hAnsi="宋体"/>
          <w:bCs/>
          <w:szCs w:val="21"/>
        </w:rPr>
      </w:pPr>
      <w:r>
        <w:rPr>
          <w:rFonts w:hint="eastAsia"/>
          <w:lang w:eastAsia="zh-CN"/>
        </w:rPr>
        <w:t>博时鑫荣稳健混合型证券投资基金</w:t>
      </w:r>
      <w:r>
        <w:rPr>
          <w:rFonts w:hint="eastAsia" w:ascii="宋体" w:hAnsi="宋体"/>
          <w:bCs/>
          <w:szCs w:val="21"/>
        </w:rPr>
        <w:t>基金财产清算小组</w:t>
      </w:r>
    </w:p>
    <w:p>
      <w:pPr>
        <w:wordWrap w:val="0"/>
        <w:spacing w:line="360" w:lineRule="auto"/>
        <w:ind w:left="840" w:right="420" w:firstLine="3885" w:firstLineChars="1850"/>
        <w:jc w:val="right"/>
        <w:rPr>
          <w:rFonts w:hint="eastAsia" w:eastAsia="宋体"/>
          <w:lang w:eastAsia="zh-CN"/>
        </w:rPr>
      </w:pPr>
      <w:r>
        <w:rPr>
          <w:rFonts w:hint="eastAsia" w:ascii="宋体" w:hAnsi="宋体"/>
          <w:bCs/>
          <w:szCs w:val="21"/>
          <w:lang w:eastAsia="zh-CN"/>
        </w:rPr>
        <w:t>二〇二四年</w:t>
      </w:r>
      <w:r>
        <w:rPr>
          <w:rFonts w:hint="eastAsia" w:ascii="宋体" w:hAnsi="宋体"/>
          <w:bCs/>
          <w:szCs w:val="21"/>
          <w:lang w:val="en-US" w:eastAsia="zh-CN"/>
        </w:rPr>
        <w:t>十</w:t>
      </w:r>
      <w:r>
        <w:rPr>
          <w:rFonts w:hint="eastAsia" w:ascii="宋体" w:hAnsi="宋体"/>
          <w:bCs/>
          <w:szCs w:val="21"/>
          <w:lang w:eastAsia="zh-CN"/>
        </w:rPr>
        <w:t>月</w:t>
      </w:r>
      <w:r>
        <w:rPr>
          <w:rFonts w:hint="eastAsia" w:ascii="宋体" w:hAnsi="宋体"/>
          <w:bCs/>
          <w:szCs w:val="21"/>
          <w:lang w:val="en-US" w:eastAsia="zh-CN"/>
        </w:rPr>
        <w:t>十一</w:t>
      </w:r>
      <w:r>
        <w:rPr>
          <w:rFonts w:hint="eastAsia" w:ascii="宋体" w:hAnsi="宋体"/>
          <w:bCs/>
          <w:szCs w:val="21"/>
          <w:lang w:eastAsia="zh-CN"/>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宋体棬　僬　.">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446840"/>
    </w:sdtPr>
    <w:sdtContent>
      <w:p>
        <w:pPr>
          <w:pStyle w:val="7"/>
          <w:jc w:val="center"/>
        </w:pPr>
        <w:r>
          <w:fldChar w:fldCharType="begin"/>
        </w:r>
        <w:r>
          <w:instrText xml:space="preserve">PAGE   \* MERGEFORMAT</w:instrText>
        </w:r>
        <w:r>
          <w:fldChar w:fldCharType="separate"/>
        </w:r>
        <w:r>
          <w:rPr>
            <w:lang w:val="zh-CN"/>
          </w:rPr>
          <w:t>7</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60288"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1" name="图片 1"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2FB67"/>
    <w:multiLevelType w:val="singleLevel"/>
    <w:tmpl w:val="EEF2FB67"/>
    <w:lvl w:ilvl="0" w:tentative="0">
      <w:start w:val="1"/>
      <w:numFmt w:val="decimal"/>
      <w:suff w:val="nothing"/>
      <w:lvlText w:val="%1）"/>
      <w:lvlJc w:val="left"/>
    </w:lvl>
  </w:abstractNum>
  <w:abstractNum w:abstractNumId="1">
    <w:nsid w:val="2C12B6DB"/>
    <w:multiLevelType w:val="singleLevel"/>
    <w:tmpl w:val="2C12B6D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6A"/>
    <w:rsid w:val="0000095F"/>
    <w:rsid w:val="00002E59"/>
    <w:rsid w:val="000137FB"/>
    <w:rsid w:val="00046922"/>
    <w:rsid w:val="0004747A"/>
    <w:rsid w:val="00047E84"/>
    <w:rsid w:val="00050AB3"/>
    <w:rsid w:val="00051D70"/>
    <w:rsid w:val="000539E5"/>
    <w:rsid w:val="00066462"/>
    <w:rsid w:val="000843E5"/>
    <w:rsid w:val="00090702"/>
    <w:rsid w:val="0009708C"/>
    <w:rsid w:val="000A67AD"/>
    <w:rsid w:val="000C1A89"/>
    <w:rsid w:val="000C581F"/>
    <w:rsid w:val="000D0010"/>
    <w:rsid w:val="000D2477"/>
    <w:rsid w:val="000E06DB"/>
    <w:rsid w:val="000E7AF8"/>
    <w:rsid w:val="000F0DB6"/>
    <w:rsid w:val="000F2AF4"/>
    <w:rsid w:val="000F38A7"/>
    <w:rsid w:val="00106078"/>
    <w:rsid w:val="00107B92"/>
    <w:rsid w:val="001102C9"/>
    <w:rsid w:val="00114B50"/>
    <w:rsid w:val="0012239E"/>
    <w:rsid w:val="00125BA9"/>
    <w:rsid w:val="001344F0"/>
    <w:rsid w:val="001461B5"/>
    <w:rsid w:val="001469B6"/>
    <w:rsid w:val="00155FBE"/>
    <w:rsid w:val="00167779"/>
    <w:rsid w:val="0017203A"/>
    <w:rsid w:val="001837B1"/>
    <w:rsid w:val="00192433"/>
    <w:rsid w:val="001943DA"/>
    <w:rsid w:val="001A25D5"/>
    <w:rsid w:val="001A6186"/>
    <w:rsid w:val="001A64D9"/>
    <w:rsid w:val="001A7F35"/>
    <w:rsid w:val="001B142B"/>
    <w:rsid w:val="001B307F"/>
    <w:rsid w:val="001B6418"/>
    <w:rsid w:val="001C3A12"/>
    <w:rsid w:val="001C4149"/>
    <w:rsid w:val="001C5110"/>
    <w:rsid w:val="001C5F1E"/>
    <w:rsid w:val="001C66F4"/>
    <w:rsid w:val="001E1155"/>
    <w:rsid w:val="001E7569"/>
    <w:rsid w:val="001F5482"/>
    <w:rsid w:val="0020164A"/>
    <w:rsid w:val="002025EA"/>
    <w:rsid w:val="002055DE"/>
    <w:rsid w:val="00214EB4"/>
    <w:rsid w:val="00234000"/>
    <w:rsid w:val="0023623C"/>
    <w:rsid w:val="0025064B"/>
    <w:rsid w:val="00256EF7"/>
    <w:rsid w:val="002653B2"/>
    <w:rsid w:val="00265EEB"/>
    <w:rsid w:val="002661A0"/>
    <w:rsid w:val="00270F6F"/>
    <w:rsid w:val="0027500E"/>
    <w:rsid w:val="002873D1"/>
    <w:rsid w:val="00293C58"/>
    <w:rsid w:val="002A1D5C"/>
    <w:rsid w:val="002B081E"/>
    <w:rsid w:val="002B3940"/>
    <w:rsid w:val="002B3A7F"/>
    <w:rsid w:val="002B64F0"/>
    <w:rsid w:val="002C206A"/>
    <w:rsid w:val="002C4039"/>
    <w:rsid w:val="002C59B8"/>
    <w:rsid w:val="002D012A"/>
    <w:rsid w:val="002D04D0"/>
    <w:rsid w:val="002D2D31"/>
    <w:rsid w:val="002E63F9"/>
    <w:rsid w:val="002F02F0"/>
    <w:rsid w:val="00300434"/>
    <w:rsid w:val="00301833"/>
    <w:rsid w:val="003018B1"/>
    <w:rsid w:val="00301ED8"/>
    <w:rsid w:val="00302213"/>
    <w:rsid w:val="003027CE"/>
    <w:rsid w:val="00302C6F"/>
    <w:rsid w:val="0031782A"/>
    <w:rsid w:val="0033087F"/>
    <w:rsid w:val="0033114F"/>
    <w:rsid w:val="00352159"/>
    <w:rsid w:val="00352E52"/>
    <w:rsid w:val="0035409D"/>
    <w:rsid w:val="00355AF9"/>
    <w:rsid w:val="00355DCE"/>
    <w:rsid w:val="003835CB"/>
    <w:rsid w:val="00385C7D"/>
    <w:rsid w:val="00386448"/>
    <w:rsid w:val="00394BF4"/>
    <w:rsid w:val="003A1F80"/>
    <w:rsid w:val="003A6373"/>
    <w:rsid w:val="003B1FF9"/>
    <w:rsid w:val="003C5425"/>
    <w:rsid w:val="003C62D7"/>
    <w:rsid w:val="003E2B75"/>
    <w:rsid w:val="003E4B0D"/>
    <w:rsid w:val="003E5A9A"/>
    <w:rsid w:val="004043E4"/>
    <w:rsid w:val="0040561C"/>
    <w:rsid w:val="00417206"/>
    <w:rsid w:val="00434B13"/>
    <w:rsid w:val="004361C8"/>
    <w:rsid w:val="00436D7F"/>
    <w:rsid w:val="0043770C"/>
    <w:rsid w:val="00440D43"/>
    <w:rsid w:val="0044360C"/>
    <w:rsid w:val="0044397B"/>
    <w:rsid w:val="004454E6"/>
    <w:rsid w:val="00453128"/>
    <w:rsid w:val="00455ED0"/>
    <w:rsid w:val="00456810"/>
    <w:rsid w:val="004850AB"/>
    <w:rsid w:val="00492EFF"/>
    <w:rsid w:val="00497D10"/>
    <w:rsid w:val="004A1313"/>
    <w:rsid w:val="004A4000"/>
    <w:rsid w:val="004A4328"/>
    <w:rsid w:val="004C29F5"/>
    <w:rsid w:val="004C5243"/>
    <w:rsid w:val="004D6178"/>
    <w:rsid w:val="004D72DD"/>
    <w:rsid w:val="004E0519"/>
    <w:rsid w:val="004F7FB1"/>
    <w:rsid w:val="00502816"/>
    <w:rsid w:val="00506722"/>
    <w:rsid w:val="00516AB2"/>
    <w:rsid w:val="00521F84"/>
    <w:rsid w:val="00523B76"/>
    <w:rsid w:val="00534804"/>
    <w:rsid w:val="005454AF"/>
    <w:rsid w:val="00553DD3"/>
    <w:rsid w:val="00564FC0"/>
    <w:rsid w:val="005660DC"/>
    <w:rsid w:val="005666E0"/>
    <w:rsid w:val="00570EEB"/>
    <w:rsid w:val="00573CCA"/>
    <w:rsid w:val="00586C11"/>
    <w:rsid w:val="00587EB1"/>
    <w:rsid w:val="00591E34"/>
    <w:rsid w:val="005A5F19"/>
    <w:rsid w:val="005B00B8"/>
    <w:rsid w:val="005B1DA8"/>
    <w:rsid w:val="005B3525"/>
    <w:rsid w:val="005B7865"/>
    <w:rsid w:val="005B7910"/>
    <w:rsid w:val="005C2636"/>
    <w:rsid w:val="005D0017"/>
    <w:rsid w:val="005D2BBF"/>
    <w:rsid w:val="005D3C26"/>
    <w:rsid w:val="005E066D"/>
    <w:rsid w:val="005E18FD"/>
    <w:rsid w:val="005E5097"/>
    <w:rsid w:val="005F07CE"/>
    <w:rsid w:val="00602945"/>
    <w:rsid w:val="00612741"/>
    <w:rsid w:val="00633374"/>
    <w:rsid w:val="0063424C"/>
    <w:rsid w:val="00635B20"/>
    <w:rsid w:val="00636096"/>
    <w:rsid w:val="00640A36"/>
    <w:rsid w:val="006458AE"/>
    <w:rsid w:val="00652E32"/>
    <w:rsid w:val="006560FD"/>
    <w:rsid w:val="00656396"/>
    <w:rsid w:val="00661C81"/>
    <w:rsid w:val="00662751"/>
    <w:rsid w:val="006631AD"/>
    <w:rsid w:val="00665EC2"/>
    <w:rsid w:val="00677478"/>
    <w:rsid w:val="00680A32"/>
    <w:rsid w:val="0068199C"/>
    <w:rsid w:val="006845C6"/>
    <w:rsid w:val="0069179C"/>
    <w:rsid w:val="00695712"/>
    <w:rsid w:val="006A0CA9"/>
    <w:rsid w:val="006A3832"/>
    <w:rsid w:val="006A3E46"/>
    <w:rsid w:val="006C0166"/>
    <w:rsid w:val="006C1070"/>
    <w:rsid w:val="006C1BF7"/>
    <w:rsid w:val="006C4287"/>
    <w:rsid w:val="006C4780"/>
    <w:rsid w:val="006D14C9"/>
    <w:rsid w:val="006D3ABB"/>
    <w:rsid w:val="006D76DC"/>
    <w:rsid w:val="006E1D19"/>
    <w:rsid w:val="006E6E99"/>
    <w:rsid w:val="006F57A7"/>
    <w:rsid w:val="006F661D"/>
    <w:rsid w:val="006F6EDE"/>
    <w:rsid w:val="007047E3"/>
    <w:rsid w:val="00711C49"/>
    <w:rsid w:val="00711DC1"/>
    <w:rsid w:val="00714FE5"/>
    <w:rsid w:val="00716C2D"/>
    <w:rsid w:val="007249F8"/>
    <w:rsid w:val="007302D4"/>
    <w:rsid w:val="00733FD6"/>
    <w:rsid w:val="00753286"/>
    <w:rsid w:val="007654B6"/>
    <w:rsid w:val="00765C51"/>
    <w:rsid w:val="00772D62"/>
    <w:rsid w:val="00772F4C"/>
    <w:rsid w:val="00784118"/>
    <w:rsid w:val="007A111F"/>
    <w:rsid w:val="007A1382"/>
    <w:rsid w:val="007A40C3"/>
    <w:rsid w:val="007A4276"/>
    <w:rsid w:val="007C073F"/>
    <w:rsid w:val="007C1E66"/>
    <w:rsid w:val="007C224B"/>
    <w:rsid w:val="007C390F"/>
    <w:rsid w:val="007C7E15"/>
    <w:rsid w:val="007D01A7"/>
    <w:rsid w:val="007D2C21"/>
    <w:rsid w:val="007D368E"/>
    <w:rsid w:val="007D4AE3"/>
    <w:rsid w:val="00800E5D"/>
    <w:rsid w:val="00801C52"/>
    <w:rsid w:val="008061B0"/>
    <w:rsid w:val="00811844"/>
    <w:rsid w:val="00815886"/>
    <w:rsid w:val="00815FC5"/>
    <w:rsid w:val="00831568"/>
    <w:rsid w:val="0083288E"/>
    <w:rsid w:val="00834CE7"/>
    <w:rsid w:val="00834E30"/>
    <w:rsid w:val="00845FBE"/>
    <w:rsid w:val="00846CD0"/>
    <w:rsid w:val="00862C4E"/>
    <w:rsid w:val="00872860"/>
    <w:rsid w:val="00873ADD"/>
    <w:rsid w:val="00876515"/>
    <w:rsid w:val="00881D41"/>
    <w:rsid w:val="008900EC"/>
    <w:rsid w:val="00893D5F"/>
    <w:rsid w:val="00895AEC"/>
    <w:rsid w:val="008A2534"/>
    <w:rsid w:val="008A2AC1"/>
    <w:rsid w:val="008A2CED"/>
    <w:rsid w:val="008A3541"/>
    <w:rsid w:val="008A37AA"/>
    <w:rsid w:val="008A3F14"/>
    <w:rsid w:val="008B2371"/>
    <w:rsid w:val="008B50E8"/>
    <w:rsid w:val="008B712C"/>
    <w:rsid w:val="008D28CA"/>
    <w:rsid w:val="008E72AB"/>
    <w:rsid w:val="008E7843"/>
    <w:rsid w:val="008F313A"/>
    <w:rsid w:val="008F4C4A"/>
    <w:rsid w:val="00912B1F"/>
    <w:rsid w:val="0091569A"/>
    <w:rsid w:val="009164BB"/>
    <w:rsid w:val="00916F0F"/>
    <w:rsid w:val="00924654"/>
    <w:rsid w:val="00925214"/>
    <w:rsid w:val="00933482"/>
    <w:rsid w:val="00933D33"/>
    <w:rsid w:val="00943B2B"/>
    <w:rsid w:val="00944AC0"/>
    <w:rsid w:val="009565F7"/>
    <w:rsid w:val="00971989"/>
    <w:rsid w:val="00980526"/>
    <w:rsid w:val="00981824"/>
    <w:rsid w:val="009837FE"/>
    <w:rsid w:val="00987D82"/>
    <w:rsid w:val="00993E2D"/>
    <w:rsid w:val="0099607C"/>
    <w:rsid w:val="00997E04"/>
    <w:rsid w:val="009A237A"/>
    <w:rsid w:val="009A2FA6"/>
    <w:rsid w:val="009A499E"/>
    <w:rsid w:val="009B6EC1"/>
    <w:rsid w:val="009D2820"/>
    <w:rsid w:val="009D2D6F"/>
    <w:rsid w:val="009D4DD9"/>
    <w:rsid w:val="009D5A9F"/>
    <w:rsid w:val="009E6708"/>
    <w:rsid w:val="009E6B28"/>
    <w:rsid w:val="009F2C95"/>
    <w:rsid w:val="009F6E54"/>
    <w:rsid w:val="00A01676"/>
    <w:rsid w:val="00A10A3B"/>
    <w:rsid w:val="00A10D1C"/>
    <w:rsid w:val="00A1145E"/>
    <w:rsid w:val="00A13B45"/>
    <w:rsid w:val="00A14A60"/>
    <w:rsid w:val="00A206FC"/>
    <w:rsid w:val="00A23D46"/>
    <w:rsid w:val="00A41815"/>
    <w:rsid w:val="00A42F5D"/>
    <w:rsid w:val="00A44F0D"/>
    <w:rsid w:val="00A46614"/>
    <w:rsid w:val="00A466EF"/>
    <w:rsid w:val="00A50F44"/>
    <w:rsid w:val="00A53B22"/>
    <w:rsid w:val="00A5445B"/>
    <w:rsid w:val="00A61272"/>
    <w:rsid w:val="00A7090F"/>
    <w:rsid w:val="00A716AE"/>
    <w:rsid w:val="00A728B4"/>
    <w:rsid w:val="00A738AB"/>
    <w:rsid w:val="00A74683"/>
    <w:rsid w:val="00A7603B"/>
    <w:rsid w:val="00A80DC2"/>
    <w:rsid w:val="00A83207"/>
    <w:rsid w:val="00A85B96"/>
    <w:rsid w:val="00A862A8"/>
    <w:rsid w:val="00A91EE9"/>
    <w:rsid w:val="00A92C7B"/>
    <w:rsid w:val="00A93929"/>
    <w:rsid w:val="00A96447"/>
    <w:rsid w:val="00AA2704"/>
    <w:rsid w:val="00AA33F7"/>
    <w:rsid w:val="00AA39EC"/>
    <w:rsid w:val="00AA6506"/>
    <w:rsid w:val="00AA6C39"/>
    <w:rsid w:val="00AB4223"/>
    <w:rsid w:val="00AB579F"/>
    <w:rsid w:val="00AC75BE"/>
    <w:rsid w:val="00AD127D"/>
    <w:rsid w:val="00AD1682"/>
    <w:rsid w:val="00AE14B8"/>
    <w:rsid w:val="00AE43CE"/>
    <w:rsid w:val="00AE5F6A"/>
    <w:rsid w:val="00AE7A23"/>
    <w:rsid w:val="00AF06A4"/>
    <w:rsid w:val="00B01D1F"/>
    <w:rsid w:val="00B01E39"/>
    <w:rsid w:val="00B02DAE"/>
    <w:rsid w:val="00B04DF8"/>
    <w:rsid w:val="00B062E1"/>
    <w:rsid w:val="00B12304"/>
    <w:rsid w:val="00B12398"/>
    <w:rsid w:val="00B16F0F"/>
    <w:rsid w:val="00B233AC"/>
    <w:rsid w:val="00B23421"/>
    <w:rsid w:val="00B262DD"/>
    <w:rsid w:val="00B326DE"/>
    <w:rsid w:val="00B339F1"/>
    <w:rsid w:val="00B43A95"/>
    <w:rsid w:val="00B47AF7"/>
    <w:rsid w:val="00B52FB8"/>
    <w:rsid w:val="00B63FC4"/>
    <w:rsid w:val="00B65F7A"/>
    <w:rsid w:val="00B76BFB"/>
    <w:rsid w:val="00B92205"/>
    <w:rsid w:val="00BB4559"/>
    <w:rsid w:val="00BB63F5"/>
    <w:rsid w:val="00BB738A"/>
    <w:rsid w:val="00BD1E5B"/>
    <w:rsid w:val="00BD3551"/>
    <w:rsid w:val="00BD659F"/>
    <w:rsid w:val="00BE252F"/>
    <w:rsid w:val="00BE3F6E"/>
    <w:rsid w:val="00BE4A70"/>
    <w:rsid w:val="00BE63B2"/>
    <w:rsid w:val="00BF1AD8"/>
    <w:rsid w:val="00BF5EF2"/>
    <w:rsid w:val="00BF72CC"/>
    <w:rsid w:val="00C04232"/>
    <w:rsid w:val="00C04BC2"/>
    <w:rsid w:val="00C11810"/>
    <w:rsid w:val="00C129EC"/>
    <w:rsid w:val="00C135C6"/>
    <w:rsid w:val="00C14A9A"/>
    <w:rsid w:val="00C16E1D"/>
    <w:rsid w:val="00C210B3"/>
    <w:rsid w:val="00C34DAD"/>
    <w:rsid w:val="00C403BF"/>
    <w:rsid w:val="00C4132F"/>
    <w:rsid w:val="00C435E3"/>
    <w:rsid w:val="00C525B7"/>
    <w:rsid w:val="00C53E41"/>
    <w:rsid w:val="00C53EB7"/>
    <w:rsid w:val="00C54720"/>
    <w:rsid w:val="00C63121"/>
    <w:rsid w:val="00C645B3"/>
    <w:rsid w:val="00C70690"/>
    <w:rsid w:val="00C80BA7"/>
    <w:rsid w:val="00C80C26"/>
    <w:rsid w:val="00C81D4D"/>
    <w:rsid w:val="00C8237F"/>
    <w:rsid w:val="00C8253B"/>
    <w:rsid w:val="00C94884"/>
    <w:rsid w:val="00CA06AD"/>
    <w:rsid w:val="00CA1F33"/>
    <w:rsid w:val="00CA5C95"/>
    <w:rsid w:val="00CA6D80"/>
    <w:rsid w:val="00CC654C"/>
    <w:rsid w:val="00CC6E89"/>
    <w:rsid w:val="00CD5F8A"/>
    <w:rsid w:val="00CD7E4B"/>
    <w:rsid w:val="00CE52AA"/>
    <w:rsid w:val="00CE593E"/>
    <w:rsid w:val="00CE79D7"/>
    <w:rsid w:val="00CF22FE"/>
    <w:rsid w:val="00D00B39"/>
    <w:rsid w:val="00D03B3C"/>
    <w:rsid w:val="00D05B80"/>
    <w:rsid w:val="00D14280"/>
    <w:rsid w:val="00D2112B"/>
    <w:rsid w:val="00D2538B"/>
    <w:rsid w:val="00D271CC"/>
    <w:rsid w:val="00D454FE"/>
    <w:rsid w:val="00D54D70"/>
    <w:rsid w:val="00D55E3E"/>
    <w:rsid w:val="00D634A0"/>
    <w:rsid w:val="00D77529"/>
    <w:rsid w:val="00D87A90"/>
    <w:rsid w:val="00D908BA"/>
    <w:rsid w:val="00D9606B"/>
    <w:rsid w:val="00DA44CC"/>
    <w:rsid w:val="00DA69B2"/>
    <w:rsid w:val="00DA6F9B"/>
    <w:rsid w:val="00DB3DDE"/>
    <w:rsid w:val="00DB41A3"/>
    <w:rsid w:val="00DD0701"/>
    <w:rsid w:val="00DD2101"/>
    <w:rsid w:val="00DE27CD"/>
    <w:rsid w:val="00DF0830"/>
    <w:rsid w:val="00DF0A36"/>
    <w:rsid w:val="00DF286B"/>
    <w:rsid w:val="00E036D0"/>
    <w:rsid w:val="00E03B99"/>
    <w:rsid w:val="00E04E1A"/>
    <w:rsid w:val="00E120A8"/>
    <w:rsid w:val="00E15DD1"/>
    <w:rsid w:val="00E21B3B"/>
    <w:rsid w:val="00E32073"/>
    <w:rsid w:val="00E3710A"/>
    <w:rsid w:val="00E40C23"/>
    <w:rsid w:val="00E42A7D"/>
    <w:rsid w:val="00E444C3"/>
    <w:rsid w:val="00E457A2"/>
    <w:rsid w:val="00E6420A"/>
    <w:rsid w:val="00E6428E"/>
    <w:rsid w:val="00E667C5"/>
    <w:rsid w:val="00E7448F"/>
    <w:rsid w:val="00E83CB9"/>
    <w:rsid w:val="00E85B5E"/>
    <w:rsid w:val="00E875CB"/>
    <w:rsid w:val="00E91065"/>
    <w:rsid w:val="00E91443"/>
    <w:rsid w:val="00E94390"/>
    <w:rsid w:val="00EA308B"/>
    <w:rsid w:val="00EB17F4"/>
    <w:rsid w:val="00F00548"/>
    <w:rsid w:val="00F01202"/>
    <w:rsid w:val="00F03A4C"/>
    <w:rsid w:val="00F12507"/>
    <w:rsid w:val="00F17F4A"/>
    <w:rsid w:val="00F25510"/>
    <w:rsid w:val="00F26433"/>
    <w:rsid w:val="00F31C2E"/>
    <w:rsid w:val="00F349E5"/>
    <w:rsid w:val="00F374DD"/>
    <w:rsid w:val="00F4536A"/>
    <w:rsid w:val="00F45604"/>
    <w:rsid w:val="00F52468"/>
    <w:rsid w:val="00F52622"/>
    <w:rsid w:val="00F869AE"/>
    <w:rsid w:val="00F94A1D"/>
    <w:rsid w:val="00FA203B"/>
    <w:rsid w:val="00FB4D56"/>
    <w:rsid w:val="00FB67B2"/>
    <w:rsid w:val="00FB68D0"/>
    <w:rsid w:val="00FC2B87"/>
    <w:rsid w:val="00FC4865"/>
    <w:rsid w:val="00FC7F9D"/>
    <w:rsid w:val="00FD4D5C"/>
    <w:rsid w:val="00FE3491"/>
    <w:rsid w:val="00FE7CDD"/>
    <w:rsid w:val="00FF0230"/>
    <w:rsid w:val="00FF0869"/>
    <w:rsid w:val="00FF26D8"/>
    <w:rsid w:val="02C2580D"/>
    <w:rsid w:val="047977D2"/>
    <w:rsid w:val="04F7265D"/>
    <w:rsid w:val="07943078"/>
    <w:rsid w:val="091D63A4"/>
    <w:rsid w:val="10831DE4"/>
    <w:rsid w:val="11EB6B32"/>
    <w:rsid w:val="14415712"/>
    <w:rsid w:val="158E6813"/>
    <w:rsid w:val="16901E23"/>
    <w:rsid w:val="17175C7D"/>
    <w:rsid w:val="1B5155A7"/>
    <w:rsid w:val="1F4464BA"/>
    <w:rsid w:val="1FAB1BAE"/>
    <w:rsid w:val="2119399E"/>
    <w:rsid w:val="222B67FB"/>
    <w:rsid w:val="233E198A"/>
    <w:rsid w:val="24243D2C"/>
    <w:rsid w:val="28EC4ADA"/>
    <w:rsid w:val="29354138"/>
    <w:rsid w:val="293A0B24"/>
    <w:rsid w:val="392917AD"/>
    <w:rsid w:val="3D895C3C"/>
    <w:rsid w:val="3DD178DA"/>
    <w:rsid w:val="437D2DDC"/>
    <w:rsid w:val="4420353A"/>
    <w:rsid w:val="44C46B55"/>
    <w:rsid w:val="45EA6F84"/>
    <w:rsid w:val="46822BBE"/>
    <w:rsid w:val="484C0891"/>
    <w:rsid w:val="49B94DCD"/>
    <w:rsid w:val="4A23051B"/>
    <w:rsid w:val="4D2475F0"/>
    <w:rsid w:val="50E330E0"/>
    <w:rsid w:val="53977593"/>
    <w:rsid w:val="576B462D"/>
    <w:rsid w:val="5AE17211"/>
    <w:rsid w:val="5C223D79"/>
    <w:rsid w:val="5D3149F4"/>
    <w:rsid w:val="600B5F71"/>
    <w:rsid w:val="64007709"/>
    <w:rsid w:val="68BB3951"/>
    <w:rsid w:val="6A6212EC"/>
    <w:rsid w:val="739B121C"/>
    <w:rsid w:val="752944B8"/>
    <w:rsid w:val="762D0F23"/>
    <w:rsid w:val="774E2707"/>
    <w:rsid w:val="78771F04"/>
    <w:rsid w:val="7C975D90"/>
    <w:rsid w:val="7D847ACA"/>
    <w:rsid w:val="7DF927CC"/>
    <w:rsid w:val="7EE9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widowControl/>
      <w:jc w:val="left"/>
      <w:outlineLvl w:val="0"/>
    </w:pPr>
    <w:rPr>
      <w:kern w:val="0"/>
      <w:sz w:val="24"/>
      <w:szCs w:val="20"/>
      <w:lang w:val="en-GB"/>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Indent 2"/>
    <w:basedOn w:val="1"/>
    <w:link w:val="27"/>
    <w:qFormat/>
    <w:uiPriority w:val="0"/>
    <w:pPr>
      <w:spacing w:line="560" w:lineRule="exact"/>
      <w:ind w:firstLine="480" w:firstLineChars="200"/>
    </w:pPr>
    <w:rPr>
      <w:rFonts w:ascii="宋体" w:hAnsi="宋体"/>
      <w:color w:val="FF0000"/>
      <w:sz w:val="24"/>
    </w:rPr>
  </w:style>
  <w:style w:type="paragraph" w:styleId="6">
    <w:name w:val="Balloon Text"/>
    <w:basedOn w:val="1"/>
    <w:link w:val="3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lang w:val="en-GB" w:eastAsia="en-US"/>
    </w:rPr>
  </w:style>
  <w:style w:type="paragraph" w:styleId="12">
    <w:name w:val="annotation subject"/>
    <w:basedOn w:val="4"/>
    <w:next w:val="4"/>
    <w:link w:val="30"/>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8"/>
    <w:qFormat/>
    <w:uiPriority w:val="0"/>
    <w:rPr>
      <w:sz w:val="18"/>
      <w:szCs w:val="18"/>
    </w:rPr>
  </w:style>
  <w:style w:type="character" w:customStyle="1" w:styleId="18">
    <w:name w:val="页脚 Char"/>
    <w:basedOn w:val="14"/>
    <w:link w:val="7"/>
    <w:qFormat/>
    <w:uiPriority w:val="99"/>
    <w:rPr>
      <w:sz w:val="18"/>
      <w:szCs w:val="18"/>
    </w:rPr>
  </w:style>
  <w:style w:type="character" w:customStyle="1" w:styleId="19">
    <w:name w:val="标题 1 Char"/>
    <w:basedOn w:val="14"/>
    <w:link w:val="2"/>
    <w:qFormat/>
    <w:uiPriority w:val="99"/>
    <w:rPr>
      <w:rFonts w:ascii="Times New Roman" w:hAnsi="Times New Roman" w:eastAsia="宋体" w:cs="Times New Roman"/>
      <w:kern w:val="0"/>
      <w:sz w:val="24"/>
      <w:szCs w:val="20"/>
      <w:lang w:val="en-GB"/>
    </w:rPr>
  </w:style>
  <w:style w:type="character" w:customStyle="1" w:styleId="20">
    <w:name w:val="标题 2 Char Char Char"/>
    <w:qFormat/>
    <w:uiPriority w:val="0"/>
    <w:rPr>
      <w:rFonts w:ascii="Arial" w:hAnsi="Arial" w:eastAsia="宋体"/>
      <w:b/>
      <w:kern w:val="2"/>
      <w:sz w:val="28"/>
      <w:szCs w:val="28"/>
      <w:lang w:val="en-US" w:eastAsia="zh-CN" w:bidi="ar-SA"/>
    </w:rPr>
  </w:style>
  <w:style w:type="character" w:customStyle="1" w:styleId="21">
    <w:name w:val="标题 2 Char"/>
    <w:basedOn w:val="14"/>
    <w:link w:val="3"/>
    <w:semiHidden/>
    <w:qFormat/>
    <w:uiPriority w:val="9"/>
    <w:rPr>
      <w:rFonts w:asciiTheme="majorHAnsi" w:hAnsiTheme="majorHAnsi" w:eastAsiaTheme="majorEastAsia" w:cstheme="majorBidi"/>
      <w:b/>
      <w:bCs/>
      <w:sz w:val="32"/>
      <w:szCs w:val="32"/>
    </w:rPr>
  </w:style>
  <w:style w:type="paragraph" w:customStyle="1" w:styleId="22">
    <w:name w:val="2级"/>
    <w:basedOn w:val="1"/>
    <w:link w:val="23"/>
    <w:qFormat/>
    <w:uiPriority w:val="0"/>
    <w:pPr>
      <w:keepNext/>
      <w:keepLines/>
      <w:widowControl/>
      <w:spacing w:before="260" w:after="260"/>
      <w:jc w:val="left"/>
      <w:outlineLvl w:val="1"/>
    </w:pPr>
    <w:rPr>
      <w:rFonts w:asciiTheme="minorEastAsia" w:hAnsiTheme="minorEastAsia" w:cstheme="minorBidi"/>
      <w:b/>
      <w:bCs/>
      <w:sz w:val="24"/>
    </w:rPr>
  </w:style>
  <w:style w:type="character" w:customStyle="1" w:styleId="23">
    <w:name w:val="2级 Char"/>
    <w:basedOn w:val="14"/>
    <w:link w:val="22"/>
    <w:qFormat/>
    <w:uiPriority w:val="0"/>
    <w:rPr>
      <w:rFonts w:eastAsia="宋体" w:asciiTheme="minorEastAsia" w:hAnsiTheme="minorEastAsia"/>
      <w:b/>
      <w:bCs/>
      <w:sz w:val="24"/>
      <w:szCs w:val="24"/>
    </w:rPr>
  </w:style>
  <w:style w:type="paragraph" w:customStyle="1" w:styleId="24">
    <w:name w:val="正文XB"/>
    <w:basedOn w:val="1"/>
    <w:link w:val="25"/>
    <w:qFormat/>
    <w:uiPriority w:val="0"/>
    <w:pPr>
      <w:spacing w:line="360" w:lineRule="auto"/>
      <w:ind w:firstLine="420" w:firstLineChars="200"/>
    </w:pPr>
    <w:rPr>
      <w:rFonts w:ascii="宋体" w:hAnsi="宋体"/>
      <w:color w:val="000000"/>
      <w:szCs w:val="21"/>
    </w:rPr>
  </w:style>
  <w:style w:type="character" w:customStyle="1" w:styleId="25">
    <w:name w:val="正文XB Char"/>
    <w:basedOn w:val="14"/>
    <w:link w:val="24"/>
    <w:qFormat/>
    <w:uiPriority w:val="0"/>
    <w:rPr>
      <w:rFonts w:ascii="宋体" w:hAnsi="宋体" w:eastAsia="宋体" w:cs="Times New Roman"/>
      <w:color w:val="000000"/>
      <w:szCs w:val="21"/>
    </w:rPr>
  </w:style>
  <w:style w:type="paragraph" w:styleId="26">
    <w:name w:val="List Paragraph"/>
    <w:basedOn w:val="1"/>
    <w:unhideWhenUsed/>
    <w:qFormat/>
    <w:uiPriority w:val="99"/>
    <w:pPr>
      <w:ind w:firstLine="420" w:firstLineChars="200"/>
    </w:pPr>
  </w:style>
  <w:style w:type="character" w:customStyle="1" w:styleId="27">
    <w:name w:val="正文文本缩进 2 Char"/>
    <w:basedOn w:val="14"/>
    <w:link w:val="5"/>
    <w:qFormat/>
    <w:uiPriority w:val="0"/>
    <w:rPr>
      <w:rFonts w:ascii="宋体" w:hAnsi="宋体" w:eastAsia="宋体" w:cs="Times New Roman"/>
      <w:color w:val="FF0000"/>
      <w:sz w:val="24"/>
      <w:szCs w:val="24"/>
    </w:rPr>
  </w:style>
  <w:style w:type="paragraph" w:customStyle="1" w:styleId="28">
    <w:name w:val="Default"/>
    <w:qFormat/>
    <w:uiPriority w:val="0"/>
    <w:pPr>
      <w:widowControl w:val="0"/>
      <w:autoSpaceDE w:val="0"/>
      <w:autoSpaceDN w:val="0"/>
      <w:adjustRightInd w:val="0"/>
    </w:pPr>
    <w:rPr>
      <w:rFonts w:ascii="宋体棬　僬　." w:eastAsia="宋体棬　僬　." w:cs="宋体棬　僬　." w:hAnsiTheme="minorHAnsi"/>
      <w:color w:val="000000"/>
      <w:sz w:val="24"/>
      <w:szCs w:val="24"/>
      <w:lang w:val="en-US" w:eastAsia="zh-CN" w:bidi="ar-SA"/>
    </w:rPr>
  </w:style>
  <w:style w:type="character" w:customStyle="1" w:styleId="29">
    <w:name w:val="批注文字 Char"/>
    <w:basedOn w:val="14"/>
    <w:link w:val="4"/>
    <w:semiHidden/>
    <w:qFormat/>
    <w:uiPriority w:val="99"/>
    <w:rPr>
      <w:rFonts w:ascii="Times New Roman" w:hAnsi="Times New Roman" w:eastAsia="宋体" w:cs="Times New Roman"/>
      <w:szCs w:val="24"/>
    </w:rPr>
  </w:style>
  <w:style w:type="character" w:customStyle="1" w:styleId="30">
    <w:name w:val="批注主题 Char"/>
    <w:basedOn w:val="29"/>
    <w:link w:val="12"/>
    <w:semiHidden/>
    <w:qFormat/>
    <w:uiPriority w:val="99"/>
    <w:rPr>
      <w:rFonts w:ascii="Times New Roman" w:hAnsi="Times New Roman" w:eastAsia="宋体" w:cs="Times New Roman"/>
      <w:b/>
      <w:bCs/>
      <w:szCs w:val="24"/>
    </w:rPr>
  </w:style>
  <w:style w:type="character" w:customStyle="1" w:styleId="31">
    <w:name w:val="批注框文本 Char"/>
    <w:basedOn w:val="14"/>
    <w:link w:val="6"/>
    <w:semiHidden/>
    <w:qFormat/>
    <w:uiPriority w:val="99"/>
    <w:rPr>
      <w:rFonts w:ascii="Times New Roman" w:hAnsi="Times New Roman" w:eastAsia="宋体" w:cs="Times New Roman"/>
      <w:sz w:val="18"/>
      <w:szCs w:val="18"/>
    </w:rPr>
  </w:style>
  <w:style w:type="paragraph" w:customStyle="1" w:styleId="32">
    <w:name w:val="TOC 标题1"/>
    <w:basedOn w:val="2"/>
    <w:next w:val="1"/>
    <w:semiHidden/>
    <w:unhideWhenUsed/>
    <w:qFormat/>
    <w:uiPriority w:val="39"/>
    <w:pPr>
      <w:keepNext/>
      <w:keepLines/>
      <w:spacing w:before="480" w:line="276" w:lineRule="auto"/>
      <w:outlineLvl w:val="9"/>
    </w:pPr>
    <w:rPr>
      <w:rFonts w:asciiTheme="majorHAnsi" w:hAnsiTheme="majorHAnsi" w:eastAsiaTheme="majorEastAsia" w:cstheme="majorBidi"/>
      <w:b/>
      <w:bCs/>
      <w:color w:val="376092" w:themeColor="accent1" w:themeShade="BF"/>
      <w:sz w:val="28"/>
      <w:szCs w:val="28"/>
      <w:lang w:val="en-US"/>
    </w:rPr>
  </w:style>
  <w:style w:type="paragraph" w:styleId="33">
    <w:name w:val="No Spacing"/>
    <w:basedOn w:val="1"/>
    <w:link w:val="34"/>
    <w:qFormat/>
    <w:uiPriority w:val="1"/>
    <w:pPr>
      <w:widowControl/>
      <w:jc w:val="left"/>
    </w:pPr>
    <w:rPr>
      <w:rFonts w:asciiTheme="minorHAnsi" w:hAnsiTheme="minorHAnsi" w:eastAsiaTheme="minorEastAsia" w:cstheme="minorBidi"/>
      <w:szCs w:val="21"/>
    </w:rPr>
  </w:style>
  <w:style w:type="character" w:customStyle="1" w:styleId="34">
    <w:name w:val="无间隔 Char"/>
    <w:basedOn w:val="14"/>
    <w:link w:val="33"/>
    <w:qFormat/>
    <w:locked/>
    <w:uiPriority w:val="1"/>
    <w:rPr>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无缩进备注"/>
    <w:basedOn w:val="1"/>
    <w:link w:val="37"/>
    <w:qFormat/>
    <w:uiPriority w:val="0"/>
    <w:pPr>
      <w:tabs>
        <w:tab w:val="left" w:pos="426"/>
      </w:tabs>
      <w:jc w:val="left"/>
    </w:pPr>
    <w:rPr>
      <w:rFonts w:ascii="宋体" w:hAnsi="宋体"/>
      <w:kern w:val="0"/>
      <w:szCs w:val="21"/>
    </w:rPr>
  </w:style>
  <w:style w:type="character" w:customStyle="1" w:styleId="37">
    <w:name w:val="无缩进备注 Char"/>
    <w:basedOn w:val="14"/>
    <w:link w:val="36"/>
    <w:qFormat/>
    <w:uiPriority w:val="0"/>
    <w:rPr>
      <w:rFonts w:ascii="宋体" w:hAnsi="宋体" w:eastAsia="宋体" w:cs="Times New Roman"/>
      <w:kern w:val="0"/>
      <w:szCs w:val="21"/>
    </w:rPr>
  </w:style>
  <w:style w:type="character" w:customStyle="1" w:styleId="38">
    <w:name w:val="read1"/>
    <w:basedOn w:val="14"/>
    <w:qFormat/>
    <w:uiPriority w:val="0"/>
    <w:rPr>
      <w:rFonts w:hint="default"/>
      <w:color w:val="000000"/>
      <w:spacing w:val="450"/>
      <w:u w:val="none"/>
    </w:rPr>
  </w:style>
  <w:style w:type="character" w:customStyle="1" w:styleId="39">
    <w:name w:val="da"/>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E308-3860-4B85-87A9-2C7A862269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1643</Words>
  <Characters>9366</Characters>
  <Lines>78</Lines>
  <Paragraphs>21</Paragraphs>
  <TotalTime>3</TotalTime>
  <ScaleCrop>false</ScaleCrop>
  <LinksUpToDate>false</LinksUpToDate>
  <CharactersWithSpaces>10988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2023-05-24T07:18:00Z</dcterms:created>
  <dc:creator>段宏竹</dc:creator>
  <cp:lastModifiedBy>Liwen Xiao</cp:lastModifiedBy>
  <cp:lastPrinted>2024-06-18T07:14:00Z</cp:lastPrinted>
  <dcterms:modified xsi:type="dcterms:W3CDTF">2024-10-10T08:41:34Z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76A22DAD6FB340F199AD7262B444EFA3</vt:lpwstr>
  </property>
</Properties>
</file>