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C42" w:rsidRDefault="00E64565">
      <w:pPr>
        <w:jc w:val="center"/>
        <w:rPr>
          <w:rFonts w:ascii="Times New Roman" w:eastAsia="宋体" w:hAnsi="Times New Roman" w:cs="Times New Roman"/>
          <w:b/>
          <w:sz w:val="30"/>
          <w:szCs w:val="30"/>
        </w:rPr>
      </w:pPr>
      <w:r>
        <w:rPr>
          <w:rFonts w:ascii="Times New Roman" w:eastAsia="宋体" w:hAnsi="Times New Roman" w:cs="Times New Roman"/>
          <w:b/>
          <w:sz w:val="30"/>
          <w:szCs w:val="30"/>
        </w:rPr>
        <w:t>关于</w:t>
      </w:r>
      <w:r>
        <w:rPr>
          <w:rFonts w:ascii="Times New Roman" w:eastAsia="宋体" w:hAnsi="Times New Roman" w:cs="Times New Roman" w:hint="eastAsia"/>
          <w:b/>
          <w:sz w:val="30"/>
          <w:szCs w:val="30"/>
        </w:rPr>
        <w:t>博时新起点灵活配置混合型证券投资基金</w:t>
      </w:r>
      <w:r>
        <w:rPr>
          <w:rFonts w:ascii="Times New Roman" w:eastAsia="宋体" w:hAnsi="Times New Roman" w:cs="Times New Roman"/>
          <w:b/>
          <w:sz w:val="30"/>
          <w:szCs w:val="30"/>
        </w:rPr>
        <w:t>基金合同终止的公告</w:t>
      </w:r>
    </w:p>
    <w:p w:rsidR="00C00C42" w:rsidRDefault="00C00C42">
      <w:pPr>
        <w:rPr>
          <w:rFonts w:ascii="Times New Roman" w:eastAsia="宋体" w:hAnsi="Times New Roman" w:cs="Times New Roman"/>
        </w:rPr>
      </w:pPr>
    </w:p>
    <w:p w:rsidR="00C00C42" w:rsidRDefault="00E64565">
      <w:pPr>
        <w:autoSpaceDE w:val="0"/>
        <w:autoSpaceDN w:val="0"/>
        <w:adjustRightInd w:val="0"/>
        <w:spacing w:line="360" w:lineRule="auto"/>
        <w:ind w:firstLine="480"/>
        <w:jc w:val="left"/>
        <w:rPr>
          <w:rFonts w:ascii="Times New Roman" w:hAnsi="Times New Roman" w:cs="Times New Roman"/>
          <w:szCs w:val="21"/>
        </w:rPr>
      </w:pPr>
      <w:r>
        <w:rPr>
          <w:rFonts w:ascii="Times New Roman" w:hAnsi="Times New Roman" w:cs="Times New Roman"/>
          <w:szCs w:val="21"/>
        </w:rPr>
        <w:t>根据《中华人民共和国证券投资基金法》、《公开募集证券投资基金运作管理办法》、《</w:t>
      </w:r>
      <w:r>
        <w:rPr>
          <w:rFonts w:ascii="Times New Roman" w:hAnsi="Times New Roman" w:cs="Times New Roman" w:hint="eastAsia"/>
          <w:szCs w:val="21"/>
        </w:rPr>
        <w:t>博时新起点灵活配置混合型证券投资基金</w:t>
      </w:r>
      <w:r>
        <w:rPr>
          <w:rFonts w:ascii="Times New Roman" w:hAnsi="Times New Roman" w:cs="Times New Roman"/>
          <w:szCs w:val="21"/>
        </w:rPr>
        <w:t>基金合同》（以下简称</w:t>
      </w:r>
      <w:r>
        <w:rPr>
          <w:rFonts w:ascii="Times New Roman" w:hAnsi="Times New Roman" w:cs="Times New Roman"/>
          <w:szCs w:val="21"/>
        </w:rPr>
        <w:t>“</w:t>
      </w:r>
      <w:r>
        <w:rPr>
          <w:rFonts w:ascii="Times New Roman" w:hAnsi="Times New Roman" w:cs="Times New Roman"/>
          <w:szCs w:val="21"/>
        </w:rPr>
        <w:t>《基金合同》</w:t>
      </w:r>
      <w:r>
        <w:rPr>
          <w:rFonts w:ascii="Times New Roman" w:hAnsi="Times New Roman" w:cs="Times New Roman"/>
          <w:szCs w:val="21"/>
        </w:rPr>
        <w:t>”</w:t>
      </w:r>
      <w:r>
        <w:rPr>
          <w:rFonts w:ascii="Times New Roman" w:hAnsi="Times New Roman" w:cs="Times New Roman"/>
          <w:szCs w:val="21"/>
        </w:rPr>
        <w:t>）的有关规定</w:t>
      </w:r>
      <w:r>
        <w:rPr>
          <w:rFonts w:ascii="Times New Roman" w:hAnsi="Times New Roman" w:cs="Times New Roman" w:hint="eastAsia"/>
          <w:szCs w:val="21"/>
        </w:rPr>
        <w:t>及博时基金管理有限公司于</w:t>
      </w:r>
      <w:r>
        <w:rPr>
          <w:rFonts w:ascii="Times New Roman" w:hAnsi="Times New Roman" w:cs="Times New Roman" w:hint="eastAsia"/>
          <w:szCs w:val="21"/>
        </w:rPr>
        <w:t>2024</w:t>
      </w:r>
      <w:r>
        <w:rPr>
          <w:rFonts w:ascii="Times New Roman" w:hAnsi="Times New Roman" w:cs="Times New Roman" w:hint="eastAsia"/>
          <w:szCs w:val="21"/>
        </w:rPr>
        <w:t>年</w:t>
      </w:r>
      <w:r>
        <w:rPr>
          <w:rFonts w:ascii="Times New Roman" w:hAnsi="Times New Roman" w:cs="Times New Roman" w:hint="eastAsia"/>
          <w:szCs w:val="21"/>
        </w:rPr>
        <w:t>8</w:t>
      </w:r>
      <w:r>
        <w:rPr>
          <w:rFonts w:ascii="Times New Roman" w:hAnsi="Times New Roman" w:cs="Times New Roman" w:hint="eastAsia"/>
          <w:szCs w:val="21"/>
        </w:rPr>
        <w:t>月</w:t>
      </w:r>
      <w:r>
        <w:rPr>
          <w:rFonts w:ascii="Times New Roman" w:hAnsi="Times New Roman" w:cs="Times New Roman" w:hint="eastAsia"/>
          <w:szCs w:val="21"/>
        </w:rPr>
        <w:t>24</w:t>
      </w:r>
      <w:r>
        <w:rPr>
          <w:rFonts w:ascii="Times New Roman" w:hAnsi="Times New Roman" w:cs="Times New Roman" w:hint="eastAsia"/>
          <w:szCs w:val="21"/>
        </w:rPr>
        <w:t>日发布的《博时基金管理有限公司关于博时新起点灵活配置混合型证券投资基金基金份额持有人大会表决结果暨决议生效的公告》</w:t>
      </w:r>
      <w:r>
        <w:rPr>
          <w:rFonts w:ascii="Times New Roman" w:hAnsi="Times New Roman" w:cs="Times New Roman"/>
          <w:szCs w:val="21"/>
        </w:rPr>
        <w:t>，</w:t>
      </w:r>
      <w:r>
        <w:rPr>
          <w:rFonts w:ascii="Times New Roman" w:hAnsi="Times New Roman" w:cs="Times New Roman" w:hint="eastAsia"/>
          <w:szCs w:val="21"/>
        </w:rPr>
        <w:t>博时新起点灵活配置混合型证券投资基金</w:t>
      </w:r>
      <w:r>
        <w:rPr>
          <w:rFonts w:ascii="Times New Roman" w:hAnsi="Times New Roman" w:cs="Times New Roman"/>
          <w:szCs w:val="21"/>
        </w:rPr>
        <w:t>（以下简称</w:t>
      </w:r>
      <w:r>
        <w:rPr>
          <w:rFonts w:ascii="Times New Roman" w:hAnsi="Times New Roman" w:cs="Times New Roman"/>
          <w:szCs w:val="21"/>
        </w:rPr>
        <w:t>“</w:t>
      </w:r>
      <w:r>
        <w:rPr>
          <w:rFonts w:ascii="Times New Roman" w:hAnsi="Times New Roman" w:cs="Times New Roman"/>
          <w:szCs w:val="21"/>
        </w:rPr>
        <w:t>本基金</w:t>
      </w:r>
      <w:r>
        <w:rPr>
          <w:rFonts w:ascii="Times New Roman" w:hAnsi="Times New Roman" w:cs="Times New Roman"/>
          <w:szCs w:val="21"/>
        </w:rPr>
        <w:t>”</w:t>
      </w:r>
      <w:r>
        <w:rPr>
          <w:rFonts w:ascii="Times New Roman" w:hAnsi="Times New Roman" w:cs="Times New Roman"/>
          <w:szCs w:val="21"/>
        </w:rPr>
        <w:t>）出现法律法规以及《基金合同》规定的终止事由。本基金管理人博时基金管理有限公司（以下简称</w:t>
      </w:r>
      <w:r>
        <w:rPr>
          <w:rFonts w:ascii="Times New Roman" w:hAnsi="Times New Roman" w:cs="Times New Roman"/>
          <w:szCs w:val="21"/>
        </w:rPr>
        <w:t>“</w:t>
      </w:r>
      <w:r>
        <w:rPr>
          <w:rFonts w:ascii="Times New Roman" w:hAnsi="Times New Roman" w:cs="Times New Roman"/>
          <w:szCs w:val="21"/>
        </w:rPr>
        <w:t>本公司</w:t>
      </w:r>
      <w:r>
        <w:rPr>
          <w:rFonts w:ascii="Times New Roman" w:hAnsi="Times New Roman" w:cs="Times New Roman"/>
          <w:szCs w:val="21"/>
        </w:rPr>
        <w:t>”</w:t>
      </w:r>
      <w:r>
        <w:rPr>
          <w:rFonts w:ascii="Times New Roman" w:hAnsi="Times New Roman" w:cs="Times New Roman"/>
          <w:szCs w:val="21"/>
        </w:rPr>
        <w:t>）已依法对基金财产进行清算</w:t>
      </w:r>
      <w:r>
        <w:rPr>
          <w:rFonts w:ascii="Times New Roman" w:hAnsi="Times New Roman" w:cs="Times New Roman" w:hint="eastAsia"/>
          <w:szCs w:val="21"/>
        </w:rPr>
        <w:t>，清算结果已报中国证监会备案</w:t>
      </w:r>
      <w:r>
        <w:rPr>
          <w:rFonts w:ascii="Times New Roman" w:hAnsi="Times New Roman" w:cs="Times New Roman"/>
          <w:szCs w:val="21"/>
        </w:rPr>
        <w:t>。现将相关事项公告如下</w:t>
      </w:r>
      <w:r>
        <w:rPr>
          <w:rFonts w:ascii="Times New Roman" w:hAnsi="Times New Roman" w:cs="Times New Roman"/>
          <w:szCs w:val="21"/>
        </w:rPr>
        <w:t>:</w:t>
      </w:r>
    </w:p>
    <w:p w:rsidR="00C00C42" w:rsidRDefault="00C00C42">
      <w:pPr>
        <w:autoSpaceDE w:val="0"/>
        <w:autoSpaceDN w:val="0"/>
        <w:adjustRightInd w:val="0"/>
        <w:spacing w:line="360" w:lineRule="auto"/>
        <w:ind w:firstLine="480"/>
        <w:jc w:val="left"/>
        <w:rPr>
          <w:rFonts w:ascii="Times New Roman" w:hAnsi="Times New Roman" w:cs="Times New Roman"/>
          <w:szCs w:val="21"/>
        </w:rPr>
      </w:pPr>
    </w:p>
    <w:p w:rsidR="00C00C42" w:rsidRDefault="00E64565">
      <w:pPr>
        <w:pStyle w:val="Default"/>
        <w:numPr>
          <w:ilvl w:val="0"/>
          <w:numId w:val="1"/>
        </w:numPr>
        <w:spacing w:line="360" w:lineRule="auto"/>
        <w:rPr>
          <w:rFonts w:ascii="Times New Roman" w:hAnsi="Times New Roman" w:cs="Times New Roman"/>
          <w:b/>
          <w:sz w:val="21"/>
          <w:szCs w:val="21"/>
        </w:rPr>
      </w:pPr>
      <w:r>
        <w:rPr>
          <w:rFonts w:ascii="Times New Roman" w:hAnsi="Times New Roman" w:cs="Times New Roman"/>
          <w:b/>
          <w:sz w:val="21"/>
          <w:szCs w:val="21"/>
        </w:rPr>
        <w:t>本基金基本信息</w:t>
      </w:r>
    </w:p>
    <w:tbl>
      <w:tblPr>
        <w:tblStyle w:val="a8"/>
        <w:tblW w:w="0" w:type="auto"/>
        <w:tblLook w:val="04A0"/>
      </w:tblPr>
      <w:tblGrid>
        <w:gridCol w:w="2840"/>
        <w:gridCol w:w="2841"/>
        <w:gridCol w:w="2841"/>
      </w:tblGrid>
      <w:tr w:rsidR="00C00C42">
        <w:tc>
          <w:tcPr>
            <w:tcW w:w="2840" w:type="dxa"/>
            <w:vAlign w:val="center"/>
          </w:tcPr>
          <w:p w:rsidR="00C00C42" w:rsidRDefault="00E64565">
            <w:pPr>
              <w:rPr>
                <w:rFonts w:ascii="宋体" w:eastAsia="宋体" w:hAnsi="宋体" w:cs="宋体"/>
              </w:rPr>
            </w:pPr>
            <w:r>
              <w:rPr>
                <w:rFonts w:ascii="宋体" w:eastAsia="宋体" w:hAnsi="宋体" w:cs="宋体" w:hint="eastAsia"/>
              </w:rPr>
              <w:t>基金名称</w:t>
            </w:r>
          </w:p>
        </w:tc>
        <w:tc>
          <w:tcPr>
            <w:tcW w:w="5682" w:type="dxa"/>
            <w:gridSpan w:val="2"/>
            <w:vAlign w:val="center"/>
          </w:tcPr>
          <w:p w:rsidR="00C00C42" w:rsidRDefault="00E64565">
            <w:pPr>
              <w:pStyle w:val="aa"/>
              <w:rPr>
                <w:rFonts w:eastAsia="宋体" w:cs="宋体"/>
              </w:rPr>
            </w:pPr>
            <w:r>
              <w:rPr>
                <w:rFonts w:hint="eastAsia"/>
              </w:rPr>
              <w:t>博时新起点灵活配置混合型证券投资基金</w:t>
            </w:r>
          </w:p>
        </w:tc>
      </w:tr>
      <w:tr w:rsidR="00C00C42">
        <w:tc>
          <w:tcPr>
            <w:tcW w:w="2840" w:type="dxa"/>
            <w:vAlign w:val="center"/>
          </w:tcPr>
          <w:p w:rsidR="00C00C42" w:rsidRDefault="00E64565">
            <w:pPr>
              <w:rPr>
                <w:rFonts w:ascii="宋体" w:eastAsia="宋体" w:hAnsi="宋体" w:cs="宋体"/>
              </w:rPr>
            </w:pPr>
            <w:r>
              <w:rPr>
                <w:rFonts w:ascii="宋体" w:eastAsia="宋体" w:hAnsi="宋体" w:cs="宋体" w:hint="eastAsia"/>
              </w:rPr>
              <w:t>基金简称</w:t>
            </w:r>
          </w:p>
        </w:tc>
        <w:tc>
          <w:tcPr>
            <w:tcW w:w="5682" w:type="dxa"/>
            <w:gridSpan w:val="2"/>
            <w:vAlign w:val="center"/>
          </w:tcPr>
          <w:p w:rsidR="00C00C42" w:rsidRDefault="00E64565">
            <w:pPr>
              <w:pStyle w:val="aa"/>
              <w:rPr>
                <w:rFonts w:eastAsia="宋体" w:cs="宋体"/>
              </w:rPr>
            </w:pPr>
            <w:r>
              <w:rPr>
                <w:rFonts w:hint="eastAsia"/>
              </w:rPr>
              <w:t>博时新起点混合</w:t>
            </w:r>
          </w:p>
        </w:tc>
      </w:tr>
      <w:tr w:rsidR="00C00C42">
        <w:tc>
          <w:tcPr>
            <w:tcW w:w="2840" w:type="dxa"/>
            <w:vAlign w:val="center"/>
          </w:tcPr>
          <w:p w:rsidR="00C00C42" w:rsidRDefault="00E64565">
            <w:pPr>
              <w:rPr>
                <w:rFonts w:ascii="宋体" w:eastAsia="宋体" w:hAnsi="宋体" w:cs="宋体"/>
              </w:rPr>
            </w:pPr>
            <w:r>
              <w:rPr>
                <w:rFonts w:ascii="宋体" w:eastAsia="宋体" w:hAnsi="宋体" w:cs="宋体" w:hint="eastAsia"/>
              </w:rPr>
              <w:t>基金主代码</w:t>
            </w:r>
          </w:p>
        </w:tc>
        <w:tc>
          <w:tcPr>
            <w:tcW w:w="5682" w:type="dxa"/>
            <w:gridSpan w:val="2"/>
            <w:vAlign w:val="center"/>
          </w:tcPr>
          <w:p w:rsidR="00C00C42" w:rsidRDefault="00E64565">
            <w:pPr>
              <w:pStyle w:val="aa"/>
              <w:rPr>
                <w:rFonts w:eastAsia="宋体" w:cs="宋体"/>
              </w:rPr>
            </w:pPr>
            <w:r>
              <w:rPr>
                <w:rFonts w:ascii="Times New Roman" w:hAnsi="Times New Roman"/>
              </w:rPr>
              <w:t>00</w:t>
            </w:r>
            <w:r>
              <w:rPr>
                <w:rFonts w:ascii="Times New Roman" w:hAnsi="Times New Roman" w:hint="eastAsia"/>
              </w:rPr>
              <w:t>1424</w:t>
            </w:r>
          </w:p>
        </w:tc>
      </w:tr>
      <w:tr w:rsidR="00C00C42">
        <w:tc>
          <w:tcPr>
            <w:tcW w:w="2840" w:type="dxa"/>
            <w:vAlign w:val="center"/>
          </w:tcPr>
          <w:p w:rsidR="00C00C42" w:rsidRDefault="00E64565">
            <w:pPr>
              <w:rPr>
                <w:rFonts w:ascii="宋体" w:eastAsia="宋体" w:hAnsi="宋体" w:cs="宋体"/>
              </w:rPr>
            </w:pPr>
            <w:r>
              <w:rPr>
                <w:rFonts w:ascii="宋体" w:eastAsia="宋体" w:hAnsi="宋体" w:cs="宋体" w:hint="eastAsia"/>
              </w:rPr>
              <w:t>基金运作方式</w:t>
            </w:r>
          </w:p>
        </w:tc>
        <w:tc>
          <w:tcPr>
            <w:tcW w:w="5682" w:type="dxa"/>
            <w:gridSpan w:val="2"/>
            <w:vAlign w:val="center"/>
          </w:tcPr>
          <w:p w:rsidR="00C00C42" w:rsidRDefault="00E64565">
            <w:pPr>
              <w:pStyle w:val="aa"/>
              <w:rPr>
                <w:rFonts w:eastAsia="宋体" w:cs="宋体"/>
              </w:rPr>
            </w:pPr>
            <w:r>
              <w:rPr>
                <w:rFonts w:ascii="Times New Roman" w:hAnsi="Times New Roman"/>
              </w:rPr>
              <w:t>契约型开放式</w:t>
            </w:r>
          </w:p>
        </w:tc>
      </w:tr>
      <w:tr w:rsidR="00C00C42">
        <w:tc>
          <w:tcPr>
            <w:tcW w:w="2840" w:type="dxa"/>
            <w:vAlign w:val="center"/>
          </w:tcPr>
          <w:p w:rsidR="00C00C42" w:rsidRDefault="00E64565">
            <w:pPr>
              <w:rPr>
                <w:rFonts w:ascii="宋体" w:eastAsia="宋体" w:hAnsi="宋体" w:cs="宋体"/>
              </w:rPr>
            </w:pPr>
            <w:r>
              <w:rPr>
                <w:rFonts w:ascii="宋体" w:eastAsia="宋体" w:hAnsi="宋体" w:cs="宋体" w:hint="eastAsia"/>
              </w:rPr>
              <w:t>基金合同生效日</w:t>
            </w:r>
          </w:p>
        </w:tc>
        <w:tc>
          <w:tcPr>
            <w:tcW w:w="5682" w:type="dxa"/>
            <w:gridSpan w:val="2"/>
            <w:vAlign w:val="center"/>
          </w:tcPr>
          <w:p w:rsidR="00C00C42" w:rsidRDefault="00E64565">
            <w:pPr>
              <w:pStyle w:val="aa"/>
              <w:rPr>
                <w:rFonts w:eastAsia="宋体" w:cs="宋体"/>
              </w:rPr>
            </w:pPr>
            <w:r>
              <w:rPr>
                <w:rFonts w:hint="eastAsia"/>
              </w:rPr>
              <w:t>2015</w:t>
            </w:r>
            <w:r>
              <w:rPr>
                <w:rFonts w:hint="eastAsia"/>
              </w:rPr>
              <w:t>年</w:t>
            </w:r>
            <w:r>
              <w:rPr>
                <w:rFonts w:hint="eastAsia"/>
              </w:rPr>
              <w:t>6</w:t>
            </w:r>
            <w:r>
              <w:rPr>
                <w:rFonts w:hint="eastAsia"/>
              </w:rPr>
              <w:t>月</w:t>
            </w:r>
            <w:r>
              <w:rPr>
                <w:rFonts w:hint="eastAsia"/>
              </w:rPr>
              <w:t>24</w:t>
            </w:r>
            <w:r>
              <w:rPr>
                <w:rFonts w:hint="eastAsia"/>
              </w:rPr>
              <w:t>日</w:t>
            </w:r>
          </w:p>
        </w:tc>
      </w:tr>
      <w:tr w:rsidR="00C00C42">
        <w:tc>
          <w:tcPr>
            <w:tcW w:w="2840" w:type="dxa"/>
            <w:vAlign w:val="center"/>
          </w:tcPr>
          <w:p w:rsidR="00C00C42" w:rsidRDefault="00E64565">
            <w:pPr>
              <w:rPr>
                <w:rFonts w:ascii="宋体" w:eastAsia="宋体" w:hAnsi="宋体" w:cs="宋体"/>
              </w:rPr>
            </w:pPr>
            <w:r>
              <w:rPr>
                <w:rFonts w:ascii="宋体" w:eastAsia="宋体" w:hAnsi="宋体" w:cs="宋体" w:hint="eastAsia"/>
              </w:rPr>
              <w:t>基金管理人名称</w:t>
            </w:r>
          </w:p>
        </w:tc>
        <w:tc>
          <w:tcPr>
            <w:tcW w:w="5682" w:type="dxa"/>
            <w:gridSpan w:val="2"/>
            <w:vAlign w:val="center"/>
          </w:tcPr>
          <w:p w:rsidR="00C00C42" w:rsidRDefault="00E64565">
            <w:pPr>
              <w:pStyle w:val="aa"/>
              <w:rPr>
                <w:rFonts w:eastAsia="宋体" w:cs="宋体"/>
              </w:rPr>
            </w:pPr>
            <w:r>
              <w:rPr>
                <w:rFonts w:ascii="Times New Roman" w:hAnsi="Times New Roman"/>
              </w:rPr>
              <w:t>博时基金管理有限公司</w:t>
            </w:r>
          </w:p>
        </w:tc>
      </w:tr>
      <w:tr w:rsidR="00C00C42">
        <w:tc>
          <w:tcPr>
            <w:tcW w:w="2840" w:type="dxa"/>
            <w:vAlign w:val="center"/>
          </w:tcPr>
          <w:p w:rsidR="00C00C42" w:rsidRDefault="00E64565">
            <w:pPr>
              <w:rPr>
                <w:rFonts w:ascii="宋体" w:eastAsia="宋体" w:hAnsi="宋体" w:cs="宋体"/>
              </w:rPr>
            </w:pPr>
            <w:r>
              <w:rPr>
                <w:rFonts w:ascii="宋体" w:eastAsia="宋体" w:hAnsi="宋体" w:cs="宋体" w:hint="eastAsia"/>
              </w:rPr>
              <w:t>基金托管人名称</w:t>
            </w:r>
          </w:p>
        </w:tc>
        <w:tc>
          <w:tcPr>
            <w:tcW w:w="5682" w:type="dxa"/>
            <w:gridSpan w:val="2"/>
            <w:vAlign w:val="center"/>
          </w:tcPr>
          <w:p w:rsidR="00C00C42" w:rsidRDefault="00E64565">
            <w:pPr>
              <w:pStyle w:val="aa"/>
              <w:rPr>
                <w:rFonts w:eastAsia="宋体" w:cs="宋体"/>
              </w:rPr>
            </w:pPr>
            <w:r>
              <w:rPr>
                <w:rFonts w:cs="Arial" w:hint="eastAsia"/>
                <w:color w:val="000000"/>
              </w:rPr>
              <w:t>中国银行股份有限公司</w:t>
            </w:r>
          </w:p>
        </w:tc>
      </w:tr>
      <w:tr w:rsidR="00C00C42">
        <w:tc>
          <w:tcPr>
            <w:tcW w:w="2840" w:type="dxa"/>
            <w:vAlign w:val="center"/>
          </w:tcPr>
          <w:p w:rsidR="00C00C42" w:rsidRDefault="00E64565">
            <w:pPr>
              <w:rPr>
                <w:rFonts w:ascii="宋体" w:eastAsia="宋体" w:hAnsi="宋体" w:cs="宋体"/>
              </w:rPr>
            </w:pPr>
            <w:r>
              <w:rPr>
                <w:rFonts w:ascii="宋体" w:eastAsia="宋体" w:hAnsi="宋体" w:cs="宋体" w:hint="eastAsia"/>
              </w:rPr>
              <w:t>基金注册登记机构名称</w:t>
            </w:r>
          </w:p>
        </w:tc>
        <w:tc>
          <w:tcPr>
            <w:tcW w:w="5682" w:type="dxa"/>
            <w:gridSpan w:val="2"/>
            <w:vAlign w:val="center"/>
          </w:tcPr>
          <w:p w:rsidR="00C00C42" w:rsidRDefault="00E64565">
            <w:pPr>
              <w:rPr>
                <w:rFonts w:ascii="宋体" w:eastAsia="宋体" w:hAnsi="宋体" w:cs="宋体"/>
              </w:rPr>
            </w:pPr>
            <w:r>
              <w:rPr>
                <w:rFonts w:ascii="宋体" w:eastAsia="宋体" w:hAnsi="宋体" w:cs="宋体" w:hint="eastAsia"/>
              </w:rPr>
              <w:t>博时基金管理有限公司</w:t>
            </w:r>
          </w:p>
        </w:tc>
      </w:tr>
      <w:tr w:rsidR="00C00C42">
        <w:tc>
          <w:tcPr>
            <w:tcW w:w="2840" w:type="dxa"/>
            <w:vAlign w:val="center"/>
          </w:tcPr>
          <w:p w:rsidR="00C00C42" w:rsidRDefault="00E64565">
            <w:pPr>
              <w:rPr>
                <w:rFonts w:ascii="宋体" w:eastAsia="宋体" w:hAnsi="宋体" w:cs="宋体"/>
              </w:rPr>
            </w:pPr>
            <w:r>
              <w:rPr>
                <w:rFonts w:ascii="宋体" w:eastAsia="宋体" w:hAnsi="宋体" w:cs="宋体" w:hint="eastAsia"/>
              </w:rPr>
              <w:t>公告依据</w:t>
            </w:r>
          </w:p>
        </w:tc>
        <w:tc>
          <w:tcPr>
            <w:tcW w:w="5682" w:type="dxa"/>
            <w:gridSpan w:val="2"/>
            <w:vAlign w:val="center"/>
          </w:tcPr>
          <w:p w:rsidR="00C00C42" w:rsidRDefault="00E64565">
            <w:pPr>
              <w:rPr>
                <w:rFonts w:ascii="宋体" w:eastAsia="宋体" w:hAnsi="宋体" w:cs="宋体"/>
              </w:rPr>
            </w:pPr>
            <w:r>
              <w:rPr>
                <w:rFonts w:ascii="宋体" w:eastAsia="宋体" w:hAnsi="宋体" w:cs="宋体" w:hint="eastAsia"/>
              </w:rPr>
              <w:t>《中华人民共和国证券投资基金法》、《公开募集证券投资基金运作管理办法》等法律法规以及《</w:t>
            </w:r>
            <w:r>
              <w:rPr>
                <w:rFonts w:ascii="宋体" w:eastAsia="宋体" w:hAnsi="宋体" w:cs="宋体" w:hint="eastAsia"/>
              </w:rPr>
              <w:t>博时新起点灵活配置混合型证券投资基金</w:t>
            </w:r>
            <w:r>
              <w:rPr>
                <w:rFonts w:ascii="宋体" w:eastAsia="宋体" w:hAnsi="宋体" w:cs="宋体" w:hint="eastAsia"/>
              </w:rPr>
              <w:t>基金合同》、《</w:t>
            </w:r>
            <w:r>
              <w:rPr>
                <w:rFonts w:ascii="宋体" w:eastAsia="宋体" w:hAnsi="宋体" w:cs="宋体" w:hint="eastAsia"/>
              </w:rPr>
              <w:t>博时新起点灵活配置混合型证券投资基金</w:t>
            </w:r>
            <w:r>
              <w:rPr>
                <w:rFonts w:ascii="宋体" w:eastAsia="宋体" w:hAnsi="宋体" w:cs="宋体" w:hint="eastAsia"/>
              </w:rPr>
              <w:t>招募说明书》等</w:t>
            </w:r>
          </w:p>
        </w:tc>
      </w:tr>
      <w:tr w:rsidR="00C00C42">
        <w:tc>
          <w:tcPr>
            <w:tcW w:w="2840" w:type="dxa"/>
            <w:vAlign w:val="center"/>
          </w:tcPr>
          <w:p w:rsidR="00C00C42" w:rsidRDefault="00E64565">
            <w:pPr>
              <w:rPr>
                <w:rFonts w:ascii="宋体" w:eastAsia="宋体" w:hAnsi="宋体" w:cs="宋体"/>
              </w:rPr>
            </w:pPr>
            <w:r>
              <w:rPr>
                <w:rFonts w:ascii="宋体" w:eastAsia="宋体" w:hAnsi="宋体" w:cs="宋体" w:hint="eastAsia"/>
              </w:rPr>
              <w:t>下属类别基金的基金简称</w:t>
            </w:r>
          </w:p>
        </w:tc>
        <w:tc>
          <w:tcPr>
            <w:tcW w:w="2841" w:type="dxa"/>
            <w:vAlign w:val="center"/>
          </w:tcPr>
          <w:p w:rsidR="00C00C42" w:rsidRDefault="00E64565">
            <w:pPr>
              <w:pStyle w:val="aa"/>
              <w:rPr>
                <w:rFonts w:eastAsia="宋体" w:cs="宋体"/>
              </w:rPr>
            </w:pPr>
            <w:r>
              <w:rPr>
                <w:rFonts w:hint="eastAsia"/>
              </w:rPr>
              <w:t>博时新起点混合</w:t>
            </w:r>
            <w:r>
              <w:rPr>
                <w:rFonts w:hint="eastAsia"/>
              </w:rPr>
              <w:t>A</w:t>
            </w:r>
          </w:p>
        </w:tc>
        <w:tc>
          <w:tcPr>
            <w:tcW w:w="2841" w:type="dxa"/>
            <w:vAlign w:val="center"/>
          </w:tcPr>
          <w:p w:rsidR="00C00C42" w:rsidRDefault="00E64565">
            <w:pPr>
              <w:pStyle w:val="aa"/>
              <w:rPr>
                <w:rFonts w:eastAsia="宋体" w:cs="宋体"/>
              </w:rPr>
            </w:pPr>
            <w:r>
              <w:rPr>
                <w:rFonts w:hint="eastAsia"/>
              </w:rPr>
              <w:t>博时新起点混合</w:t>
            </w:r>
            <w:r>
              <w:rPr>
                <w:rFonts w:hint="eastAsia"/>
              </w:rPr>
              <w:t>C</w:t>
            </w:r>
          </w:p>
        </w:tc>
      </w:tr>
      <w:tr w:rsidR="00C00C42">
        <w:tc>
          <w:tcPr>
            <w:tcW w:w="2840" w:type="dxa"/>
            <w:vAlign w:val="center"/>
          </w:tcPr>
          <w:p w:rsidR="00C00C42" w:rsidRDefault="00E64565">
            <w:pPr>
              <w:rPr>
                <w:rFonts w:ascii="宋体" w:eastAsia="宋体" w:hAnsi="宋体" w:cs="宋体"/>
              </w:rPr>
            </w:pPr>
            <w:r>
              <w:rPr>
                <w:rFonts w:ascii="宋体" w:eastAsia="宋体" w:hAnsi="宋体" w:cs="宋体" w:hint="eastAsia"/>
              </w:rPr>
              <w:t>下属类别基金的交易代码</w:t>
            </w:r>
          </w:p>
        </w:tc>
        <w:tc>
          <w:tcPr>
            <w:tcW w:w="2841" w:type="dxa"/>
            <w:vAlign w:val="center"/>
          </w:tcPr>
          <w:p w:rsidR="00C00C42" w:rsidRDefault="00E64565">
            <w:pPr>
              <w:pStyle w:val="aa"/>
              <w:rPr>
                <w:rFonts w:eastAsia="宋体" w:cs="宋体"/>
              </w:rPr>
            </w:pPr>
            <w:r>
              <w:rPr>
                <w:rFonts w:ascii="Times New Roman" w:hAnsi="Times New Roman"/>
              </w:rPr>
              <w:t>00</w:t>
            </w:r>
            <w:r>
              <w:rPr>
                <w:rFonts w:ascii="Times New Roman" w:hAnsi="Times New Roman" w:hint="eastAsia"/>
              </w:rPr>
              <w:t>1424</w:t>
            </w:r>
          </w:p>
        </w:tc>
        <w:tc>
          <w:tcPr>
            <w:tcW w:w="2841" w:type="dxa"/>
            <w:vAlign w:val="center"/>
          </w:tcPr>
          <w:p w:rsidR="00C00C42" w:rsidRDefault="00E64565">
            <w:pPr>
              <w:pStyle w:val="aa"/>
              <w:rPr>
                <w:rFonts w:eastAsia="宋体" w:cs="宋体"/>
              </w:rPr>
            </w:pPr>
            <w:r>
              <w:rPr>
                <w:rFonts w:ascii="Times New Roman" w:hAnsi="Times New Roman"/>
              </w:rPr>
              <w:t>00</w:t>
            </w:r>
            <w:r>
              <w:rPr>
                <w:rFonts w:ascii="Times New Roman" w:hAnsi="Times New Roman" w:hint="eastAsia"/>
              </w:rPr>
              <w:t>142</w:t>
            </w:r>
            <w:r>
              <w:rPr>
                <w:rFonts w:ascii="Times New Roman" w:hAnsi="Times New Roman"/>
              </w:rPr>
              <w:t>5</w:t>
            </w:r>
          </w:p>
        </w:tc>
      </w:tr>
    </w:tbl>
    <w:p w:rsidR="00C00C42" w:rsidRDefault="00C00C42">
      <w:pPr>
        <w:widowControl/>
        <w:spacing w:line="360" w:lineRule="auto"/>
        <w:jc w:val="left"/>
        <w:rPr>
          <w:rFonts w:ascii="Times New Roman" w:eastAsia="宋体" w:hAnsi="Times New Roman" w:cs="Times New Roman"/>
          <w:b/>
          <w:kern w:val="0"/>
          <w:szCs w:val="21"/>
        </w:rPr>
      </w:pPr>
    </w:p>
    <w:p w:rsidR="00C00C42" w:rsidRDefault="00E64565">
      <w:pPr>
        <w:widowControl/>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二、本基金合同的终止时间</w:t>
      </w:r>
    </w:p>
    <w:p w:rsidR="00C00C42" w:rsidRDefault="00E6456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本基金出现了《基金合同》终止事由后，本公司组织基金托管人中国银行股份有限公司、安永华明会计师事务所（特殊普通合伙）和上海源泰律师事务所成立基金财产清算小组，对基金财产进行了清算。</w:t>
      </w:r>
    </w:p>
    <w:p w:rsidR="00C00C42" w:rsidRDefault="00E6456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根据《中华人民共和国证券投资基金法》、《公开募集证券投资基金运作管理办法》、《</w:t>
      </w:r>
      <w:r>
        <w:rPr>
          <w:rFonts w:ascii="Times New Roman" w:eastAsia="宋体" w:hAnsi="Times New Roman" w:cs="Times New Roman" w:hint="eastAsia"/>
          <w:kern w:val="0"/>
          <w:szCs w:val="21"/>
        </w:rPr>
        <w:t>博时新起点灵活配置混合型证券投资基金</w:t>
      </w:r>
      <w:r>
        <w:rPr>
          <w:rFonts w:ascii="Times New Roman" w:eastAsia="宋体" w:hAnsi="Times New Roman" w:cs="Times New Roman"/>
          <w:kern w:val="0"/>
          <w:szCs w:val="21"/>
        </w:rPr>
        <w:t>基金合同》的有关规定</w:t>
      </w:r>
      <w:r>
        <w:rPr>
          <w:rFonts w:ascii="Times New Roman" w:eastAsia="宋体" w:hAnsi="Times New Roman" w:cs="Times New Roman" w:hint="eastAsia"/>
          <w:kern w:val="0"/>
          <w:szCs w:val="21"/>
        </w:rPr>
        <w:t>及</w:t>
      </w:r>
      <w:r>
        <w:rPr>
          <w:rFonts w:ascii="宋体" w:hAnsi="宋体" w:cs="Arial" w:hint="eastAsia"/>
          <w:color w:val="000000"/>
          <w:szCs w:val="21"/>
        </w:rPr>
        <w:t>博时基金管理有限公司于</w:t>
      </w:r>
      <w:r>
        <w:rPr>
          <w:rStyle w:val="da"/>
          <w:rFonts w:ascii="宋体" w:hAnsi="宋体" w:cs="Arial" w:hint="eastAsia"/>
        </w:rPr>
        <w:t>2024</w:t>
      </w:r>
      <w:r>
        <w:rPr>
          <w:rStyle w:val="da"/>
          <w:rFonts w:ascii="宋体" w:hAnsi="宋体" w:cs="Arial" w:hint="eastAsia"/>
        </w:rPr>
        <w:t>年</w:t>
      </w:r>
      <w:r>
        <w:rPr>
          <w:rStyle w:val="da"/>
          <w:rFonts w:ascii="宋体" w:hAnsi="宋体" w:cs="Arial" w:hint="eastAsia"/>
        </w:rPr>
        <w:t>8</w:t>
      </w:r>
      <w:r>
        <w:rPr>
          <w:rStyle w:val="da"/>
          <w:rFonts w:ascii="宋体" w:hAnsi="宋体" w:cs="Arial" w:hint="eastAsia"/>
        </w:rPr>
        <w:t>月</w:t>
      </w:r>
      <w:r>
        <w:rPr>
          <w:rStyle w:val="da"/>
          <w:rFonts w:ascii="宋体" w:hAnsi="宋体" w:cs="Arial" w:hint="eastAsia"/>
        </w:rPr>
        <w:t>24</w:t>
      </w:r>
      <w:r>
        <w:rPr>
          <w:rStyle w:val="da"/>
          <w:rFonts w:ascii="宋体" w:hAnsi="宋体" w:cs="Arial" w:hint="eastAsia"/>
        </w:rPr>
        <w:t>日</w:t>
      </w:r>
      <w:r>
        <w:rPr>
          <w:rFonts w:asciiTheme="minorEastAsia" w:hAnsiTheme="minorEastAsia" w:hint="eastAsia"/>
          <w:szCs w:val="21"/>
        </w:rPr>
        <w:t>发布的《博时基金管理有限公司关于</w:t>
      </w:r>
      <w:r>
        <w:rPr>
          <w:rStyle w:val="da"/>
          <w:rFonts w:ascii="宋体" w:hAnsi="宋体" w:cs="Arial" w:hint="eastAsia"/>
        </w:rPr>
        <w:t>博时新起点灵活配置混合型证券投</w:t>
      </w:r>
      <w:r>
        <w:rPr>
          <w:rStyle w:val="da"/>
          <w:rFonts w:ascii="宋体" w:hAnsi="宋体" w:cs="Arial" w:hint="eastAsia"/>
        </w:rPr>
        <w:lastRenderedPageBreak/>
        <w:t>资基金</w:t>
      </w:r>
      <w:r>
        <w:rPr>
          <w:rFonts w:asciiTheme="minorEastAsia" w:hAnsiTheme="minorEastAsia" w:hint="eastAsia"/>
          <w:szCs w:val="21"/>
        </w:rPr>
        <w:t>基金份额持有人大会表决结果暨决议生效的公告》</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博时新起点灵活配置混合型证券投资基金</w:t>
      </w:r>
      <w:r>
        <w:rPr>
          <w:rFonts w:ascii="Times New Roman" w:eastAsia="宋体" w:hAnsi="Times New Roman" w:cs="Times New Roman"/>
          <w:kern w:val="0"/>
          <w:szCs w:val="21"/>
        </w:rPr>
        <w:t>基</w:t>
      </w:r>
      <w:r>
        <w:rPr>
          <w:rFonts w:ascii="Times New Roman" w:eastAsia="宋体" w:hAnsi="Times New Roman" w:cs="Times New Roman"/>
          <w:kern w:val="0"/>
          <w:szCs w:val="21"/>
        </w:rPr>
        <w:t>金合同》自本公告发布之日起终止。</w:t>
      </w:r>
    </w:p>
    <w:p w:rsidR="00C00C42" w:rsidRDefault="00C00C42">
      <w:pPr>
        <w:widowControl/>
        <w:spacing w:line="360" w:lineRule="auto"/>
        <w:ind w:firstLineChars="200" w:firstLine="420"/>
        <w:rPr>
          <w:rFonts w:ascii="Times New Roman" w:eastAsia="宋体" w:hAnsi="Times New Roman" w:cs="Times New Roman"/>
          <w:kern w:val="0"/>
          <w:szCs w:val="21"/>
        </w:rPr>
      </w:pPr>
    </w:p>
    <w:p w:rsidR="00C00C42" w:rsidRDefault="00E64565">
      <w:pPr>
        <w:pStyle w:val="Default"/>
        <w:spacing w:line="360" w:lineRule="auto"/>
        <w:ind w:firstLineChars="200" w:firstLine="422"/>
        <w:rPr>
          <w:rFonts w:ascii="Times New Roman" w:hAnsi="Times New Roman" w:cs="Times New Roman"/>
          <w:b/>
          <w:sz w:val="21"/>
          <w:szCs w:val="21"/>
        </w:rPr>
      </w:pPr>
      <w:r>
        <w:rPr>
          <w:rFonts w:ascii="Times New Roman" w:hAnsi="Times New Roman" w:cs="Times New Roman"/>
          <w:b/>
          <w:sz w:val="21"/>
          <w:szCs w:val="21"/>
        </w:rPr>
        <w:t>三、备查文件</w:t>
      </w:r>
    </w:p>
    <w:p w:rsidR="00C00C42" w:rsidRDefault="00E64565">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w:t>
      </w:r>
      <w:r>
        <w:rPr>
          <w:rFonts w:ascii="Times New Roman" w:hAnsi="Times New Roman" w:cs="Times New Roman" w:hint="eastAsia"/>
          <w:sz w:val="21"/>
          <w:szCs w:val="21"/>
        </w:rPr>
        <w:t>博时新起点灵活配置混合型证券投资基金</w:t>
      </w:r>
      <w:r>
        <w:rPr>
          <w:rFonts w:ascii="Times New Roman" w:hAnsi="Times New Roman" w:cs="Times New Roman"/>
          <w:sz w:val="21"/>
          <w:szCs w:val="21"/>
        </w:rPr>
        <w:t>基金合同</w:t>
      </w:r>
      <w:bookmarkStart w:id="0" w:name="_GoBack"/>
      <w:bookmarkEnd w:id="0"/>
      <w:r>
        <w:rPr>
          <w:rFonts w:ascii="Times New Roman" w:hAnsi="Times New Roman" w:cs="Times New Roman"/>
          <w:sz w:val="21"/>
          <w:szCs w:val="21"/>
        </w:rPr>
        <w:t>》</w:t>
      </w:r>
    </w:p>
    <w:p w:rsidR="00C00C42" w:rsidRDefault="00E64565">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博时新起点灵活配置混合型证券投资基金</w:t>
      </w:r>
      <w:r>
        <w:rPr>
          <w:rFonts w:ascii="Times New Roman" w:hAnsi="Times New Roman" w:cs="Times New Roman"/>
          <w:sz w:val="21"/>
          <w:szCs w:val="21"/>
        </w:rPr>
        <w:t>清算报告》</w:t>
      </w:r>
    </w:p>
    <w:p w:rsidR="00C00C42" w:rsidRDefault="00E64565">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w:t>
      </w:r>
      <w:r>
        <w:rPr>
          <w:rFonts w:ascii="Times New Roman" w:hAnsi="Times New Roman" w:cs="Times New Roman" w:hint="eastAsia"/>
          <w:sz w:val="21"/>
          <w:szCs w:val="21"/>
        </w:rPr>
        <w:t>博时新起点灵活配置混合型证券投资基金</w:t>
      </w:r>
      <w:r>
        <w:rPr>
          <w:rFonts w:ascii="Times New Roman" w:hAnsi="Times New Roman" w:cs="Times New Roman" w:hint="eastAsia"/>
          <w:sz w:val="21"/>
          <w:szCs w:val="21"/>
        </w:rPr>
        <w:t>清算审计报告</w:t>
      </w:r>
      <w:r>
        <w:rPr>
          <w:rFonts w:ascii="Times New Roman" w:hAnsi="Times New Roman" w:cs="Times New Roman"/>
          <w:sz w:val="21"/>
          <w:szCs w:val="21"/>
        </w:rPr>
        <w:t>》</w:t>
      </w:r>
    </w:p>
    <w:p w:rsidR="00C00C42" w:rsidRDefault="00E64565">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4</w:t>
      </w:r>
      <w:r>
        <w:rPr>
          <w:rFonts w:ascii="Times New Roman" w:hAnsi="Times New Roman" w:cs="Times New Roman"/>
          <w:sz w:val="21"/>
          <w:szCs w:val="21"/>
        </w:rPr>
        <w:t>、</w:t>
      </w:r>
      <w:r>
        <w:rPr>
          <w:rFonts w:ascii="Times New Roman" w:hAnsi="Times New Roman" w:cs="Times New Roman" w:hint="eastAsia"/>
          <w:sz w:val="21"/>
          <w:szCs w:val="21"/>
        </w:rPr>
        <w:t>《上海源泰律师事务所关于</w:t>
      </w:r>
      <w:r>
        <w:rPr>
          <w:rFonts w:ascii="Times New Roman" w:hAnsi="Times New Roman" w:cs="Times New Roman" w:hint="eastAsia"/>
          <w:sz w:val="21"/>
          <w:szCs w:val="21"/>
        </w:rPr>
        <w:t>博时新起点灵活配置混合型证券投资基金</w:t>
      </w:r>
      <w:r>
        <w:rPr>
          <w:rFonts w:ascii="Times New Roman" w:hAnsi="Times New Roman" w:cs="Times New Roman" w:hint="eastAsia"/>
          <w:sz w:val="21"/>
          <w:szCs w:val="21"/>
        </w:rPr>
        <w:t>清算事宜之法律意见》</w:t>
      </w:r>
    </w:p>
    <w:p w:rsidR="00C00C42" w:rsidRDefault="00C00C42">
      <w:pPr>
        <w:pStyle w:val="Default"/>
        <w:spacing w:line="360" w:lineRule="auto"/>
        <w:ind w:firstLineChars="200" w:firstLine="420"/>
        <w:rPr>
          <w:rFonts w:ascii="Times New Roman" w:hAnsi="Times New Roman" w:cs="Times New Roman"/>
          <w:sz w:val="21"/>
          <w:szCs w:val="21"/>
        </w:rPr>
      </w:pPr>
    </w:p>
    <w:p w:rsidR="00C00C42" w:rsidRDefault="00E64565">
      <w:pPr>
        <w:pStyle w:val="Default"/>
        <w:spacing w:line="360" w:lineRule="auto"/>
        <w:ind w:firstLineChars="200" w:firstLine="422"/>
        <w:rPr>
          <w:rFonts w:ascii="Times New Roman" w:hAnsi="Times New Roman" w:cs="Times New Roman"/>
          <w:b/>
          <w:sz w:val="21"/>
          <w:szCs w:val="21"/>
        </w:rPr>
      </w:pPr>
      <w:r>
        <w:rPr>
          <w:rFonts w:ascii="Times New Roman" w:hAnsi="Times New Roman" w:cs="Times New Roman"/>
          <w:b/>
          <w:sz w:val="21"/>
          <w:szCs w:val="21"/>
        </w:rPr>
        <w:t>四、特别提示</w:t>
      </w:r>
    </w:p>
    <w:p w:rsidR="00C00C42" w:rsidRDefault="00E64565">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本公告的解释权归博时基金管理有限公司所有。投资者欲了解详情</w:t>
      </w:r>
      <w:r>
        <w:rPr>
          <w:rFonts w:ascii="Times New Roman" w:hAnsi="Times New Roman" w:cs="Times New Roman"/>
          <w:sz w:val="21"/>
          <w:szCs w:val="21"/>
        </w:rPr>
        <w:t>,</w:t>
      </w:r>
      <w:r>
        <w:rPr>
          <w:rFonts w:ascii="Times New Roman" w:hAnsi="Times New Roman" w:cs="Times New Roman"/>
          <w:sz w:val="21"/>
          <w:szCs w:val="21"/>
        </w:rPr>
        <w:t>可拨打本基金管理人的客户服务电话</w:t>
      </w:r>
      <w:r>
        <w:rPr>
          <w:rFonts w:ascii="Times New Roman" w:hAnsi="Times New Roman" w:cs="Times New Roman"/>
          <w:sz w:val="21"/>
          <w:szCs w:val="21"/>
        </w:rPr>
        <w:t>95105568 (</w:t>
      </w:r>
      <w:r>
        <w:rPr>
          <w:rFonts w:ascii="Times New Roman" w:hAnsi="Times New Roman" w:cs="Times New Roman"/>
          <w:sz w:val="21"/>
          <w:szCs w:val="21"/>
        </w:rPr>
        <w:t>免长途话费</w:t>
      </w:r>
      <w:r>
        <w:rPr>
          <w:rFonts w:ascii="Times New Roman" w:hAnsi="Times New Roman" w:cs="Times New Roman"/>
          <w:sz w:val="21"/>
          <w:szCs w:val="21"/>
        </w:rPr>
        <w:t>)</w:t>
      </w:r>
      <w:r>
        <w:rPr>
          <w:rFonts w:ascii="Times New Roman" w:hAnsi="Times New Roman" w:cs="Times New Roman"/>
          <w:sz w:val="21"/>
          <w:szCs w:val="21"/>
        </w:rPr>
        <w:t>进行咨询。</w:t>
      </w:r>
    </w:p>
    <w:p w:rsidR="00C00C42" w:rsidRDefault="00E64565">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特此公告。</w:t>
      </w:r>
      <w:r>
        <w:rPr>
          <w:rFonts w:ascii="Times New Roman" w:hAnsi="Times New Roman" w:cs="Times New Roman"/>
          <w:sz w:val="21"/>
          <w:szCs w:val="21"/>
        </w:rPr>
        <w:t xml:space="preserve"> </w:t>
      </w:r>
    </w:p>
    <w:p w:rsidR="00C00C42" w:rsidRDefault="00C00C42">
      <w:pPr>
        <w:pStyle w:val="Default"/>
        <w:spacing w:line="360" w:lineRule="auto"/>
        <w:ind w:firstLineChars="200" w:firstLine="420"/>
        <w:jc w:val="right"/>
        <w:rPr>
          <w:rFonts w:ascii="Times New Roman" w:hAnsi="Times New Roman" w:cs="Times New Roman"/>
          <w:sz w:val="21"/>
          <w:szCs w:val="21"/>
        </w:rPr>
      </w:pPr>
    </w:p>
    <w:p w:rsidR="00C00C42" w:rsidRDefault="00C00C42">
      <w:pPr>
        <w:pStyle w:val="Default"/>
        <w:spacing w:line="360" w:lineRule="auto"/>
        <w:ind w:firstLineChars="200" w:firstLine="420"/>
        <w:jc w:val="right"/>
        <w:rPr>
          <w:rFonts w:ascii="Times New Roman" w:hAnsi="Times New Roman" w:cs="Times New Roman"/>
          <w:sz w:val="21"/>
          <w:szCs w:val="21"/>
        </w:rPr>
      </w:pPr>
    </w:p>
    <w:p w:rsidR="00C00C42" w:rsidRDefault="00C00C42">
      <w:pPr>
        <w:pStyle w:val="Default"/>
        <w:spacing w:line="360" w:lineRule="auto"/>
        <w:ind w:firstLineChars="200" w:firstLine="420"/>
        <w:jc w:val="right"/>
        <w:rPr>
          <w:rFonts w:ascii="Times New Roman" w:hAnsi="Times New Roman" w:cs="Times New Roman"/>
          <w:sz w:val="21"/>
          <w:szCs w:val="21"/>
        </w:rPr>
      </w:pPr>
    </w:p>
    <w:p w:rsidR="00C00C42" w:rsidRDefault="00C00C42">
      <w:pPr>
        <w:pStyle w:val="Default"/>
        <w:spacing w:line="360" w:lineRule="auto"/>
        <w:ind w:firstLineChars="200" w:firstLine="420"/>
        <w:jc w:val="right"/>
        <w:rPr>
          <w:rFonts w:ascii="Times New Roman" w:hAnsi="Times New Roman" w:cs="Times New Roman"/>
          <w:sz w:val="21"/>
          <w:szCs w:val="21"/>
        </w:rPr>
      </w:pPr>
    </w:p>
    <w:p w:rsidR="00C00C42" w:rsidRDefault="00E64565">
      <w:pPr>
        <w:pStyle w:val="Default"/>
        <w:spacing w:line="360" w:lineRule="auto"/>
        <w:ind w:firstLineChars="200" w:firstLine="420"/>
        <w:jc w:val="right"/>
        <w:rPr>
          <w:rFonts w:ascii="Times New Roman" w:hAnsi="Times New Roman" w:cs="Times New Roman"/>
          <w:sz w:val="21"/>
          <w:szCs w:val="21"/>
        </w:rPr>
      </w:pPr>
      <w:r>
        <w:rPr>
          <w:rFonts w:ascii="Times New Roman" w:hAnsi="Times New Roman" w:cs="Times New Roman"/>
          <w:sz w:val="21"/>
          <w:szCs w:val="21"/>
        </w:rPr>
        <w:t>博时基金管理有限公司</w:t>
      </w:r>
      <w:r>
        <w:rPr>
          <w:rFonts w:ascii="Times New Roman" w:hAnsi="Times New Roman" w:cs="Times New Roman"/>
          <w:sz w:val="21"/>
          <w:szCs w:val="21"/>
        </w:rPr>
        <w:t xml:space="preserve"> </w:t>
      </w:r>
    </w:p>
    <w:p w:rsidR="00C00C42" w:rsidRDefault="00E64565">
      <w:pPr>
        <w:wordWrap w:val="0"/>
        <w:spacing w:line="360" w:lineRule="auto"/>
        <w:ind w:firstLineChars="200" w:firstLine="420"/>
        <w:jc w:val="right"/>
        <w:rPr>
          <w:rFonts w:ascii="Times New Roman" w:hAnsi="Times New Roman" w:cs="Times New Roman"/>
          <w:szCs w:val="21"/>
        </w:rPr>
      </w:pPr>
      <w:r>
        <w:rPr>
          <w:rFonts w:ascii="Times New Roman" w:hAnsi="Times New Roman" w:cs="Times New Roman"/>
          <w:szCs w:val="21"/>
        </w:rPr>
        <w:t xml:space="preserve"> 202</w:t>
      </w:r>
      <w:r>
        <w:rPr>
          <w:rFonts w:ascii="Times New Roman" w:hAnsi="Times New Roman" w:cs="Times New Roman" w:hint="eastAsia"/>
          <w:szCs w:val="21"/>
        </w:rPr>
        <w:t>4</w:t>
      </w:r>
      <w:r>
        <w:rPr>
          <w:rFonts w:ascii="Times New Roman" w:hAnsi="Times New Roman" w:cs="Times New Roman"/>
          <w:szCs w:val="21"/>
        </w:rPr>
        <w:t>年</w:t>
      </w:r>
      <w:r>
        <w:rPr>
          <w:rFonts w:ascii="Times New Roman" w:hAnsi="Times New Roman" w:cs="Times New Roman" w:hint="eastAsia"/>
          <w:szCs w:val="21"/>
        </w:rPr>
        <w:t>10</w:t>
      </w:r>
      <w:r>
        <w:rPr>
          <w:rFonts w:ascii="Times New Roman" w:hAnsi="Times New Roman" w:cs="Times New Roman"/>
          <w:szCs w:val="21"/>
        </w:rPr>
        <w:t>月</w:t>
      </w:r>
      <w:r>
        <w:rPr>
          <w:rFonts w:ascii="Times New Roman" w:hAnsi="Times New Roman" w:cs="Times New Roman" w:hint="eastAsia"/>
          <w:szCs w:val="21"/>
        </w:rPr>
        <w:t>11</w:t>
      </w:r>
      <w:r>
        <w:rPr>
          <w:rFonts w:ascii="Times New Roman" w:hAnsi="Times New Roman" w:cs="Times New Roman"/>
          <w:szCs w:val="21"/>
        </w:rPr>
        <w:t>日</w:t>
      </w:r>
    </w:p>
    <w:sectPr w:rsidR="00C00C42" w:rsidSect="00C00C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82AB8"/>
    <w:multiLevelType w:val="multilevel"/>
    <w:tmpl w:val="5A582AB8"/>
    <w:lvl w:ilvl="0">
      <w:start w:val="1"/>
      <w:numFmt w:val="japaneseCounting"/>
      <w:lvlText w:val="%1、"/>
      <w:lvlJc w:val="left"/>
      <w:pPr>
        <w:ind w:left="878" w:hanging="456"/>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3B6F"/>
    <w:rsid w:val="00006F04"/>
    <w:rsid w:val="00066662"/>
    <w:rsid w:val="000C1640"/>
    <w:rsid w:val="00120D3D"/>
    <w:rsid w:val="001E2F9F"/>
    <w:rsid w:val="0021543F"/>
    <w:rsid w:val="00251451"/>
    <w:rsid w:val="002811E1"/>
    <w:rsid w:val="002A7E7C"/>
    <w:rsid w:val="002B5452"/>
    <w:rsid w:val="002C2AA2"/>
    <w:rsid w:val="003024E8"/>
    <w:rsid w:val="004028DF"/>
    <w:rsid w:val="004811CE"/>
    <w:rsid w:val="004845BA"/>
    <w:rsid w:val="004F4D45"/>
    <w:rsid w:val="00502638"/>
    <w:rsid w:val="0058552D"/>
    <w:rsid w:val="005909A6"/>
    <w:rsid w:val="005D07D5"/>
    <w:rsid w:val="005F599E"/>
    <w:rsid w:val="006F3847"/>
    <w:rsid w:val="006F4E48"/>
    <w:rsid w:val="00793B6F"/>
    <w:rsid w:val="007C4A87"/>
    <w:rsid w:val="007D5332"/>
    <w:rsid w:val="007E02E2"/>
    <w:rsid w:val="008365D0"/>
    <w:rsid w:val="008E756F"/>
    <w:rsid w:val="00933AF0"/>
    <w:rsid w:val="00A32C7C"/>
    <w:rsid w:val="00A71902"/>
    <w:rsid w:val="00AB16AF"/>
    <w:rsid w:val="00AC23CA"/>
    <w:rsid w:val="00B65778"/>
    <w:rsid w:val="00C00C42"/>
    <w:rsid w:val="00C27A24"/>
    <w:rsid w:val="00C32446"/>
    <w:rsid w:val="00CA3B90"/>
    <w:rsid w:val="00CC3E5B"/>
    <w:rsid w:val="00CD2F2D"/>
    <w:rsid w:val="00CE414E"/>
    <w:rsid w:val="00D04E0E"/>
    <w:rsid w:val="00D33BDB"/>
    <w:rsid w:val="00D3606B"/>
    <w:rsid w:val="00D650F3"/>
    <w:rsid w:val="00D672C7"/>
    <w:rsid w:val="00D91770"/>
    <w:rsid w:val="00D948B9"/>
    <w:rsid w:val="00D9643A"/>
    <w:rsid w:val="00DA4525"/>
    <w:rsid w:val="00DE497D"/>
    <w:rsid w:val="00E64565"/>
    <w:rsid w:val="00E72538"/>
    <w:rsid w:val="00EC029C"/>
    <w:rsid w:val="00EE2F38"/>
    <w:rsid w:val="00EE342A"/>
    <w:rsid w:val="00F154EF"/>
    <w:rsid w:val="00F51C6B"/>
    <w:rsid w:val="00F87F5C"/>
    <w:rsid w:val="07C4574A"/>
    <w:rsid w:val="0DDC490B"/>
    <w:rsid w:val="0F5E2036"/>
    <w:rsid w:val="13607D42"/>
    <w:rsid w:val="175257C6"/>
    <w:rsid w:val="19070143"/>
    <w:rsid w:val="1D893A7A"/>
    <w:rsid w:val="1F6F5922"/>
    <w:rsid w:val="20746650"/>
    <w:rsid w:val="229C5125"/>
    <w:rsid w:val="28572281"/>
    <w:rsid w:val="30276510"/>
    <w:rsid w:val="30EA0CAA"/>
    <w:rsid w:val="316558EA"/>
    <w:rsid w:val="347D25A2"/>
    <w:rsid w:val="34946B49"/>
    <w:rsid w:val="36362391"/>
    <w:rsid w:val="36CC5B5A"/>
    <w:rsid w:val="373C53F9"/>
    <w:rsid w:val="38E9112C"/>
    <w:rsid w:val="393C7303"/>
    <w:rsid w:val="3AA239F0"/>
    <w:rsid w:val="3B331FA9"/>
    <w:rsid w:val="46E434A7"/>
    <w:rsid w:val="46FA5602"/>
    <w:rsid w:val="52F53710"/>
    <w:rsid w:val="5711591F"/>
    <w:rsid w:val="576963E1"/>
    <w:rsid w:val="5D2F3495"/>
    <w:rsid w:val="5F6A590B"/>
    <w:rsid w:val="68800115"/>
    <w:rsid w:val="6A813F22"/>
    <w:rsid w:val="6B423FA8"/>
    <w:rsid w:val="6F1745E4"/>
    <w:rsid w:val="7D4420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C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00C42"/>
    <w:pPr>
      <w:jc w:val="left"/>
    </w:pPr>
  </w:style>
  <w:style w:type="paragraph" w:styleId="a4">
    <w:name w:val="Balloon Text"/>
    <w:basedOn w:val="a"/>
    <w:link w:val="Char0"/>
    <w:uiPriority w:val="99"/>
    <w:semiHidden/>
    <w:unhideWhenUsed/>
    <w:qFormat/>
    <w:rsid w:val="00C00C42"/>
    <w:rPr>
      <w:sz w:val="18"/>
      <w:szCs w:val="18"/>
    </w:rPr>
  </w:style>
  <w:style w:type="paragraph" w:styleId="a5">
    <w:name w:val="footer"/>
    <w:basedOn w:val="a"/>
    <w:link w:val="Char1"/>
    <w:uiPriority w:val="99"/>
    <w:unhideWhenUsed/>
    <w:qFormat/>
    <w:rsid w:val="00C00C4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00C4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C00C42"/>
    <w:rPr>
      <w:b/>
      <w:bCs/>
    </w:rPr>
  </w:style>
  <w:style w:type="table" w:styleId="a8">
    <w:name w:val="Table Grid"/>
    <w:basedOn w:val="a1"/>
    <w:qFormat/>
    <w:rsid w:val="00C00C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C00C42"/>
    <w:rPr>
      <w:sz w:val="21"/>
      <w:szCs w:val="21"/>
    </w:rPr>
  </w:style>
  <w:style w:type="character" w:customStyle="1" w:styleId="Char2">
    <w:name w:val="页眉 Char"/>
    <w:basedOn w:val="a0"/>
    <w:link w:val="a6"/>
    <w:uiPriority w:val="99"/>
    <w:qFormat/>
    <w:rsid w:val="00C00C42"/>
    <w:rPr>
      <w:sz w:val="18"/>
      <w:szCs w:val="18"/>
    </w:rPr>
  </w:style>
  <w:style w:type="character" w:customStyle="1" w:styleId="Char1">
    <w:name w:val="页脚 Char"/>
    <w:basedOn w:val="a0"/>
    <w:link w:val="a5"/>
    <w:uiPriority w:val="99"/>
    <w:qFormat/>
    <w:rsid w:val="00C00C42"/>
    <w:rPr>
      <w:sz w:val="18"/>
      <w:szCs w:val="18"/>
    </w:rPr>
  </w:style>
  <w:style w:type="paragraph" w:customStyle="1" w:styleId="Default">
    <w:name w:val="Default"/>
    <w:qFormat/>
    <w:rsid w:val="00C00C42"/>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semiHidden/>
    <w:qFormat/>
    <w:rsid w:val="00C00C42"/>
    <w:rPr>
      <w:kern w:val="2"/>
      <w:sz w:val="21"/>
      <w:szCs w:val="22"/>
    </w:rPr>
  </w:style>
  <w:style w:type="character" w:customStyle="1" w:styleId="Char3">
    <w:name w:val="批注主题 Char"/>
    <w:basedOn w:val="Char"/>
    <w:link w:val="a7"/>
    <w:uiPriority w:val="99"/>
    <w:semiHidden/>
    <w:qFormat/>
    <w:rsid w:val="00C00C42"/>
    <w:rPr>
      <w:b/>
      <w:bCs/>
      <w:kern w:val="2"/>
      <w:sz w:val="21"/>
      <w:szCs w:val="22"/>
    </w:rPr>
  </w:style>
  <w:style w:type="character" w:customStyle="1" w:styleId="Char0">
    <w:name w:val="批注框文本 Char"/>
    <w:basedOn w:val="a0"/>
    <w:link w:val="a4"/>
    <w:uiPriority w:val="99"/>
    <w:semiHidden/>
    <w:qFormat/>
    <w:rsid w:val="00C00C42"/>
    <w:rPr>
      <w:kern w:val="2"/>
      <w:sz w:val="18"/>
      <w:szCs w:val="18"/>
    </w:rPr>
  </w:style>
  <w:style w:type="character" w:customStyle="1" w:styleId="da">
    <w:name w:val="da"/>
    <w:basedOn w:val="a0"/>
    <w:qFormat/>
    <w:rsid w:val="00C00C42"/>
  </w:style>
  <w:style w:type="paragraph" w:customStyle="1" w:styleId="aa">
    <w:name w:val="无缩进备注"/>
    <w:basedOn w:val="a"/>
    <w:qFormat/>
    <w:rsid w:val="00C00C42"/>
    <w:pPr>
      <w:tabs>
        <w:tab w:val="left" w:pos="426"/>
      </w:tabs>
      <w:jc w:val="left"/>
    </w:pPr>
    <w:rPr>
      <w:rFonts w:ascii="宋体" w:hAnsi="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6231-9FFC-4683-B198-9B504B9D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987</Characters>
  <Application>Microsoft Office Word</Application>
  <DocSecurity>4</DocSecurity>
  <Lines>8</Lines>
  <Paragraphs>2</Paragraphs>
  <ScaleCrop>false</ScaleCrop>
  <Company>CNSTOCK</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2024-10-10T16:02:00Z</dcterms:created>
  <dcterms:modified xsi:type="dcterms:W3CDTF">2024-10-10T16:02:00Z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C465E642D427461095ABFD85ADAB9FDD</vt:lpwstr>
  </property>
</Properties>
</file>