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BD" w:rsidRDefault="00D97AA2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/>
          <w:b/>
          <w:sz w:val="30"/>
          <w:szCs w:val="30"/>
        </w:rPr>
        <w:t>关于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博时鑫荣稳健混合型证券投资基金</w:t>
      </w:r>
      <w:r>
        <w:rPr>
          <w:rFonts w:ascii="Times New Roman" w:eastAsia="宋体" w:hAnsi="Times New Roman" w:cs="Times New Roman"/>
          <w:b/>
          <w:sz w:val="30"/>
          <w:szCs w:val="30"/>
        </w:rPr>
        <w:t>基金合同终止的公告</w:t>
      </w:r>
    </w:p>
    <w:p w:rsidR="001001BD" w:rsidRDefault="001001BD">
      <w:pPr>
        <w:rPr>
          <w:rFonts w:ascii="Times New Roman" w:eastAsia="宋体" w:hAnsi="Times New Roman" w:cs="Times New Roman"/>
        </w:rPr>
      </w:pPr>
    </w:p>
    <w:p w:rsidR="001001BD" w:rsidRDefault="00D97AA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根据《中华人民共和国证券投资基金法》、《公开募集证券投资基金运作管理办法》、《</w:t>
      </w:r>
      <w:r>
        <w:rPr>
          <w:rFonts w:ascii="Times New Roman" w:hAnsi="Times New Roman" w:cs="Times New Roman" w:hint="eastAsia"/>
          <w:szCs w:val="21"/>
        </w:rPr>
        <w:t>博时鑫荣稳健混合型证券投资基金</w:t>
      </w:r>
      <w:r>
        <w:rPr>
          <w:rFonts w:ascii="Times New Roman" w:hAnsi="Times New Roman" w:cs="Times New Roman"/>
          <w:szCs w:val="21"/>
        </w:rPr>
        <w:t>基金合同》（以下简称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《基金合同》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）的有关规定</w:t>
      </w:r>
      <w:r>
        <w:rPr>
          <w:rFonts w:ascii="Times New Roman" w:eastAsia="宋体" w:hAnsi="Times New Roman" w:cs="Times New Roman" w:hint="eastAsia"/>
          <w:kern w:val="0"/>
          <w:szCs w:val="21"/>
        </w:rPr>
        <w:t>及</w:t>
      </w:r>
      <w:r>
        <w:rPr>
          <w:rFonts w:ascii="宋体" w:hAnsi="宋体" w:cs="Arial" w:hint="eastAsia"/>
          <w:color w:val="000000"/>
          <w:szCs w:val="21"/>
        </w:rPr>
        <w:t>博时基金管理有限公司于</w:t>
      </w:r>
      <w:r>
        <w:rPr>
          <w:rStyle w:val="da"/>
          <w:rFonts w:ascii="宋体" w:hAnsi="宋体" w:cs="Arial" w:hint="eastAsia"/>
        </w:rPr>
        <w:t>2024</w:t>
      </w:r>
      <w:r>
        <w:rPr>
          <w:rStyle w:val="da"/>
          <w:rFonts w:ascii="宋体" w:hAnsi="宋体" w:cs="Arial" w:hint="eastAsia"/>
        </w:rPr>
        <w:t>年</w:t>
      </w:r>
      <w:r>
        <w:rPr>
          <w:rStyle w:val="da"/>
          <w:rFonts w:ascii="宋体" w:hAnsi="宋体" w:cs="Arial" w:hint="eastAsia"/>
        </w:rPr>
        <w:t>8</w:t>
      </w:r>
      <w:r>
        <w:rPr>
          <w:rStyle w:val="da"/>
          <w:rFonts w:ascii="宋体" w:hAnsi="宋体" w:cs="Arial" w:hint="eastAsia"/>
        </w:rPr>
        <w:t>月</w:t>
      </w:r>
      <w:r>
        <w:rPr>
          <w:rStyle w:val="da"/>
          <w:rFonts w:ascii="宋体" w:hAnsi="宋体" w:cs="Arial" w:hint="eastAsia"/>
        </w:rPr>
        <w:t>22</w:t>
      </w:r>
      <w:r>
        <w:rPr>
          <w:rStyle w:val="da"/>
          <w:rFonts w:ascii="宋体" w:hAnsi="宋体" w:cs="Arial" w:hint="eastAsia"/>
        </w:rPr>
        <w:t>日</w:t>
      </w:r>
      <w:r>
        <w:rPr>
          <w:rFonts w:asciiTheme="minorEastAsia" w:hAnsiTheme="minorEastAsia" w:hint="eastAsia"/>
          <w:szCs w:val="21"/>
        </w:rPr>
        <w:t>发布的《博时基金管理有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限公司关于</w:t>
      </w:r>
      <w:r>
        <w:rPr>
          <w:rStyle w:val="da"/>
          <w:rFonts w:ascii="宋体" w:hAnsi="宋体" w:cs="Arial" w:hint="eastAsia"/>
        </w:rPr>
        <w:t>博时鑫荣稳健混合型证券投资基金</w:t>
      </w:r>
      <w:r>
        <w:rPr>
          <w:rFonts w:asciiTheme="minorEastAsia" w:hAnsiTheme="minorEastAsia" w:hint="eastAsia"/>
          <w:szCs w:val="21"/>
        </w:rPr>
        <w:t>基金份额持有人大会表决结果暨决议生效的公告》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="Times New Roman" w:hAnsi="Times New Roman" w:cs="Times New Roman" w:hint="eastAsia"/>
          <w:szCs w:val="21"/>
        </w:rPr>
        <w:t>博时鑫荣稳健混合型证券投资基金</w:t>
      </w:r>
      <w:r>
        <w:rPr>
          <w:rFonts w:ascii="Times New Roman" w:hAnsi="Times New Roman" w:cs="Times New Roman"/>
          <w:szCs w:val="21"/>
        </w:rPr>
        <w:t>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本基金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）出现法律法规以及《基金合同》规定的终止事由。本基金管理人博时基金管理有限公司（以下简称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）已依法对基金财产进行清算</w:t>
      </w:r>
      <w:r>
        <w:rPr>
          <w:rFonts w:ascii="Times New Roman" w:hAnsi="Times New Roman" w:cs="Times New Roman" w:hint="eastAsia"/>
          <w:szCs w:val="21"/>
        </w:rPr>
        <w:t>，清算结果已报中国证监会备案</w:t>
      </w:r>
      <w:r>
        <w:rPr>
          <w:rFonts w:ascii="Times New Roman" w:hAnsi="Times New Roman" w:cs="Times New Roman"/>
          <w:szCs w:val="21"/>
        </w:rPr>
        <w:t>。现将相关事项公告如下</w:t>
      </w:r>
      <w:r>
        <w:rPr>
          <w:rFonts w:ascii="Times New Roman" w:hAnsi="Times New Roman" w:cs="Times New Roman"/>
          <w:szCs w:val="21"/>
        </w:rPr>
        <w:t>:</w:t>
      </w:r>
    </w:p>
    <w:p w:rsidR="001001BD" w:rsidRDefault="001001BD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Times New Roman" w:hAnsi="Times New Roman" w:cs="Times New Roman"/>
          <w:szCs w:val="21"/>
        </w:rPr>
      </w:pPr>
    </w:p>
    <w:p w:rsidR="001001BD" w:rsidRDefault="00D97AA2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本基金基本信息</w:t>
      </w:r>
    </w:p>
    <w:tbl>
      <w:tblPr>
        <w:tblStyle w:val="a8"/>
        <w:tblW w:w="0" w:type="auto"/>
        <w:tblLook w:val="04A0"/>
      </w:tblPr>
      <w:tblGrid>
        <w:gridCol w:w="2840"/>
        <w:gridCol w:w="2841"/>
        <w:gridCol w:w="2841"/>
      </w:tblGrid>
      <w:tr w:rsidR="001001BD">
        <w:tc>
          <w:tcPr>
            <w:tcW w:w="2840" w:type="dxa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基金名称</w:t>
            </w:r>
          </w:p>
        </w:tc>
        <w:tc>
          <w:tcPr>
            <w:tcW w:w="5682" w:type="dxa"/>
            <w:gridSpan w:val="2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博时鑫荣稳健混合型证券投资基金</w:t>
            </w:r>
          </w:p>
        </w:tc>
      </w:tr>
      <w:tr w:rsidR="001001BD">
        <w:tc>
          <w:tcPr>
            <w:tcW w:w="2840" w:type="dxa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基金简称</w:t>
            </w:r>
          </w:p>
        </w:tc>
        <w:tc>
          <w:tcPr>
            <w:tcW w:w="5682" w:type="dxa"/>
            <w:gridSpan w:val="2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  <w:szCs w:val="21"/>
              </w:rPr>
              <w:t>博时鑫荣稳健混合</w:t>
            </w:r>
          </w:p>
        </w:tc>
      </w:tr>
      <w:tr w:rsidR="001001BD">
        <w:tc>
          <w:tcPr>
            <w:tcW w:w="2840" w:type="dxa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基金主代码</w:t>
            </w:r>
          </w:p>
        </w:tc>
        <w:tc>
          <w:tcPr>
            <w:tcW w:w="5682" w:type="dxa"/>
            <w:gridSpan w:val="2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/>
                <w:szCs w:val="21"/>
              </w:rPr>
              <w:t>009545</w:t>
            </w:r>
          </w:p>
        </w:tc>
      </w:tr>
      <w:tr w:rsidR="001001BD">
        <w:tc>
          <w:tcPr>
            <w:tcW w:w="2840" w:type="dxa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基金运作方式</w:t>
            </w:r>
          </w:p>
        </w:tc>
        <w:tc>
          <w:tcPr>
            <w:tcW w:w="5682" w:type="dxa"/>
            <w:gridSpan w:val="2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契约型开放式</w:t>
            </w:r>
          </w:p>
        </w:tc>
      </w:tr>
      <w:tr w:rsidR="001001BD">
        <w:tc>
          <w:tcPr>
            <w:tcW w:w="2840" w:type="dxa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基金合同生效日</w:t>
            </w:r>
          </w:p>
        </w:tc>
        <w:tc>
          <w:tcPr>
            <w:tcW w:w="5682" w:type="dxa"/>
            <w:gridSpan w:val="2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/>
                <w:szCs w:val="21"/>
              </w:rPr>
              <w:t>2020</w:t>
            </w:r>
            <w:r>
              <w:rPr>
                <w:rFonts w:ascii="宋体" w:eastAsia="宋体" w:hAnsi="宋体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月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日</w:t>
            </w:r>
          </w:p>
        </w:tc>
      </w:tr>
      <w:tr w:rsidR="001001BD">
        <w:tc>
          <w:tcPr>
            <w:tcW w:w="2840" w:type="dxa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基金管理人名称</w:t>
            </w:r>
          </w:p>
        </w:tc>
        <w:tc>
          <w:tcPr>
            <w:tcW w:w="5682" w:type="dxa"/>
            <w:gridSpan w:val="2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博时基金管理有限公司</w:t>
            </w:r>
          </w:p>
        </w:tc>
      </w:tr>
      <w:tr w:rsidR="001001BD">
        <w:tc>
          <w:tcPr>
            <w:tcW w:w="2840" w:type="dxa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基金托管人名称</w:t>
            </w:r>
          </w:p>
        </w:tc>
        <w:tc>
          <w:tcPr>
            <w:tcW w:w="5682" w:type="dxa"/>
            <w:gridSpan w:val="2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  <w:szCs w:val="21"/>
              </w:rPr>
              <w:t>上海银行股份有限公司</w:t>
            </w:r>
          </w:p>
        </w:tc>
      </w:tr>
      <w:tr w:rsidR="001001BD">
        <w:tc>
          <w:tcPr>
            <w:tcW w:w="2840" w:type="dxa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基金注册登记机构名称</w:t>
            </w:r>
          </w:p>
        </w:tc>
        <w:tc>
          <w:tcPr>
            <w:tcW w:w="5682" w:type="dxa"/>
            <w:gridSpan w:val="2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博时基金管理有限公司</w:t>
            </w:r>
          </w:p>
        </w:tc>
      </w:tr>
      <w:tr w:rsidR="001001BD">
        <w:tc>
          <w:tcPr>
            <w:tcW w:w="2840" w:type="dxa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公告依据</w:t>
            </w:r>
          </w:p>
        </w:tc>
        <w:tc>
          <w:tcPr>
            <w:tcW w:w="5682" w:type="dxa"/>
            <w:gridSpan w:val="2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《中华人民共和国证券投资基金法》、《公开募集证券投资基金运作管理办法》等法律法规以及《</w:t>
            </w:r>
            <w:r>
              <w:rPr>
                <w:rFonts w:ascii="宋体" w:eastAsia="宋体" w:hAnsi="宋体" w:cs="宋体" w:hint="eastAsia"/>
              </w:rPr>
              <w:t>博时鑫荣稳健混合型证券投资基金</w:t>
            </w:r>
            <w:r>
              <w:rPr>
                <w:rFonts w:ascii="宋体" w:eastAsia="宋体" w:hAnsi="宋体" w:cs="宋体" w:hint="eastAsia"/>
              </w:rPr>
              <w:t>基金合同》、《</w:t>
            </w:r>
            <w:r>
              <w:rPr>
                <w:rFonts w:ascii="宋体" w:eastAsia="宋体" w:hAnsi="宋体" w:cs="宋体" w:hint="eastAsia"/>
              </w:rPr>
              <w:t>博时鑫荣稳健混合型证券投资基金</w:t>
            </w:r>
            <w:r>
              <w:rPr>
                <w:rFonts w:ascii="宋体" w:eastAsia="宋体" w:hAnsi="宋体" w:cs="宋体" w:hint="eastAsia"/>
              </w:rPr>
              <w:t>招募说明书》等</w:t>
            </w:r>
          </w:p>
        </w:tc>
      </w:tr>
      <w:tr w:rsidR="001001BD">
        <w:tc>
          <w:tcPr>
            <w:tcW w:w="2840" w:type="dxa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下属类别基金的基金简称</w:t>
            </w:r>
          </w:p>
        </w:tc>
        <w:tc>
          <w:tcPr>
            <w:tcW w:w="2841" w:type="dxa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  <w:szCs w:val="21"/>
              </w:rPr>
              <w:t>博时鑫荣稳健混合</w:t>
            </w:r>
            <w:r>
              <w:rPr>
                <w:rFonts w:ascii="宋体" w:eastAsia="宋体" w:hAnsi="宋体"/>
                <w:szCs w:val="21"/>
              </w:rPr>
              <w:t>A</w:t>
            </w:r>
          </w:p>
        </w:tc>
        <w:tc>
          <w:tcPr>
            <w:tcW w:w="2841" w:type="dxa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  <w:szCs w:val="21"/>
              </w:rPr>
              <w:t>博时鑫荣稳健混合</w:t>
            </w:r>
            <w:r>
              <w:rPr>
                <w:rFonts w:ascii="宋体" w:eastAsia="宋体" w:hAnsi="宋体"/>
                <w:szCs w:val="21"/>
              </w:rPr>
              <w:t>C</w:t>
            </w:r>
          </w:p>
        </w:tc>
      </w:tr>
      <w:tr w:rsidR="001001BD">
        <w:tc>
          <w:tcPr>
            <w:tcW w:w="2840" w:type="dxa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下属类别基金的交易代码</w:t>
            </w:r>
          </w:p>
        </w:tc>
        <w:tc>
          <w:tcPr>
            <w:tcW w:w="2841" w:type="dxa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/>
                <w:szCs w:val="21"/>
              </w:rPr>
              <w:t>009545</w:t>
            </w:r>
          </w:p>
        </w:tc>
        <w:tc>
          <w:tcPr>
            <w:tcW w:w="2841" w:type="dxa"/>
            <w:vAlign w:val="center"/>
          </w:tcPr>
          <w:p w:rsidR="001001BD" w:rsidRDefault="00D97A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/>
                <w:szCs w:val="21"/>
              </w:rPr>
              <w:t>009546</w:t>
            </w:r>
          </w:p>
        </w:tc>
      </w:tr>
    </w:tbl>
    <w:p w:rsidR="001001BD" w:rsidRDefault="001001BD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</w:p>
    <w:p w:rsidR="001001BD" w:rsidRDefault="00D97AA2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  <w:r>
        <w:rPr>
          <w:rFonts w:ascii="Times New Roman" w:eastAsia="宋体" w:hAnsi="Times New Roman" w:cs="Times New Roman"/>
          <w:b/>
          <w:kern w:val="0"/>
          <w:szCs w:val="21"/>
        </w:rPr>
        <w:t>二、本基金合同的终止时间</w:t>
      </w:r>
    </w:p>
    <w:p w:rsidR="001001BD" w:rsidRDefault="00D97AA2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本基金出现了《基金合同》终止事由后，本公司组织基金托管人上海银行股份有限公司、安永华明会计师事务所（特殊普通合伙）和上海源泰律师事务所成立基金财产清算小组，对基金财产进行了清算。</w:t>
      </w:r>
    </w:p>
    <w:p w:rsidR="001001BD" w:rsidRDefault="00D97AA2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根据《中华人民共和国证券投资基金法》、《公开募集证券投资基金运作管理办法》、《</w:t>
      </w:r>
      <w:r>
        <w:rPr>
          <w:rFonts w:ascii="Times New Roman" w:eastAsia="宋体" w:hAnsi="Times New Roman" w:cs="Times New Roman" w:hint="eastAsia"/>
          <w:kern w:val="0"/>
          <w:szCs w:val="21"/>
        </w:rPr>
        <w:t>博时鑫荣稳健混合型证券投资基金</w:t>
      </w:r>
      <w:r>
        <w:rPr>
          <w:rFonts w:ascii="Times New Roman" w:eastAsia="宋体" w:hAnsi="Times New Roman" w:cs="Times New Roman"/>
          <w:kern w:val="0"/>
          <w:szCs w:val="21"/>
        </w:rPr>
        <w:t>基金合同》的有关规定</w:t>
      </w:r>
      <w:r>
        <w:rPr>
          <w:rFonts w:ascii="Times New Roman" w:eastAsia="宋体" w:hAnsi="Times New Roman" w:cs="Times New Roman" w:hint="eastAsia"/>
          <w:kern w:val="0"/>
          <w:szCs w:val="21"/>
        </w:rPr>
        <w:t>及</w:t>
      </w:r>
      <w:r>
        <w:rPr>
          <w:rFonts w:ascii="宋体" w:hAnsi="宋体" w:cs="Arial" w:hint="eastAsia"/>
          <w:color w:val="000000"/>
          <w:szCs w:val="21"/>
        </w:rPr>
        <w:t>博时基金管理有限公司于</w:t>
      </w:r>
      <w:r>
        <w:rPr>
          <w:rStyle w:val="da"/>
          <w:rFonts w:ascii="宋体" w:hAnsi="宋体" w:cs="Arial" w:hint="eastAsia"/>
        </w:rPr>
        <w:t>2024</w:t>
      </w:r>
      <w:r>
        <w:rPr>
          <w:rStyle w:val="da"/>
          <w:rFonts w:ascii="宋体" w:hAnsi="宋体" w:cs="Arial" w:hint="eastAsia"/>
        </w:rPr>
        <w:t>年</w:t>
      </w:r>
      <w:r>
        <w:rPr>
          <w:rStyle w:val="da"/>
          <w:rFonts w:ascii="宋体" w:hAnsi="宋体" w:cs="Arial" w:hint="eastAsia"/>
        </w:rPr>
        <w:t>8</w:t>
      </w:r>
      <w:r>
        <w:rPr>
          <w:rStyle w:val="da"/>
          <w:rFonts w:ascii="宋体" w:hAnsi="宋体" w:cs="Arial" w:hint="eastAsia"/>
        </w:rPr>
        <w:t>月</w:t>
      </w:r>
      <w:r>
        <w:rPr>
          <w:rStyle w:val="da"/>
          <w:rFonts w:ascii="宋体" w:hAnsi="宋体" w:cs="Arial" w:hint="eastAsia"/>
        </w:rPr>
        <w:t>22</w:t>
      </w:r>
      <w:r>
        <w:rPr>
          <w:rStyle w:val="da"/>
          <w:rFonts w:ascii="宋体" w:hAnsi="宋体" w:cs="Arial" w:hint="eastAsia"/>
        </w:rPr>
        <w:t>日</w:t>
      </w:r>
      <w:r>
        <w:rPr>
          <w:rFonts w:asciiTheme="minorEastAsia" w:hAnsiTheme="minorEastAsia" w:hint="eastAsia"/>
          <w:szCs w:val="21"/>
        </w:rPr>
        <w:t>发布的《博时基金管理有限公司关于</w:t>
      </w:r>
      <w:r>
        <w:rPr>
          <w:rStyle w:val="da"/>
          <w:rFonts w:ascii="宋体" w:hAnsi="宋体" w:cs="Arial" w:hint="eastAsia"/>
        </w:rPr>
        <w:t>博时鑫荣稳健混合型证券投资基金</w:t>
      </w:r>
      <w:r>
        <w:rPr>
          <w:rFonts w:asciiTheme="minorEastAsia" w:hAnsiTheme="minorEastAsia" w:hint="eastAsia"/>
          <w:szCs w:val="21"/>
        </w:rPr>
        <w:t>基</w:t>
      </w:r>
      <w:r>
        <w:rPr>
          <w:rFonts w:asciiTheme="minorEastAsia" w:hAnsiTheme="minorEastAsia" w:hint="eastAsia"/>
          <w:szCs w:val="21"/>
        </w:rPr>
        <w:lastRenderedPageBreak/>
        <w:t>金份额持有人大会表决结果暨决议生效的公告》</w:t>
      </w:r>
      <w:r>
        <w:rPr>
          <w:rFonts w:ascii="Times New Roman" w:eastAsia="宋体" w:hAnsi="Times New Roman" w:cs="Times New Roman"/>
          <w:kern w:val="0"/>
          <w:szCs w:val="21"/>
        </w:rPr>
        <w:t>，《</w:t>
      </w:r>
      <w:r>
        <w:rPr>
          <w:rFonts w:ascii="Times New Roman" w:eastAsia="宋体" w:hAnsi="Times New Roman" w:cs="Times New Roman" w:hint="eastAsia"/>
          <w:kern w:val="0"/>
          <w:szCs w:val="21"/>
        </w:rPr>
        <w:t>博时鑫荣稳健混合型证券投资基金</w:t>
      </w:r>
      <w:r>
        <w:rPr>
          <w:rFonts w:ascii="Times New Roman" w:eastAsia="宋体" w:hAnsi="Times New Roman" w:cs="Times New Roman"/>
          <w:kern w:val="0"/>
          <w:szCs w:val="21"/>
        </w:rPr>
        <w:t>基金合同》自本公告发</w:t>
      </w:r>
      <w:r>
        <w:rPr>
          <w:rFonts w:ascii="Times New Roman" w:eastAsia="宋体" w:hAnsi="Times New Roman" w:cs="Times New Roman"/>
          <w:kern w:val="0"/>
          <w:szCs w:val="21"/>
        </w:rPr>
        <w:t>布之日起终止。</w:t>
      </w:r>
    </w:p>
    <w:p w:rsidR="001001BD" w:rsidRDefault="001001BD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</w:p>
    <w:p w:rsidR="001001BD" w:rsidRDefault="00D97AA2">
      <w:pPr>
        <w:pStyle w:val="Default"/>
        <w:spacing w:line="360" w:lineRule="auto"/>
        <w:ind w:firstLineChars="200" w:firstLine="42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三、备查文件</w:t>
      </w:r>
    </w:p>
    <w:p w:rsidR="001001BD" w:rsidRDefault="00D97AA2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、《</w:t>
      </w:r>
      <w:r>
        <w:rPr>
          <w:rFonts w:ascii="Times New Roman" w:hAnsi="Times New Roman" w:cs="Times New Roman" w:hint="eastAsia"/>
          <w:sz w:val="21"/>
          <w:szCs w:val="21"/>
        </w:rPr>
        <w:t>博时鑫荣稳健混合型证券投资基金</w:t>
      </w:r>
      <w:r>
        <w:rPr>
          <w:rFonts w:ascii="Times New Roman" w:hAnsi="Times New Roman" w:cs="Times New Roman"/>
          <w:sz w:val="21"/>
          <w:szCs w:val="21"/>
        </w:rPr>
        <w:t>基金合同》</w:t>
      </w:r>
    </w:p>
    <w:p w:rsidR="001001BD" w:rsidRDefault="00D97AA2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、《</w:t>
      </w:r>
      <w:r>
        <w:rPr>
          <w:rFonts w:ascii="Times New Roman" w:hAnsi="Times New Roman" w:cs="Times New Roman" w:hint="eastAsia"/>
          <w:sz w:val="21"/>
          <w:szCs w:val="21"/>
        </w:rPr>
        <w:t>博时鑫荣稳健混合型证券投资基金</w:t>
      </w:r>
      <w:r>
        <w:rPr>
          <w:rFonts w:ascii="Times New Roman" w:hAnsi="Times New Roman" w:cs="Times New Roman"/>
          <w:sz w:val="21"/>
          <w:szCs w:val="21"/>
        </w:rPr>
        <w:t>清算报告》</w:t>
      </w:r>
    </w:p>
    <w:p w:rsidR="001001BD" w:rsidRDefault="00D97AA2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、《</w:t>
      </w:r>
      <w:r>
        <w:rPr>
          <w:rFonts w:ascii="Times New Roman" w:hAnsi="Times New Roman" w:cs="Times New Roman" w:hint="eastAsia"/>
          <w:sz w:val="21"/>
          <w:szCs w:val="21"/>
        </w:rPr>
        <w:t>博时鑫荣稳健混合型证券投资基金清算审计报告</w:t>
      </w:r>
      <w:r>
        <w:rPr>
          <w:rFonts w:ascii="Times New Roman" w:hAnsi="Times New Roman" w:cs="Times New Roman"/>
          <w:sz w:val="21"/>
          <w:szCs w:val="21"/>
        </w:rPr>
        <w:t>》</w:t>
      </w:r>
    </w:p>
    <w:p w:rsidR="001001BD" w:rsidRDefault="00D97AA2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 w:hint="eastAsia"/>
          <w:sz w:val="21"/>
          <w:szCs w:val="21"/>
        </w:rPr>
        <w:t>《上海源泰律师事务所关于</w:t>
      </w:r>
      <w:r>
        <w:rPr>
          <w:rFonts w:ascii="Times New Roman" w:hAnsi="Times New Roman" w:cs="Times New Roman" w:hint="eastAsia"/>
          <w:sz w:val="21"/>
          <w:szCs w:val="21"/>
        </w:rPr>
        <w:t>博时鑫荣稳健混合型证券投资基金</w:t>
      </w:r>
      <w:r>
        <w:rPr>
          <w:rFonts w:ascii="Times New Roman" w:hAnsi="Times New Roman" w:cs="Times New Roman" w:hint="eastAsia"/>
          <w:sz w:val="21"/>
          <w:szCs w:val="21"/>
        </w:rPr>
        <w:t>清算事宜之法律意见》</w:t>
      </w:r>
    </w:p>
    <w:p w:rsidR="001001BD" w:rsidRDefault="001001BD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</w:p>
    <w:p w:rsidR="001001BD" w:rsidRDefault="00D97AA2">
      <w:pPr>
        <w:pStyle w:val="Default"/>
        <w:spacing w:line="360" w:lineRule="auto"/>
        <w:ind w:firstLineChars="200" w:firstLine="42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四、特别提示</w:t>
      </w:r>
    </w:p>
    <w:p w:rsidR="001001BD" w:rsidRDefault="00D97AA2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本公告的解释权归博时基金管理有限公司所有。投资者欲了解详情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>可拨打本基金管理人的客户服务电话</w:t>
      </w:r>
      <w:r>
        <w:rPr>
          <w:rFonts w:ascii="Times New Roman" w:hAnsi="Times New Roman" w:cs="Times New Roman"/>
          <w:sz w:val="21"/>
          <w:szCs w:val="21"/>
        </w:rPr>
        <w:t>95105568 (</w:t>
      </w:r>
      <w:r>
        <w:rPr>
          <w:rFonts w:ascii="Times New Roman" w:hAnsi="Times New Roman" w:cs="Times New Roman"/>
          <w:sz w:val="21"/>
          <w:szCs w:val="21"/>
        </w:rPr>
        <w:t>免长途话费</w:t>
      </w:r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进行咨询。</w:t>
      </w:r>
    </w:p>
    <w:p w:rsidR="001001BD" w:rsidRDefault="00D97AA2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特此公告。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1001BD" w:rsidRDefault="001001BD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</w:p>
    <w:p w:rsidR="001001BD" w:rsidRDefault="001001BD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</w:p>
    <w:p w:rsidR="001001BD" w:rsidRDefault="001001BD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</w:p>
    <w:p w:rsidR="001001BD" w:rsidRDefault="001001BD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</w:p>
    <w:p w:rsidR="001001BD" w:rsidRDefault="00D97AA2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博时基金管理有限公司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1001BD" w:rsidRDefault="00D97AA2">
      <w:pPr>
        <w:wordWrap w:val="0"/>
        <w:spacing w:line="360" w:lineRule="auto"/>
        <w:ind w:firstLineChars="200" w:firstLine="420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202</w:t>
      </w:r>
      <w:r>
        <w:rPr>
          <w:rFonts w:ascii="Times New Roman" w:hAnsi="Times New Roman" w:cs="Times New Roman" w:hint="eastAsia"/>
          <w:szCs w:val="21"/>
        </w:rPr>
        <w:t>4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10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11</w:t>
      </w:r>
      <w:r>
        <w:rPr>
          <w:rFonts w:ascii="Times New Roman" w:hAnsi="Times New Roman" w:cs="Times New Roman"/>
          <w:szCs w:val="21"/>
        </w:rPr>
        <w:t>日</w:t>
      </w:r>
    </w:p>
    <w:sectPr w:rsidR="001001BD" w:rsidSect="00100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82AB8"/>
    <w:multiLevelType w:val="multilevel"/>
    <w:tmpl w:val="5A582AB8"/>
    <w:lvl w:ilvl="0">
      <w:start w:val="1"/>
      <w:numFmt w:val="japaneseCounting"/>
      <w:lvlText w:val="%1、"/>
      <w:lvlJc w:val="left"/>
      <w:pPr>
        <w:ind w:left="878" w:hanging="45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3B6F"/>
    <w:rsid w:val="00006F04"/>
    <w:rsid w:val="00066662"/>
    <w:rsid w:val="000C1640"/>
    <w:rsid w:val="001001BD"/>
    <w:rsid w:val="00120D3D"/>
    <w:rsid w:val="001E2F9F"/>
    <w:rsid w:val="0021543F"/>
    <w:rsid w:val="00251451"/>
    <w:rsid w:val="002811E1"/>
    <w:rsid w:val="002A7E7C"/>
    <w:rsid w:val="002B5452"/>
    <w:rsid w:val="002C2AA2"/>
    <w:rsid w:val="003024E8"/>
    <w:rsid w:val="004028DF"/>
    <w:rsid w:val="004811CE"/>
    <w:rsid w:val="004845BA"/>
    <w:rsid w:val="004F4D45"/>
    <w:rsid w:val="00502638"/>
    <w:rsid w:val="0058552D"/>
    <w:rsid w:val="005909A6"/>
    <w:rsid w:val="005D07D5"/>
    <w:rsid w:val="005F599E"/>
    <w:rsid w:val="006F3847"/>
    <w:rsid w:val="006F4E48"/>
    <w:rsid w:val="00793B6F"/>
    <w:rsid w:val="007C4A87"/>
    <w:rsid w:val="007D5332"/>
    <w:rsid w:val="007E02E2"/>
    <w:rsid w:val="008365D0"/>
    <w:rsid w:val="008E756F"/>
    <w:rsid w:val="00933AF0"/>
    <w:rsid w:val="00A32C7C"/>
    <w:rsid w:val="00A71902"/>
    <w:rsid w:val="00AB16AF"/>
    <w:rsid w:val="00AC23CA"/>
    <w:rsid w:val="00B65778"/>
    <w:rsid w:val="00C27A24"/>
    <w:rsid w:val="00C32446"/>
    <w:rsid w:val="00CA3B90"/>
    <w:rsid w:val="00CC3E5B"/>
    <w:rsid w:val="00CD2F2D"/>
    <w:rsid w:val="00CE414E"/>
    <w:rsid w:val="00D04E0E"/>
    <w:rsid w:val="00D33BDB"/>
    <w:rsid w:val="00D3606B"/>
    <w:rsid w:val="00D650F3"/>
    <w:rsid w:val="00D672C7"/>
    <w:rsid w:val="00D91770"/>
    <w:rsid w:val="00D948B9"/>
    <w:rsid w:val="00D9643A"/>
    <w:rsid w:val="00D97AA2"/>
    <w:rsid w:val="00DA4525"/>
    <w:rsid w:val="00DE497D"/>
    <w:rsid w:val="00E72538"/>
    <w:rsid w:val="00EC029C"/>
    <w:rsid w:val="00EE2F38"/>
    <w:rsid w:val="00EE342A"/>
    <w:rsid w:val="00F154EF"/>
    <w:rsid w:val="00F51C6B"/>
    <w:rsid w:val="00F87F5C"/>
    <w:rsid w:val="0DDC490B"/>
    <w:rsid w:val="10084996"/>
    <w:rsid w:val="10DD5B28"/>
    <w:rsid w:val="15604845"/>
    <w:rsid w:val="1D893A7A"/>
    <w:rsid w:val="20746650"/>
    <w:rsid w:val="229C5125"/>
    <w:rsid w:val="28572281"/>
    <w:rsid w:val="30EA0CAA"/>
    <w:rsid w:val="316558EA"/>
    <w:rsid w:val="36362391"/>
    <w:rsid w:val="38E9112C"/>
    <w:rsid w:val="3AA239F0"/>
    <w:rsid w:val="3B331FA9"/>
    <w:rsid w:val="46E434A7"/>
    <w:rsid w:val="46FA5602"/>
    <w:rsid w:val="52D736BF"/>
    <w:rsid w:val="52F53710"/>
    <w:rsid w:val="5711591F"/>
    <w:rsid w:val="576963E1"/>
    <w:rsid w:val="5D2F3495"/>
    <w:rsid w:val="5F6A590B"/>
    <w:rsid w:val="60952B96"/>
    <w:rsid w:val="69F01F82"/>
    <w:rsid w:val="6A813F22"/>
    <w:rsid w:val="6F17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001B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001B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00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00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001BD"/>
    <w:rPr>
      <w:b/>
      <w:bCs/>
    </w:rPr>
  </w:style>
  <w:style w:type="table" w:styleId="a8">
    <w:name w:val="Table Grid"/>
    <w:basedOn w:val="a1"/>
    <w:qFormat/>
    <w:rsid w:val="001001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1001BD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1001B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001BD"/>
    <w:rPr>
      <w:sz w:val="18"/>
      <w:szCs w:val="18"/>
    </w:rPr>
  </w:style>
  <w:style w:type="paragraph" w:customStyle="1" w:styleId="Default">
    <w:name w:val="Default"/>
    <w:qFormat/>
    <w:rsid w:val="001001B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1001BD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1001BD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001BD"/>
    <w:rPr>
      <w:kern w:val="2"/>
      <w:sz w:val="18"/>
      <w:szCs w:val="18"/>
    </w:rPr>
  </w:style>
  <w:style w:type="character" w:customStyle="1" w:styleId="da">
    <w:name w:val="da"/>
    <w:basedOn w:val="a0"/>
    <w:qFormat/>
    <w:rsid w:val="001001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15BB-A103-4AD8-884B-5E210457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4</DocSecurity>
  <Lines>7</Lines>
  <Paragraphs>2</Paragraphs>
  <ScaleCrop>false</ScaleCrop>
  <Company>CNSTOCK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汤玲</dc:creator>
  <cp:lastModifiedBy>ZHONGM</cp:lastModifiedBy>
  <cp:revision>2</cp:revision>
  <dcterms:created xsi:type="dcterms:W3CDTF">2024-10-10T16:02:00Z</dcterms:created>
  <dcterms:modified xsi:type="dcterms:W3CDTF">2024-10-10T16:02:00Z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0C8E3620515648AC82BC91C84980D328</vt:lpwstr>
  </property>
</Properties>
</file>