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3464B">
      <w:pPr>
        <w:pStyle w:val="biaogecenter"/>
        <w:rPr>
          <w:sz w:val="30"/>
          <w:szCs w:val="30"/>
        </w:rPr>
      </w:pPr>
      <w:r>
        <w:rPr>
          <w:rFonts w:hint="eastAsia"/>
          <w:b/>
          <w:bCs/>
          <w:sz w:val="30"/>
          <w:szCs w:val="30"/>
        </w:rPr>
        <w:t>弘毅远方中短债债券型证券投资基金暂停接受个人投资者申购、转换转入和定期定额投资业务的公告</w:t>
      </w:r>
    </w:p>
    <w:p w:rsidR="00000000" w:rsidRDefault="00B3464B">
      <w:pPr>
        <w:pStyle w:val="biaogecenter"/>
        <w:rPr>
          <w:rFonts w:hint="eastAsia"/>
        </w:rPr>
      </w:pPr>
    </w:p>
    <w:p w:rsidR="00000000" w:rsidRDefault="00B3464B">
      <w:pPr>
        <w:pStyle w:val="biaogecenter"/>
        <w:rPr>
          <w:rFonts w:hint="eastAsia"/>
        </w:rPr>
      </w:pPr>
      <w:r>
        <w:rPr>
          <w:rFonts w:hint="eastAsia"/>
        </w:rPr>
        <w:t>公告送出日期：</w:t>
      </w:r>
      <w:r>
        <w:rPr>
          <w:rFonts w:hint="eastAsia"/>
        </w:rPr>
        <w:t>2024</w:t>
      </w:r>
      <w:r>
        <w:rPr>
          <w:rFonts w:hint="eastAsia"/>
        </w:rPr>
        <w:t>年</w:t>
      </w:r>
      <w:r>
        <w:rPr>
          <w:rFonts w:hint="eastAsia"/>
        </w:rPr>
        <w:t>10</w:t>
      </w:r>
      <w:r>
        <w:rPr>
          <w:rFonts w:hint="eastAsia"/>
        </w:rPr>
        <w:t>月</w:t>
      </w:r>
      <w:r>
        <w:rPr>
          <w:rFonts w:hint="eastAsia"/>
        </w:rPr>
        <w:t>11</w:t>
      </w:r>
      <w:r>
        <w:rPr>
          <w:rFonts w:hint="eastAsia"/>
        </w:rPr>
        <w:t>日</w:t>
      </w:r>
    </w:p>
    <w:p w:rsidR="00000000" w:rsidRDefault="00B3464B">
      <w:pPr>
        <w:pStyle w:val="dazhangjie"/>
        <w:rPr>
          <w:rFonts w:hint="eastAsia"/>
        </w:rPr>
      </w:pPr>
      <w:r>
        <w:rPr>
          <w:rFonts w:hint="eastAsia"/>
          <w:b/>
          <w:bCs/>
        </w:rPr>
        <w:t>1</w:t>
      </w:r>
      <w:r>
        <w:rPr>
          <w:rFonts w:hint="eastAsia"/>
          <w:b/>
          <w:bCs/>
        </w:rPr>
        <w:t>、</w:t>
      </w:r>
      <w:r>
        <w:rPr>
          <w:rFonts w:hint="eastAsia"/>
          <w:b/>
          <w:bCs/>
        </w:rPr>
        <w:t xml:space="preserve"> </w:t>
      </w:r>
      <w:r>
        <w:rPr>
          <w:rFonts w:hint="eastAsia"/>
          <w:b/>
          <w:bCs/>
        </w:rPr>
        <w:t>公告基本信息</w:t>
      </w:r>
    </w:p>
    <w:p w:rsidR="00000000" w:rsidRDefault="00B3464B">
      <w:pPr>
        <w:widowControl/>
        <w:jc w:val="left"/>
        <w:rPr>
          <w:rFonts w:ascii="宋体" w:hAnsi="宋体" w:cs="宋体" w:hint="eastAsia"/>
          <w:kern w:val="0"/>
          <w:sz w:val="24"/>
          <w:szCs w:val="24"/>
        </w:rPr>
      </w:pPr>
    </w:p>
    <w:tbl>
      <w:tblPr>
        <w:tblW w:w="9356" w:type="dxa"/>
        <w:tblInd w:w="108" w:type="dxa"/>
        <w:tblLook w:val="0000"/>
      </w:tblPr>
      <w:tblGrid>
        <w:gridCol w:w="1136"/>
        <w:gridCol w:w="1868"/>
        <w:gridCol w:w="2099"/>
        <w:gridCol w:w="2077"/>
        <w:gridCol w:w="2176"/>
      </w:tblGrid>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基金名称</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弘毅远方中短债债券型证券投资基金</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基金简称</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弘毅远方中短债债券型</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基金主代码</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017545</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基金管理人名称</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弘毅远方基金管理有限公司</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公告依据</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《公开募集证券投资基金信息披露管理办法》、《弘毅远方中短债债券型证券投资基金基金合同》、《弘毅远方中短债债券型证券投资基金招募说明书》等</w:t>
            </w:r>
          </w:p>
        </w:tc>
      </w:tr>
      <w:tr w:rsidR="00000000">
        <w:tc>
          <w:tcPr>
            <w:tcW w:w="1136"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暂停相关业务的起始日、</w:t>
            </w:r>
          </w:p>
          <w:p w:rsidR="00000000" w:rsidRDefault="00B3464B">
            <w:pPr>
              <w:pStyle w:val="biaogeleft"/>
              <w:wordWrap w:val="0"/>
              <w:rPr>
                <w:rFonts w:hint="eastAsia"/>
              </w:rPr>
            </w:pPr>
            <w:r>
              <w:rPr>
                <w:rFonts w:hint="eastAsia"/>
              </w:rPr>
              <w:t>金额及原因说明</w:t>
            </w:r>
          </w:p>
        </w:tc>
        <w:tc>
          <w:tcPr>
            <w:tcW w:w="1868"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暂停申购起始日</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pPr>
            <w:r>
              <w:rPr>
                <w:rFonts w:hint="eastAsia"/>
              </w:rPr>
              <w:t>2</w:t>
            </w:r>
            <w:r>
              <w:rPr>
                <w:rFonts w:hint="eastAsia"/>
              </w:rPr>
              <w:t>02</w:t>
            </w:r>
            <w:r>
              <w:t>4</w:t>
            </w:r>
            <w:r>
              <w:rPr>
                <w:rFonts w:hint="eastAsia"/>
              </w:rPr>
              <w:t>-</w:t>
            </w:r>
            <w:r>
              <w:rPr>
                <w:rFonts w:hint="eastAsia"/>
              </w:rPr>
              <w:t>10-11</w:t>
            </w:r>
          </w:p>
        </w:tc>
      </w:tr>
      <w:tr w:rsidR="00000000">
        <w:tc>
          <w:tcPr>
            <w:tcW w:w="1136" w:type="dxa"/>
            <w:vMerge/>
            <w:tcBorders>
              <w:top w:val="single" w:sz="8" w:space="0" w:color="000000"/>
              <w:left w:val="single" w:sz="8" w:space="0" w:color="000000"/>
              <w:bottom w:val="single" w:sz="8" w:space="0" w:color="000000"/>
              <w:right w:val="single" w:sz="8" w:space="0" w:color="000000"/>
            </w:tcBorders>
            <w:vAlign w:val="center"/>
          </w:tcPr>
          <w:p w:rsidR="00000000" w:rsidRDefault="00B3464B">
            <w:pPr>
              <w:widowControl/>
              <w:jc w:val="left"/>
              <w:rPr>
                <w:rFonts w:ascii="宋体" w:hAnsi="宋体" w:cs="宋体"/>
                <w:kern w:val="0"/>
                <w:sz w:val="24"/>
                <w:szCs w:val="24"/>
              </w:rPr>
            </w:pPr>
          </w:p>
        </w:tc>
        <w:tc>
          <w:tcPr>
            <w:tcW w:w="1868"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暂停转换转入起始日</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202</w:t>
            </w:r>
            <w:r>
              <w:t>4</w:t>
            </w:r>
            <w:r>
              <w:rPr>
                <w:rFonts w:hint="eastAsia"/>
              </w:rPr>
              <w:t>-</w:t>
            </w:r>
            <w:r>
              <w:rPr>
                <w:rFonts w:hint="eastAsia"/>
              </w:rPr>
              <w:t>10-11</w:t>
            </w:r>
          </w:p>
        </w:tc>
      </w:tr>
      <w:tr w:rsidR="00000000">
        <w:tc>
          <w:tcPr>
            <w:tcW w:w="1136" w:type="dxa"/>
            <w:vMerge/>
            <w:tcBorders>
              <w:top w:val="single" w:sz="8" w:space="0" w:color="000000"/>
              <w:left w:val="single" w:sz="8" w:space="0" w:color="000000"/>
              <w:bottom w:val="single" w:sz="8" w:space="0" w:color="000000"/>
              <w:right w:val="single" w:sz="8" w:space="0" w:color="000000"/>
            </w:tcBorders>
            <w:vAlign w:val="center"/>
          </w:tcPr>
          <w:p w:rsidR="00000000" w:rsidRDefault="00B3464B">
            <w:pPr>
              <w:widowControl/>
              <w:jc w:val="left"/>
              <w:rPr>
                <w:rFonts w:ascii="宋体" w:hAnsi="宋体" w:cs="宋体"/>
                <w:kern w:val="0"/>
                <w:sz w:val="24"/>
                <w:szCs w:val="24"/>
              </w:rPr>
            </w:pPr>
          </w:p>
        </w:tc>
        <w:tc>
          <w:tcPr>
            <w:tcW w:w="1868"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暂停定期定额投资起始日</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202</w:t>
            </w:r>
            <w:r>
              <w:t>4</w:t>
            </w:r>
            <w:r>
              <w:rPr>
                <w:rFonts w:hint="eastAsia"/>
              </w:rPr>
              <w:t>-</w:t>
            </w:r>
            <w:r>
              <w:rPr>
                <w:rFonts w:hint="eastAsia"/>
              </w:rPr>
              <w:t>10-11</w:t>
            </w:r>
          </w:p>
        </w:tc>
      </w:tr>
      <w:tr w:rsidR="00000000">
        <w:tc>
          <w:tcPr>
            <w:tcW w:w="1136" w:type="dxa"/>
            <w:vMerge/>
            <w:tcBorders>
              <w:top w:val="single" w:sz="8" w:space="0" w:color="000000"/>
              <w:left w:val="single" w:sz="8" w:space="0" w:color="000000"/>
              <w:bottom w:val="single" w:sz="8" w:space="0" w:color="000000"/>
              <w:right w:val="single" w:sz="8" w:space="0" w:color="000000"/>
            </w:tcBorders>
            <w:vAlign w:val="center"/>
          </w:tcPr>
          <w:p w:rsidR="00000000" w:rsidRDefault="00B3464B">
            <w:pPr>
              <w:widowControl/>
              <w:jc w:val="left"/>
              <w:rPr>
                <w:rFonts w:ascii="宋体" w:hAnsi="宋体" w:cs="宋体"/>
                <w:kern w:val="0"/>
                <w:sz w:val="24"/>
                <w:szCs w:val="24"/>
              </w:rPr>
            </w:pPr>
          </w:p>
        </w:tc>
        <w:tc>
          <w:tcPr>
            <w:tcW w:w="1868"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暂停申购、转换转入、定期定额投资的原因说明</w:t>
            </w:r>
          </w:p>
        </w:tc>
        <w:tc>
          <w:tcPr>
            <w:tcW w:w="6352" w:type="dxa"/>
            <w:gridSpan w:val="3"/>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本基金单一机构投资者持有份额占比较高，为保护个人投资者利益暂停其申购、转换转入及定期定额投资业务</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下属分级基金的基金简称</w:t>
            </w:r>
          </w:p>
        </w:tc>
        <w:tc>
          <w:tcPr>
            <w:tcW w:w="2099"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弘毅远方中短债</w:t>
            </w:r>
            <w:r>
              <w:rPr>
                <w:rFonts w:hint="eastAsia"/>
              </w:rPr>
              <w:t>A</w:t>
            </w:r>
          </w:p>
        </w:tc>
        <w:tc>
          <w:tcPr>
            <w:tcW w:w="2077"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弘毅远方中短债</w:t>
            </w:r>
            <w:r>
              <w:rPr>
                <w:rFonts w:hint="eastAsia"/>
              </w:rPr>
              <w:t>C</w:t>
            </w:r>
          </w:p>
        </w:tc>
        <w:tc>
          <w:tcPr>
            <w:tcW w:w="2176" w:type="dxa"/>
            <w:tcBorders>
              <w:top w:val="single" w:sz="8" w:space="0" w:color="000000"/>
              <w:left w:val="single" w:sz="8" w:space="0" w:color="000000"/>
              <w:bottom w:val="single" w:sz="8" w:space="0" w:color="000000"/>
              <w:right w:val="single" w:sz="8" w:space="0" w:color="000000"/>
            </w:tcBorders>
          </w:tcPr>
          <w:p w:rsidR="00000000" w:rsidRDefault="00B3464B">
            <w:pPr>
              <w:pStyle w:val="biaogeleft"/>
              <w:wordWrap w:val="0"/>
              <w:rPr>
                <w:rFonts w:hint="eastAsia"/>
              </w:rPr>
            </w:pPr>
            <w:r>
              <w:rPr>
                <w:rFonts w:hint="eastAsia"/>
              </w:rPr>
              <w:t>弘毅远方中短债</w:t>
            </w:r>
            <w:r>
              <w:rPr>
                <w:rFonts w:hint="eastAsia"/>
              </w:rPr>
              <w:t>E</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下属分级基金的交易代码</w:t>
            </w:r>
          </w:p>
        </w:tc>
        <w:tc>
          <w:tcPr>
            <w:tcW w:w="2099"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017545</w:t>
            </w:r>
          </w:p>
        </w:tc>
        <w:tc>
          <w:tcPr>
            <w:tcW w:w="2077"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017546</w:t>
            </w:r>
          </w:p>
        </w:tc>
        <w:tc>
          <w:tcPr>
            <w:tcW w:w="2176" w:type="dxa"/>
            <w:tcBorders>
              <w:top w:val="single" w:sz="8" w:space="0" w:color="000000"/>
              <w:left w:val="single" w:sz="8" w:space="0" w:color="000000"/>
              <w:bottom w:val="single" w:sz="8" w:space="0" w:color="000000"/>
              <w:right w:val="single" w:sz="8" w:space="0" w:color="000000"/>
            </w:tcBorders>
          </w:tcPr>
          <w:p w:rsidR="00000000" w:rsidRDefault="00B3464B">
            <w:pPr>
              <w:pStyle w:val="biaogeleft"/>
              <w:wordWrap w:val="0"/>
              <w:rPr>
                <w:rFonts w:hint="eastAsia"/>
              </w:rPr>
            </w:pPr>
            <w:r>
              <w:rPr>
                <w:rFonts w:hint="eastAsia"/>
              </w:rPr>
              <w:t>0</w:t>
            </w:r>
            <w:r>
              <w:t>20415</w:t>
            </w:r>
          </w:p>
        </w:tc>
      </w:tr>
      <w:tr w:rsidR="00000000">
        <w:tc>
          <w:tcPr>
            <w:tcW w:w="300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该分级基金是否暂停申购、转换转入、定期定额投资</w:t>
            </w:r>
          </w:p>
        </w:tc>
        <w:tc>
          <w:tcPr>
            <w:tcW w:w="2099"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是</w:t>
            </w:r>
          </w:p>
        </w:tc>
        <w:tc>
          <w:tcPr>
            <w:tcW w:w="2077"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是</w:t>
            </w:r>
          </w:p>
        </w:tc>
        <w:tc>
          <w:tcPr>
            <w:tcW w:w="2176" w:type="dxa"/>
            <w:tcBorders>
              <w:top w:val="single" w:sz="8" w:space="0" w:color="000000"/>
              <w:left w:val="single" w:sz="8" w:space="0" w:color="000000"/>
              <w:bottom w:val="single" w:sz="8" w:space="0" w:color="000000"/>
              <w:right w:val="single" w:sz="8" w:space="0" w:color="000000"/>
            </w:tcBorders>
            <w:vAlign w:val="center"/>
          </w:tcPr>
          <w:p w:rsidR="00000000" w:rsidRDefault="00B3464B">
            <w:pPr>
              <w:pStyle w:val="biaogeleft"/>
              <w:wordWrap w:val="0"/>
              <w:rPr>
                <w:rFonts w:hint="eastAsia"/>
              </w:rPr>
            </w:pPr>
            <w:r>
              <w:rPr>
                <w:rFonts w:hint="eastAsia"/>
              </w:rPr>
              <w:t>是</w:t>
            </w:r>
          </w:p>
        </w:tc>
      </w:tr>
    </w:tbl>
    <w:p w:rsidR="00000000" w:rsidRDefault="00B3464B">
      <w:pPr>
        <w:widowControl/>
        <w:jc w:val="left"/>
        <w:rPr>
          <w:rFonts w:ascii="宋体" w:hAnsi="宋体" w:cs="宋体" w:hint="eastAsia"/>
          <w:kern w:val="0"/>
          <w:sz w:val="24"/>
          <w:szCs w:val="24"/>
        </w:rPr>
      </w:pPr>
    </w:p>
    <w:p w:rsidR="00000000" w:rsidRDefault="00B3464B">
      <w:pPr>
        <w:widowControl/>
        <w:jc w:val="left"/>
        <w:rPr>
          <w:rFonts w:ascii="宋体" w:hAnsi="宋体" w:cs="宋体" w:hint="eastAsia"/>
          <w:kern w:val="0"/>
          <w:sz w:val="24"/>
          <w:szCs w:val="24"/>
        </w:rPr>
      </w:pPr>
    </w:p>
    <w:p w:rsidR="00000000" w:rsidRDefault="00B3464B">
      <w:pPr>
        <w:pStyle w:val="dazhangjie"/>
        <w:rPr>
          <w:rFonts w:hint="eastAsia"/>
        </w:rPr>
      </w:pPr>
      <w:r>
        <w:rPr>
          <w:rFonts w:hint="eastAsia"/>
          <w:b/>
          <w:bCs/>
        </w:rPr>
        <w:t>2</w:t>
      </w:r>
      <w:r>
        <w:rPr>
          <w:rFonts w:hint="eastAsia"/>
          <w:b/>
          <w:bCs/>
        </w:rPr>
        <w:t>、</w:t>
      </w:r>
      <w:r>
        <w:rPr>
          <w:rFonts w:hint="eastAsia"/>
          <w:b/>
          <w:bCs/>
        </w:rPr>
        <w:t xml:space="preserve"> </w:t>
      </w:r>
      <w:r>
        <w:rPr>
          <w:rFonts w:hint="eastAsia"/>
          <w:b/>
          <w:bCs/>
        </w:rPr>
        <w:t>其他需要提示的事项</w:t>
      </w:r>
    </w:p>
    <w:p w:rsidR="00000000" w:rsidRDefault="00B3464B">
      <w:pPr>
        <w:pStyle w:val="neirong"/>
      </w:pPr>
      <w:r>
        <w:rPr>
          <w:rFonts w:hint="eastAsia"/>
        </w:rPr>
        <w:t>  </w:t>
      </w:r>
      <w:r>
        <w:rPr>
          <w:rFonts w:hint="eastAsia"/>
        </w:rPr>
        <w:t>（</w:t>
      </w:r>
      <w:r>
        <w:rPr>
          <w:rFonts w:hint="eastAsia"/>
        </w:rPr>
        <w:t>1</w:t>
      </w:r>
      <w:r>
        <w:rPr>
          <w:rFonts w:hint="eastAsia"/>
        </w:rPr>
        <w:t>）为保护个人投资者利益，维护基金平稳运作，基金管理人决定自</w:t>
      </w:r>
      <w:r>
        <w:rPr>
          <w:rFonts w:hint="eastAsia"/>
        </w:rPr>
        <w:t>2024</w:t>
      </w:r>
      <w:r>
        <w:rPr>
          <w:rFonts w:hint="eastAsia"/>
        </w:rPr>
        <w:t>年</w:t>
      </w:r>
      <w:r>
        <w:rPr>
          <w:rFonts w:hint="eastAsia"/>
        </w:rPr>
        <w:t>10</w:t>
      </w:r>
      <w:r>
        <w:rPr>
          <w:rFonts w:hint="eastAsia"/>
        </w:rPr>
        <w:t>月</w:t>
      </w:r>
      <w:r>
        <w:rPr>
          <w:rFonts w:hint="eastAsia"/>
        </w:rPr>
        <w:t>11</w:t>
      </w:r>
      <w:r>
        <w:rPr>
          <w:rFonts w:hint="eastAsia"/>
        </w:rPr>
        <w:t>日起，暂停接受个人投资者对弘毅远方中短债债券型证券投资基金（以下称“本基金”）的申购、转换转入和定期定额投资业务申请。</w:t>
      </w:r>
      <w:r>
        <w:rPr>
          <w:rFonts w:hint="eastAsia"/>
        </w:rPr>
        <w:t>2024</w:t>
      </w:r>
      <w:r>
        <w:rPr>
          <w:rFonts w:hint="eastAsia"/>
        </w:rPr>
        <w:t>年</w:t>
      </w:r>
      <w:r>
        <w:rPr>
          <w:rFonts w:hint="eastAsia"/>
        </w:rPr>
        <w:t>10</w:t>
      </w:r>
      <w:r>
        <w:rPr>
          <w:rFonts w:hint="eastAsia"/>
        </w:rPr>
        <w:t>月</w:t>
      </w:r>
      <w:r>
        <w:rPr>
          <w:rFonts w:hint="eastAsia"/>
        </w:rPr>
        <w:t>10</w:t>
      </w:r>
      <w:r>
        <w:rPr>
          <w:rFonts w:hint="eastAsia"/>
        </w:rPr>
        <w:t>日</w:t>
      </w:r>
      <w:r>
        <w:rPr>
          <w:rFonts w:hint="eastAsia"/>
        </w:rPr>
        <w:t>15:00</w:t>
      </w:r>
      <w:r>
        <w:rPr>
          <w:rFonts w:hint="eastAsia"/>
        </w:rPr>
        <w:t>后个人投资者提交的本基金申购（含转换转入、定期定额投资）业务申请将视为</w:t>
      </w:r>
      <w:r>
        <w:rPr>
          <w:rFonts w:hint="eastAsia"/>
        </w:rPr>
        <w:t>2024</w:t>
      </w:r>
      <w:r>
        <w:rPr>
          <w:rFonts w:hint="eastAsia"/>
        </w:rPr>
        <w:t>年</w:t>
      </w:r>
      <w:r>
        <w:rPr>
          <w:rFonts w:hint="eastAsia"/>
        </w:rPr>
        <w:t>10</w:t>
      </w:r>
      <w:r>
        <w:rPr>
          <w:rFonts w:hint="eastAsia"/>
        </w:rPr>
        <w:t>月</w:t>
      </w:r>
      <w:r>
        <w:rPr>
          <w:rFonts w:hint="eastAsia"/>
        </w:rPr>
        <w:t>11</w:t>
      </w:r>
      <w:r>
        <w:rPr>
          <w:rFonts w:hint="eastAsia"/>
        </w:rPr>
        <w:t>日的业务申请，同样受上述限制。</w:t>
      </w:r>
    </w:p>
    <w:p w:rsidR="00000000" w:rsidRDefault="00B3464B">
      <w:pPr>
        <w:pStyle w:val="neirong"/>
        <w:ind w:firstLineChars="200" w:firstLine="480"/>
      </w:pPr>
      <w:r>
        <w:rPr>
          <w:rFonts w:hint="eastAsia"/>
        </w:rPr>
        <w:lastRenderedPageBreak/>
        <w:t>（</w:t>
      </w:r>
      <w:r>
        <w:rPr>
          <w:rFonts w:hint="eastAsia"/>
        </w:rPr>
        <w:t>2</w:t>
      </w:r>
      <w:r>
        <w:rPr>
          <w:rFonts w:hint="eastAsia"/>
        </w:rPr>
        <w:t>）</w:t>
      </w:r>
      <w:r>
        <w:rPr>
          <w:rFonts w:hint="eastAsia"/>
        </w:rPr>
        <w:t xml:space="preserve"> </w:t>
      </w:r>
      <w:r>
        <w:rPr>
          <w:rFonts w:hint="eastAsia"/>
        </w:rPr>
        <w:t>本基金仅暂停个人投资者的申购、转换转入和定期定额投资业务，个人投资者赎回、转换转出等其他业务以及机构、产品等其他类型投资者申购、赎回、转换等业务均照常办理</w:t>
      </w:r>
      <w:r>
        <w:rPr>
          <w:rFonts w:hint="eastAsia"/>
        </w:rPr>
        <w:t>。本基金恢复办理个人投资者申购、转换转入、定期定额投资业务的具体时间将另行公告。</w:t>
      </w:r>
    </w:p>
    <w:p w:rsidR="00000000" w:rsidRDefault="00B3464B">
      <w:pPr>
        <w:pStyle w:val="neirong"/>
        <w:ind w:firstLineChars="200" w:firstLine="480"/>
      </w:pPr>
      <w:r>
        <w:rPr>
          <w:rFonts w:hint="eastAsia"/>
        </w:rPr>
        <w:t>（</w:t>
      </w:r>
      <w:r>
        <w:rPr>
          <w:rFonts w:hint="eastAsia"/>
        </w:rPr>
        <w:t>3</w:t>
      </w:r>
      <w:r>
        <w:rPr>
          <w:rFonts w:hint="eastAsia"/>
        </w:rPr>
        <w:t>）投资者亦可通过本基金管理人公司网站：</w:t>
      </w:r>
      <w:r>
        <w:rPr>
          <w:rFonts w:hint="eastAsia"/>
        </w:rPr>
        <w:t>www.honyfunds.com</w:t>
      </w:r>
      <w:r>
        <w:rPr>
          <w:rFonts w:hint="eastAsia"/>
        </w:rPr>
        <w:t>或拨打客户服务电话</w:t>
      </w:r>
      <w:r>
        <w:rPr>
          <w:rFonts w:hint="eastAsia"/>
        </w:rPr>
        <w:t>400-920-8800</w:t>
      </w:r>
      <w:r>
        <w:rPr>
          <w:rFonts w:hint="eastAsia"/>
        </w:rPr>
        <w:t>（全国免长途话费）咨询相关信息。</w:t>
      </w:r>
      <w:r>
        <w:rPr>
          <w:rFonts w:hint="eastAsia"/>
        </w:rPr>
        <w:br/>
      </w:r>
      <w:r>
        <w:rPr>
          <w:rFonts w:hint="eastAsia"/>
        </w:rPr>
        <w:t>  </w:t>
      </w:r>
      <w:r>
        <w:rPr>
          <w:rFonts w:hint="eastAsia"/>
        </w:rPr>
        <w:br/>
      </w:r>
      <w:r>
        <w:rPr>
          <w:rFonts w:hint="eastAsia"/>
        </w:rPr>
        <w:t>  </w:t>
      </w:r>
      <w:r>
        <w:rPr>
          <w:rFonts w:hint="eastAsia"/>
        </w:rPr>
        <w:t>风险提示：</w:t>
      </w:r>
      <w:r>
        <w:rPr>
          <w:rFonts w:hint="eastAsia"/>
        </w:rPr>
        <w:br/>
      </w:r>
      <w:r>
        <w:rPr>
          <w:rFonts w:hint="eastAsia"/>
        </w:rPr>
        <w:t>  </w:t>
      </w:r>
      <w:r>
        <w:rPr>
          <w:rFonts w:hint="eastAsia"/>
        </w:rPr>
        <w:br/>
      </w:r>
      <w:r>
        <w:rPr>
          <w:rFonts w:hint="eastAsia"/>
        </w:rPr>
        <w:t>  </w:t>
      </w:r>
      <w:r>
        <w:rPr>
          <w:rFonts w:hint="eastAsia"/>
        </w:rPr>
        <w:t>本基金管理人承诺以诚实信用、勤勉尽责的原则管理和运用基金财产，但不保证基金一定盈利，也不保证最低收益。基金的过往业绩并不代表其将来表现，基金管理人管理的其他基金的业绩并不构成对本基金业绩表现的保证。投资有风险，敬请投资者认真阅读基金的相关法律文件</w:t>
      </w:r>
      <w:r>
        <w:rPr>
          <w:rFonts w:hint="eastAsia"/>
        </w:rPr>
        <w:t>，了解基金产品的详细情况，选择与自身风险识别能力和风险承受能力相匹配的基金产品进行投资。本公告的解释权归本基金管理人所有。</w:t>
      </w:r>
      <w:r>
        <w:rPr>
          <w:rFonts w:hint="eastAsia"/>
        </w:rPr>
        <w:br/>
      </w:r>
      <w:r>
        <w:rPr>
          <w:rFonts w:hint="eastAsia"/>
        </w:rPr>
        <w:t>  </w:t>
      </w:r>
      <w:r>
        <w:rPr>
          <w:rFonts w:hint="eastAsia"/>
        </w:rPr>
        <w:br/>
      </w:r>
      <w:r>
        <w:rPr>
          <w:rFonts w:hint="eastAsia"/>
        </w:rPr>
        <w:t>  </w:t>
      </w:r>
      <w:r>
        <w:rPr>
          <w:rFonts w:hint="eastAsia"/>
        </w:rPr>
        <w:t>特此公告。</w:t>
      </w:r>
    </w:p>
    <w:p w:rsidR="00000000" w:rsidRDefault="00B3464B">
      <w:pPr>
        <w:pStyle w:val="neirong"/>
        <w:ind w:firstLineChars="200" w:firstLine="480"/>
        <w:rPr>
          <w:rFonts w:hint="eastAsia"/>
        </w:rPr>
      </w:pPr>
    </w:p>
    <w:p w:rsidR="00000000" w:rsidRDefault="00B3464B">
      <w:pPr>
        <w:pStyle w:val="biaogeright"/>
        <w:rPr>
          <w:rFonts w:hint="eastAsia"/>
        </w:rPr>
      </w:pPr>
      <w:r>
        <w:rPr>
          <w:rFonts w:hAnsi="Calibri" w:hint="eastAsia"/>
          <w:color w:val="000000"/>
        </w:rPr>
        <w:t>弘毅远方基金管理有限公司</w:t>
      </w:r>
    </w:p>
    <w:p w:rsidR="00000000" w:rsidRDefault="00B3464B">
      <w:pPr>
        <w:pStyle w:val="biaogeright"/>
        <w:rPr>
          <w:rFonts w:hint="eastAsia"/>
        </w:rPr>
      </w:pPr>
      <w:r>
        <w:rPr>
          <w:rFonts w:hAnsi="Calibri" w:hint="eastAsia"/>
          <w:color w:val="000000"/>
        </w:rPr>
        <w:t>202</w:t>
      </w:r>
      <w:r>
        <w:rPr>
          <w:rFonts w:hAnsi="Calibri"/>
          <w:color w:val="000000"/>
        </w:rPr>
        <w:t>4</w:t>
      </w:r>
      <w:r>
        <w:rPr>
          <w:rFonts w:hAnsi="Calibri" w:hint="eastAsia"/>
          <w:color w:val="000000"/>
        </w:rPr>
        <w:t>年</w:t>
      </w:r>
      <w:r>
        <w:rPr>
          <w:rFonts w:hAnsi="Calibri" w:hint="eastAsia"/>
          <w:color w:val="000000"/>
        </w:rPr>
        <w:t>10</w:t>
      </w:r>
      <w:r>
        <w:rPr>
          <w:rFonts w:hAnsi="Calibri" w:hint="eastAsia"/>
          <w:color w:val="000000"/>
        </w:rPr>
        <w:t>月</w:t>
      </w:r>
      <w:r>
        <w:rPr>
          <w:rFonts w:hAnsi="Calibri" w:hint="eastAsia"/>
          <w:color w:val="000000"/>
        </w:rPr>
        <w:t>11</w:t>
      </w:r>
      <w:r>
        <w:rPr>
          <w:rFonts w:hAnsi="Calibri" w:hint="eastAsia"/>
          <w:color w:val="000000"/>
        </w:rPr>
        <w:t>日</w:t>
      </w:r>
    </w:p>
    <w:sectPr w:rsidR="00000000">
      <w:pgSz w:w="11926" w:h="16867"/>
      <w:pgMar w:top="1418" w:right="1418" w:bottom="853" w:left="1418" w:header="851" w:footer="992" w:gutter="0"/>
      <w:cols w:space="720"/>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20"/>
  <w:noPunctuationKerning/>
  <w:characterSpacingControl w:val="compressPunctuation"/>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TI5MWRkNjQ5NjE3NjlhNjhiNzU5YTcxY2UwNmEyNzgifQ=="/>
  </w:docVars>
  <w:rsids>
    <w:rsidRoot w:val="00110B7E"/>
    <w:rsid w:val="000610A5"/>
    <w:rsid w:val="000A7274"/>
    <w:rsid w:val="000B14BB"/>
    <w:rsid w:val="00110B7E"/>
    <w:rsid w:val="00111ED0"/>
    <w:rsid w:val="00132444"/>
    <w:rsid w:val="00165259"/>
    <w:rsid w:val="00197DE9"/>
    <w:rsid w:val="001F4566"/>
    <w:rsid w:val="00204577"/>
    <w:rsid w:val="0020479E"/>
    <w:rsid w:val="00281A7D"/>
    <w:rsid w:val="0029767F"/>
    <w:rsid w:val="002E0507"/>
    <w:rsid w:val="0033431D"/>
    <w:rsid w:val="0039297F"/>
    <w:rsid w:val="00392C7A"/>
    <w:rsid w:val="003A6F0A"/>
    <w:rsid w:val="003D0914"/>
    <w:rsid w:val="003D7024"/>
    <w:rsid w:val="003E3B63"/>
    <w:rsid w:val="0046745E"/>
    <w:rsid w:val="004A2BAC"/>
    <w:rsid w:val="004B1D6B"/>
    <w:rsid w:val="00547898"/>
    <w:rsid w:val="00580012"/>
    <w:rsid w:val="005B77E8"/>
    <w:rsid w:val="006116C1"/>
    <w:rsid w:val="00652BE7"/>
    <w:rsid w:val="006E4AF4"/>
    <w:rsid w:val="006E4BBC"/>
    <w:rsid w:val="006F1C27"/>
    <w:rsid w:val="007901A4"/>
    <w:rsid w:val="007905B8"/>
    <w:rsid w:val="0079560B"/>
    <w:rsid w:val="00816A2D"/>
    <w:rsid w:val="008219EF"/>
    <w:rsid w:val="00833D63"/>
    <w:rsid w:val="00893702"/>
    <w:rsid w:val="008B005F"/>
    <w:rsid w:val="00936897"/>
    <w:rsid w:val="00A3400A"/>
    <w:rsid w:val="00A74C3E"/>
    <w:rsid w:val="00A90D2C"/>
    <w:rsid w:val="00B33908"/>
    <w:rsid w:val="00B3464B"/>
    <w:rsid w:val="00B51779"/>
    <w:rsid w:val="00BA04A4"/>
    <w:rsid w:val="00C161DE"/>
    <w:rsid w:val="00C53A4B"/>
    <w:rsid w:val="00C82FC3"/>
    <w:rsid w:val="00C933CF"/>
    <w:rsid w:val="00CF08B6"/>
    <w:rsid w:val="00D36D46"/>
    <w:rsid w:val="00D46693"/>
    <w:rsid w:val="00D57A85"/>
    <w:rsid w:val="00D60E36"/>
    <w:rsid w:val="00DB268E"/>
    <w:rsid w:val="00DC5B1F"/>
    <w:rsid w:val="00E22432"/>
    <w:rsid w:val="00E2558F"/>
    <w:rsid w:val="00E34123"/>
    <w:rsid w:val="00E3505E"/>
    <w:rsid w:val="00F65D23"/>
    <w:rsid w:val="00F8684A"/>
    <w:rsid w:val="00FA39F7"/>
    <w:rsid w:val="00FC737A"/>
    <w:rsid w:val="229D0769"/>
    <w:rsid w:val="4CE950BA"/>
    <w:rsid w:val="4F306DC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39"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Times New Roman"/>
      <w:kern w:val="2"/>
      <w:sz w:val="21"/>
      <w:szCs w:val="22"/>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link w:val="a3"/>
    <w:uiPriority w:val="99"/>
    <w:locked/>
    <w:rPr>
      <w:rFonts w:ascii="Times New Roman" w:hAnsi="Times New Roman" w:cs="Times New Roman" w:hint="default"/>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Pr>
      <w:rFonts w:ascii="Times New Roman" w:hAnsi="Times New Roman" w:cs="Times New Roman" w:hint="default"/>
      <w:sz w:val="18"/>
      <w:szCs w:val="18"/>
    </w:rPr>
  </w:style>
  <w:style w:type="paragraph" w:customStyle="1" w:styleId="msonormalfy">
    <w:name w:val="msonormalfy"/>
    <w:qFormat/>
    <w:pPr>
      <w:widowControl w:val="0"/>
      <w:jc w:val="center"/>
    </w:pPr>
    <w:rPr>
      <w:rFonts w:cs="Times New Roman"/>
      <w:kern w:val="2"/>
      <w:sz w:val="29"/>
      <w:szCs w:val="22"/>
    </w:rPr>
  </w:style>
  <w:style w:type="paragraph" w:customStyle="1" w:styleId="msonormal2">
    <w:name w:val="msonormal2"/>
    <w:qFormat/>
    <w:pPr>
      <w:widowControl w:val="0"/>
      <w:jc w:val="center"/>
    </w:pPr>
    <w:rPr>
      <w:rFonts w:cs="Times New Roman"/>
      <w:kern w:val="2"/>
      <w:sz w:val="21"/>
      <w:szCs w:val="22"/>
    </w:rPr>
  </w:style>
  <w:style w:type="paragraph" w:customStyle="1" w:styleId="msonormal1">
    <w:name w:val="msonormal1"/>
    <w:qFormat/>
    <w:pPr>
      <w:widowControl w:val="0"/>
      <w:jc w:val="both"/>
    </w:pPr>
    <w:rPr>
      <w:rFonts w:cs="Times New Roman"/>
      <w:kern w:val="2"/>
      <w:sz w:val="21"/>
      <w:szCs w:val="22"/>
    </w:rPr>
  </w:style>
  <w:style w:type="paragraph" w:customStyle="1" w:styleId="msonormal3">
    <w:name w:val="msonormal3"/>
    <w:qFormat/>
    <w:pPr>
      <w:widowControl w:val="0"/>
      <w:jc w:val="both"/>
    </w:pPr>
    <w:rPr>
      <w:rFonts w:cs="Times New Roman"/>
      <w:kern w:val="2"/>
      <w:sz w:val="21"/>
      <w:szCs w:val="22"/>
    </w:rPr>
  </w:style>
  <w:style w:type="paragraph" w:customStyle="1" w:styleId="dazhangjie">
    <w:name w:val="dazhangjie"/>
    <w:basedOn w:val="a"/>
    <w:pPr>
      <w:widowControl/>
      <w:autoSpaceDE w:val="0"/>
      <w:autoSpaceDN w:val="0"/>
      <w:adjustRightInd w:val="0"/>
      <w:spacing w:before="30" w:line="288" w:lineRule="auto"/>
      <w:ind w:left="15"/>
      <w:jc w:val="left"/>
      <w:outlineLvl w:val="0"/>
    </w:pPr>
    <w:rPr>
      <w:rFonts w:ascii="宋体" w:hAnsi="宋体" w:cs="宋体"/>
      <w:kern w:val="0"/>
      <w:sz w:val="24"/>
      <w:szCs w:val="24"/>
    </w:rPr>
  </w:style>
  <w:style w:type="paragraph" w:customStyle="1" w:styleId="biaogeleft">
    <w:name w:val="biaoge_left"/>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center">
    <w:name w:val="biaoge_center"/>
    <w:basedOn w:val="a"/>
    <w:pPr>
      <w:widowControl/>
      <w:autoSpaceDE w:val="0"/>
      <w:autoSpaceDN w:val="0"/>
      <w:adjustRightInd w:val="0"/>
      <w:spacing w:before="29" w:line="288" w:lineRule="auto"/>
      <w:ind w:left="15"/>
      <w:jc w:val="center"/>
    </w:pPr>
    <w:rPr>
      <w:rFonts w:ascii="宋体" w:hAnsi="宋体" w:cs="宋体"/>
      <w:kern w:val="0"/>
      <w:sz w:val="24"/>
      <w:szCs w:val="24"/>
    </w:rPr>
  </w:style>
  <w:style w:type="paragraph" w:customStyle="1" w:styleId="biaogeright">
    <w:name w:val="biaoge_right"/>
    <w:basedOn w:val="a"/>
    <w:pPr>
      <w:widowControl/>
      <w:autoSpaceDE w:val="0"/>
      <w:autoSpaceDN w:val="0"/>
      <w:adjustRightInd w:val="0"/>
      <w:spacing w:before="29" w:line="288" w:lineRule="auto"/>
      <w:ind w:left="15"/>
      <w:jc w:val="right"/>
    </w:pPr>
    <w:rPr>
      <w:rFonts w:ascii="宋体" w:hAnsi="宋体" w:cs="宋体"/>
      <w:kern w:val="0"/>
      <w:sz w:val="24"/>
      <w:szCs w:val="24"/>
    </w:rPr>
  </w:style>
  <w:style w:type="paragraph" w:customStyle="1" w:styleId="neirong">
    <w:name w:val="neirong"/>
    <w:basedOn w:val="a"/>
    <w:pPr>
      <w:widowControl/>
      <w:autoSpaceDE w:val="0"/>
      <w:autoSpaceDN w:val="0"/>
      <w:adjustRightInd w:val="0"/>
      <w:spacing w:before="29" w:line="360" w:lineRule="auto"/>
      <w:ind w:left="15"/>
      <w:jc w:val="left"/>
    </w:pPr>
    <w:rPr>
      <w:rFonts w:ascii="宋体" w:hAnsi="宋体" w:cs="宋体"/>
      <w:kern w:val="0"/>
      <w:sz w:val="24"/>
      <w:szCs w:val="24"/>
    </w:rPr>
  </w:style>
  <w:style w:type="paragraph" w:customStyle="1" w:styleId="hide">
    <w:name w:val="hide"/>
    <w:basedOn w:val="a"/>
    <w:pPr>
      <w:widowControl/>
      <w:spacing w:before="100" w:beforeAutospacing="1" w:after="100" w:afterAutospacing="1"/>
      <w:jc w:val="left"/>
    </w:pPr>
    <w:rPr>
      <w:rFonts w:ascii="宋体" w:hAnsi="宋体" w:cs="宋体"/>
      <w:vanish/>
      <w:kern w:val="0"/>
      <w:sz w:val="24"/>
      <w:szCs w:val="24"/>
    </w:rPr>
  </w:style>
  <w:style w:type="paragraph" w:customStyle="1" w:styleId="show">
    <w:name w:val="show"/>
    <w:basedOn w:val="a"/>
    <w:pPr>
      <w:widowControl/>
      <w:spacing w:before="100" w:beforeAutospacing="1" w:after="100" w:afterAutospacing="1"/>
      <w:jc w:val="left"/>
    </w:pPr>
    <w:rPr>
      <w:rFonts w:ascii="宋体" w:hAnsi="宋体" w:cs="宋体"/>
      <w:kern w:val="0"/>
      <w:sz w:val="24"/>
      <w:szCs w:val="24"/>
    </w:rPr>
  </w:style>
  <w:style w:type="paragraph" w:customStyle="1" w:styleId="biaogeleft1">
    <w:name w:val="biaoge_left1"/>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customStyle="1" w:styleId="biaogeleft2">
    <w:name w:val="biaoge_left2"/>
    <w:basedOn w:val="a"/>
    <w:pPr>
      <w:widowControl/>
      <w:autoSpaceDE w:val="0"/>
      <w:autoSpaceDN w:val="0"/>
      <w:adjustRightInd w:val="0"/>
      <w:spacing w:before="29" w:line="288" w:lineRule="auto"/>
      <w:ind w:left="15"/>
      <w:jc w:val="left"/>
    </w:pPr>
    <w:rPr>
      <w:rFonts w:ascii="宋体" w:hAnsi="宋体" w:cs="宋体"/>
      <w:kern w:val="0"/>
      <w:sz w:val="24"/>
      <w:szCs w:val="24"/>
    </w:rPr>
  </w:style>
  <w:style w:type="paragraph" w:styleId="a5">
    <w:name w:val="Revision"/>
    <w:uiPriority w:val="99"/>
    <w:semiHidden/>
    <w:rPr>
      <w:rFonts w:cs="Times New Roman"/>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4</DocSecurity>
  <Lines>7</Lines>
  <Paragraphs>2</Paragraphs>
  <ScaleCrop>false</ScaleCrop>
  <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王纳泽</dc:creator>
  <cp:keywords/>
  <dc:description/>
  <cp:lastModifiedBy>ZHONGM</cp:lastModifiedBy>
  <cp:revision>2</cp:revision>
  <dcterms:created xsi:type="dcterms:W3CDTF">2024-10-10T16:01:00Z</dcterms:created>
  <dcterms:modified xsi:type="dcterms:W3CDTF">2024-10-10T16:01:00Z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8F3400D4674F4DBAA91990E267AA7277_13</vt:lpwstr>
  </property>
</Properties>
</file>