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12C0">
      <w:pPr>
        <w:pStyle w:val="biaogecenter"/>
        <w:rPr>
          <w:sz w:val="30"/>
          <w:szCs w:val="30"/>
        </w:rPr>
      </w:pPr>
      <w:r>
        <w:rPr>
          <w:rFonts w:hint="eastAsia"/>
          <w:b/>
          <w:bCs/>
          <w:sz w:val="30"/>
          <w:szCs w:val="30"/>
        </w:rPr>
        <w:t>东方阿尔法基金管理有限公司关于旗下基金改聘会计师事务所的公告</w:t>
      </w:r>
    </w:p>
    <w:p w:rsidR="00000000" w:rsidRDefault="001E12C0">
      <w:pPr>
        <w:pStyle w:val="biaogecenter"/>
        <w:rPr>
          <w:rFonts w:hint="eastAsia"/>
        </w:rPr>
      </w:pPr>
    </w:p>
    <w:p w:rsidR="00000000" w:rsidRDefault="001E12C0">
      <w:pPr>
        <w:pStyle w:val="biaogecenter"/>
        <w:rPr>
          <w:rFonts w:hint="eastAsia"/>
        </w:rPr>
      </w:pPr>
      <w:r>
        <w:rPr>
          <w:rFonts w:hint="eastAsia"/>
        </w:rPr>
        <w:t>公告送出日期：</w:t>
      </w:r>
      <w:r>
        <w:rPr>
          <w:rFonts w:hint="eastAsia"/>
        </w:rPr>
        <w:t>2024</w:t>
      </w:r>
      <w:r>
        <w:rPr>
          <w:rFonts w:hint="eastAsia"/>
        </w:rPr>
        <w:t>年</w:t>
      </w:r>
      <w:r>
        <w:rPr>
          <w:rFonts w:hint="eastAsia"/>
        </w:rPr>
        <w:t>10</w:t>
      </w:r>
      <w:r>
        <w:rPr>
          <w:rFonts w:hint="eastAsia"/>
        </w:rPr>
        <w:t>月</w:t>
      </w:r>
      <w:r>
        <w:rPr>
          <w:rFonts w:hint="eastAsia"/>
        </w:rPr>
        <w:t>10</w:t>
      </w:r>
      <w:r>
        <w:rPr>
          <w:rFonts w:hint="eastAsia"/>
        </w:rPr>
        <w:t>日</w:t>
      </w:r>
    </w:p>
    <w:p w:rsidR="00000000" w:rsidRDefault="001E12C0">
      <w:pPr>
        <w:pStyle w:val="dazhangjie"/>
        <w:rPr>
          <w:rFonts w:hint="eastAsia"/>
        </w:rPr>
      </w:pPr>
      <w:r>
        <w:rPr>
          <w:rFonts w:hAnsi="Calibri" w:hint="eastAsia"/>
          <w:b/>
          <w:color w:val="000000"/>
        </w:rPr>
        <w:t>1</w:t>
      </w:r>
      <w:r>
        <w:rPr>
          <w:rFonts w:hAnsi="Calibri" w:hint="eastAsia"/>
          <w:b/>
          <w:color w:val="000000"/>
        </w:rPr>
        <w:t>.</w:t>
      </w:r>
      <w:r>
        <w:rPr>
          <w:rFonts w:hAnsi="Calibri" w:hint="eastAsia"/>
          <w:b/>
          <w:color w:val="000000"/>
        </w:rPr>
        <w:t>公告基本信息</w:t>
      </w:r>
    </w:p>
    <w:p w:rsidR="00000000" w:rsidRDefault="001E12C0">
      <w:pPr>
        <w:widowControl/>
        <w:jc w:val="left"/>
        <w:rPr>
          <w:rFonts w:ascii="宋体" w:hAnsi="宋体" w:cs="宋体" w:hint="eastAsia"/>
          <w:kern w:val="0"/>
          <w:sz w:val="24"/>
          <w:szCs w:val="24"/>
        </w:rPr>
      </w:pPr>
    </w:p>
    <w:tbl>
      <w:tblPr>
        <w:tblW w:w="9000" w:type="dxa"/>
        <w:tblInd w:w="226" w:type="dxa"/>
        <w:tblLook w:val="0000"/>
      </w:tblPr>
      <w:tblGrid>
        <w:gridCol w:w="5751"/>
        <w:gridCol w:w="2194"/>
        <w:gridCol w:w="1055"/>
      </w:tblGrid>
      <w:tr w:rsidR="00000000">
        <w:tc>
          <w:tcPr>
            <w:tcW w:w="3000" w:type="dxa"/>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基金管理人名称</w:t>
            </w:r>
          </w:p>
        </w:tc>
        <w:tc>
          <w:tcPr>
            <w:tcW w:w="5057" w:type="dxa"/>
            <w:gridSpan w:val="2"/>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东方阿尔法基金管理有限公司</w:t>
            </w:r>
          </w:p>
        </w:tc>
      </w:tr>
      <w:tr w:rsidR="00000000">
        <w:tc>
          <w:tcPr>
            <w:tcW w:w="3000" w:type="dxa"/>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公告依据</w:t>
            </w:r>
          </w:p>
        </w:tc>
        <w:tc>
          <w:tcPr>
            <w:tcW w:w="5057" w:type="dxa"/>
            <w:gridSpan w:val="2"/>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《公开募集证券投资基金信息披露管理办法》、各基金的《基金合同》及</w:t>
            </w:r>
            <w:r>
              <w:rPr>
                <w:rFonts w:hint="eastAsia"/>
              </w:rPr>
              <w:t xml:space="preserve"> </w:t>
            </w:r>
            <w:r>
              <w:rPr>
                <w:rFonts w:hint="eastAsia"/>
              </w:rPr>
              <w:t>《招募说明书》等法律文件。</w:t>
            </w:r>
          </w:p>
        </w:tc>
      </w:tr>
      <w:tr w:rsidR="00000000">
        <w:tc>
          <w:tcPr>
            <w:tcW w:w="3000" w:type="dxa"/>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改聘日期</w:t>
            </w:r>
          </w:p>
        </w:tc>
        <w:tc>
          <w:tcPr>
            <w:tcW w:w="5057" w:type="dxa"/>
            <w:gridSpan w:val="2"/>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2024-10-09</w:t>
            </w:r>
          </w:p>
        </w:tc>
      </w:tr>
      <w:tr w:rsidR="00000000">
        <w:tc>
          <w:tcPr>
            <w:tcW w:w="3000" w:type="dxa"/>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改聘前会计师事务所名称</w:t>
            </w:r>
          </w:p>
        </w:tc>
        <w:tc>
          <w:tcPr>
            <w:tcW w:w="5057" w:type="dxa"/>
            <w:gridSpan w:val="2"/>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普华永道中天会计师事务所</w:t>
            </w:r>
            <w:r>
              <w:rPr>
                <w:rFonts w:hint="eastAsia"/>
              </w:rPr>
              <w:t>(</w:t>
            </w:r>
            <w:r>
              <w:rPr>
                <w:rFonts w:hint="eastAsia"/>
              </w:rPr>
              <w:t>特殊普通合伙</w:t>
            </w:r>
            <w:r>
              <w:rPr>
                <w:rFonts w:hint="eastAsia"/>
              </w:rPr>
              <w:t>)</w:t>
            </w:r>
          </w:p>
        </w:tc>
      </w:tr>
      <w:tr w:rsidR="00000000">
        <w:tc>
          <w:tcPr>
            <w:tcW w:w="3000" w:type="dxa"/>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改聘后会计师事务所名称</w:t>
            </w:r>
          </w:p>
        </w:tc>
        <w:tc>
          <w:tcPr>
            <w:tcW w:w="5057" w:type="dxa"/>
            <w:gridSpan w:val="2"/>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int="eastAsia"/>
              </w:rPr>
              <w:t>容诚会计师事务所</w:t>
            </w:r>
            <w:r>
              <w:rPr>
                <w:rFonts w:hint="eastAsia"/>
              </w:rPr>
              <w:t>(</w:t>
            </w:r>
            <w:r>
              <w:rPr>
                <w:rFonts w:hint="eastAsia"/>
              </w:rPr>
              <w:t>特殊普通合伙</w:t>
            </w:r>
            <w:r>
              <w:rPr>
                <w:rFonts w:hint="eastAsia"/>
              </w:rPr>
              <w:t>)</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center"/>
              <w:wordWrap w:val="0"/>
              <w:rPr>
                <w:rFonts w:hint="eastAsia"/>
              </w:rPr>
            </w:pPr>
            <w:r>
              <w:rPr>
                <w:rFonts w:hAnsi="Calibri" w:hint="eastAsia"/>
                <w:color w:val="000000"/>
              </w:rPr>
              <w:t>基金名称</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center"/>
              <w:wordWrap w:val="0"/>
              <w:rPr>
                <w:rFonts w:hint="eastAsia"/>
              </w:rPr>
            </w:pPr>
            <w:r>
              <w:rPr>
                <w:rFonts w:hAnsi="Calibri" w:hint="eastAsia"/>
                <w:color w:val="000000"/>
              </w:rPr>
              <w:t>基金简称</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center"/>
              <w:wordWrap w:val="0"/>
              <w:rPr>
                <w:rFonts w:hint="eastAsia"/>
              </w:rPr>
            </w:pPr>
            <w:r>
              <w:rPr>
                <w:rFonts w:hAnsi="Calibri" w:hint="eastAsia"/>
                <w:color w:val="000000"/>
              </w:rPr>
              <w:t>基金主代码</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东方阿尔法精选灵活配置混合型发起式证券投资</w:t>
            </w:r>
            <w:r>
              <w:rPr>
                <w:rFonts w:hAnsi="Calibri" w:hint="eastAsia"/>
                <w:color w:val="000000"/>
              </w:rPr>
              <w:t>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东方阿尔法精选混合</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005358</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东方阿尔法优选混合型发起式证券投资基金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东方阿尔法优选混合</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007518</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东方阿尔法优势产业混合型发起式证券投资基金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东方阿尔法优势产业混合</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009644</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东方阿尔法招阳混合型证券投资基金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东方阿尔法招阳混合</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011184</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东方阿尔法产业先锋混合型发起式证券投资基金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东方阿尔法产业先锋混合</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011704</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东方阿尔法医疗健康混合型发起式证券投资基金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东方阿尔法医疗健康混合发起</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014841</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东方阿尔法兴科一年持有期混合型证券投资基金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东方阿尔法兴科一年持有混</w:t>
            </w:r>
            <w:r>
              <w:rPr>
                <w:rFonts w:hAnsi="Calibri" w:hint="eastAsia"/>
                <w:color w:val="000000"/>
              </w:rPr>
              <w:t>合</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015900</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东方阿尔法瑞丰混合型发起式证券投资基金</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东方阿尔法瑞丰混合发起</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1E12C0">
            <w:pPr>
              <w:pStyle w:val="biaogeleft"/>
              <w:wordWrap w:val="0"/>
              <w:rPr>
                <w:rFonts w:hint="eastAsia"/>
              </w:rPr>
            </w:pPr>
            <w:r>
              <w:rPr>
                <w:rFonts w:hAnsi="Calibri" w:hint="eastAsia"/>
                <w:color w:val="000000"/>
              </w:rPr>
              <w:t>018362</w:t>
            </w:r>
          </w:p>
        </w:tc>
      </w:tr>
    </w:tbl>
    <w:p w:rsidR="00000000" w:rsidRDefault="001E12C0">
      <w:pPr>
        <w:widowControl/>
        <w:jc w:val="left"/>
        <w:rPr>
          <w:rFonts w:ascii="宋体" w:hAnsi="宋体" w:cs="宋体" w:hint="eastAsia"/>
          <w:kern w:val="0"/>
          <w:sz w:val="24"/>
          <w:szCs w:val="24"/>
        </w:rPr>
      </w:pPr>
    </w:p>
    <w:p w:rsidR="00000000" w:rsidRDefault="001E12C0">
      <w:pPr>
        <w:pStyle w:val="dazhangjie"/>
        <w:rPr>
          <w:rFonts w:hint="eastAsia"/>
        </w:rPr>
      </w:pPr>
      <w:r>
        <w:rPr>
          <w:rFonts w:hint="eastAsia"/>
          <w:b/>
          <w:bCs/>
        </w:rPr>
        <w:t>2</w:t>
      </w:r>
      <w:r>
        <w:rPr>
          <w:rFonts w:hint="eastAsia"/>
          <w:b/>
          <w:bCs/>
        </w:rPr>
        <w:t>.</w:t>
      </w:r>
      <w:r>
        <w:rPr>
          <w:rFonts w:hint="eastAsia"/>
          <w:b/>
          <w:bCs/>
        </w:rPr>
        <w:t>其他需要提示的事项</w:t>
      </w:r>
    </w:p>
    <w:p w:rsidR="00000000" w:rsidRDefault="001E12C0">
      <w:pPr>
        <w:pStyle w:val="neirong"/>
        <w:rPr>
          <w:rFonts w:hint="eastAsia"/>
        </w:rPr>
      </w:pPr>
      <w:r>
        <w:rPr>
          <w:rFonts w:hint="eastAsia"/>
        </w:rPr>
        <w:t>  </w:t>
      </w:r>
      <w:r>
        <w:rPr>
          <w:rFonts w:hint="eastAsia"/>
        </w:rPr>
        <w:t>上述变更事项，已由东方阿尔法基金管理有限公司董事会会议审议通过，并已按相关规定及基金合同约定通知基金托管人。</w:t>
      </w:r>
    </w:p>
    <w:p w:rsidR="00000000" w:rsidRDefault="001E12C0">
      <w:pPr>
        <w:pStyle w:val="neirong"/>
        <w:rPr>
          <w:rFonts w:hint="eastAsia"/>
        </w:rPr>
      </w:pPr>
    </w:p>
    <w:p w:rsidR="00000000" w:rsidRDefault="001E12C0">
      <w:pPr>
        <w:pStyle w:val="biaogeright"/>
        <w:rPr>
          <w:rFonts w:hint="eastAsia"/>
        </w:rPr>
      </w:pPr>
      <w:r>
        <w:rPr>
          <w:rFonts w:hAnsi="Calibri" w:hint="eastAsia"/>
          <w:color w:val="000000"/>
        </w:rPr>
        <w:t>东方阿尔法基金管理有限公司</w:t>
      </w:r>
    </w:p>
    <w:p w:rsidR="00000000" w:rsidRDefault="001E12C0">
      <w:pPr>
        <w:pStyle w:val="biaogeright"/>
        <w:rPr>
          <w:rFonts w:hint="eastAsia"/>
        </w:rPr>
      </w:pPr>
      <w:r>
        <w:rPr>
          <w:rFonts w:hAnsi="Calibri" w:hint="eastAsia"/>
          <w:color w:val="000000"/>
        </w:rPr>
        <w:t>2024</w:t>
      </w:r>
      <w:r>
        <w:rPr>
          <w:rFonts w:hAnsi="Calibri" w:hint="eastAsia"/>
          <w:color w:val="000000"/>
        </w:rPr>
        <w:t>年</w:t>
      </w:r>
      <w:r>
        <w:rPr>
          <w:rFonts w:hAnsi="Calibri" w:hint="eastAsia"/>
          <w:color w:val="000000"/>
        </w:rPr>
        <w:t>10</w:t>
      </w:r>
      <w:r>
        <w:rPr>
          <w:rFonts w:hAnsi="Calibri" w:hint="eastAsia"/>
          <w:color w:val="000000"/>
        </w:rPr>
        <w:t>月</w:t>
      </w:r>
      <w:r>
        <w:rPr>
          <w:rFonts w:hAnsi="Calibri" w:hint="eastAsia"/>
          <w:color w:val="000000"/>
        </w:rPr>
        <w:t>10</w:t>
      </w:r>
      <w:r>
        <w:rPr>
          <w:rFonts w:hAnsi="Calibri" w:hint="eastAsia"/>
          <w:color w:val="000000"/>
        </w:rPr>
        <w:t>日</w:t>
      </w:r>
    </w:p>
    <w:sectPr w:rsidR="00000000">
      <w:pgSz w:w="11926" w:h="15840"/>
      <w:pgMar w:top="1418" w:right="1418" w:bottom="853" w:left="141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oNotTrackMoves/>
  <w:defaultTabStop w:val="720"/>
  <w:noPunctuationKerning/>
  <w:characterSpacingControl w:val="compressPunctuation"/>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lmZDQ1NzE5ZjE5YTIwNzY1NzE5N2I3MjBkYWExNjEifQ=="/>
  </w:docVars>
  <w:rsids>
    <w:rsidRoot w:val="001467A7"/>
    <w:rsid w:val="000B69F8"/>
    <w:rsid w:val="001467A7"/>
    <w:rsid w:val="001E12C0"/>
    <w:rsid w:val="17BB0135"/>
    <w:rsid w:val="412F10C8"/>
    <w:rsid w:val="4C0D3C71"/>
    <w:rsid w:val="5A4F7C8D"/>
    <w:rsid w:val="64474C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locked/>
    <w:rPr>
      <w:rFonts w:ascii="Times New Roman" w:hAnsi="Times New Roman" w:cs="Times New Roman" w:hint="default"/>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rFonts w:ascii="Times New Roman" w:hAnsi="Times New Roman" w:cs="Times New Roman" w:hint="default"/>
      <w:sz w:val="18"/>
      <w:szCs w:val="18"/>
    </w:rPr>
  </w:style>
  <w:style w:type="paragraph" w:customStyle="1" w:styleId="msonormalfy">
    <w:name w:val="msonormalfy"/>
    <w:qFormat/>
    <w:pPr>
      <w:widowControl w:val="0"/>
      <w:jc w:val="center"/>
    </w:pPr>
    <w:rPr>
      <w:rFonts w:cs="Times New Roman"/>
      <w:kern w:val="2"/>
      <w:sz w:val="33"/>
      <w:szCs w:val="22"/>
    </w:rPr>
  </w:style>
  <w:style w:type="paragraph" w:customStyle="1" w:styleId="msonormalnone">
    <w:name w:val="msonormal_none"/>
    <w:qFormat/>
    <w:pPr>
      <w:widowControl w:val="0"/>
    </w:pPr>
    <w:rPr>
      <w:rFonts w:cs="Times New Roman"/>
      <w:kern w:val="2"/>
      <w:sz w:val="21"/>
      <w:szCs w:val="22"/>
    </w:rPr>
  </w:style>
  <w:style w:type="paragraph" w:customStyle="1" w:styleId="msonormal1">
    <w:name w:val="msonormal1"/>
    <w:qFormat/>
    <w:pPr>
      <w:widowControl w:val="0"/>
      <w:jc w:val="both"/>
    </w:pPr>
    <w:rPr>
      <w:rFonts w:cs="Times New Roman"/>
      <w:kern w:val="2"/>
      <w:sz w:val="21"/>
      <w:szCs w:val="22"/>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zhangjiep">
    <w:name w:val="zhangjie_p"/>
    <w:basedOn w:val="a"/>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 w:type="paragraph" w:customStyle="1" w:styleId="biaogeright1">
    <w:name w:val="biaoge_right1"/>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1">
    <w:name w:val="biaoge_center1"/>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left1">
    <w:name w:val="biaoge_left1"/>
    <w:basedOn w:val="a"/>
    <w:pPr>
      <w:widowControl/>
      <w:autoSpaceDE w:val="0"/>
      <w:autoSpaceDN w:val="0"/>
      <w:adjustRightInd w:val="0"/>
      <w:spacing w:before="29" w:line="288" w:lineRule="auto"/>
      <w:ind w:left="15"/>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4</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徐年强</dc:creator>
  <cp:keywords/>
  <dc:description/>
  <cp:lastModifiedBy>ZHONGM</cp:lastModifiedBy>
  <cp:revision>2</cp:revision>
  <dcterms:created xsi:type="dcterms:W3CDTF">2024-10-09T16:00:00Z</dcterms:created>
  <dcterms:modified xsi:type="dcterms:W3CDTF">2024-10-09T16:00:00Z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81828BF95C4645CA982D2FEB3010EC72_12</vt:lpwstr>
  </property>
</Properties>
</file>