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6F22" w:rsidRDefault="00476F22" w:rsidP="00F53D39">
      <w:pPr>
        <w:pStyle w:val="XBRL2"/>
        <w:spacing w:before="156"/>
        <w:rPr>
          <w:lang w:eastAsia="zh-CN"/>
        </w:rPr>
      </w:pPr>
      <w:bookmarkStart w:id="0" w:name="_Toc510201001"/>
      <w:bookmarkEnd w:id="0"/>
      <w:r>
        <w:rPr>
          <w:lang w:eastAsia="zh-CN"/>
        </w:rPr>
        <w:t xml:space="preserve">　</w:t>
      </w:r>
      <w:r>
        <w:rPr>
          <w:lang w:eastAsia="zh-CN"/>
        </w:rPr>
        <w:t xml:space="preserve"> </w:t>
      </w:r>
    </w:p>
    <w:p w:rsidR="00476F22" w:rsidRDefault="00476F22">
      <w:pPr>
        <w:jc w:val="center"/>
      </w:pPr>
      <w:r>
        <w:rPr>
          <w:rFonts w:cs="Times New Roman" w:hint="eastAsia"/>
          <w:b/>
          <w:sz w:val="48"/>
          <w:szCs w:val="48"/>
        </w:rPr>
        <w:t>华泰柏瑞享利灵活配置混合型证券投资基金分红公告</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pStyle w:val="20"/>
        <w:tabs>
          <w:tab w:val="right" w:leader="dot" w:pos="8835"/>
        </w:tabs>
        <w:divId w:val="786655693"/>
        <w:rPr>
          <w:rFonts w:hint="eastAsia"/>
          <w:vanish/>
        </w:rPr>
      </w:pPr>
      <w:r>
        <w:rPr>
          <w:rFonts w:hint="eastAsia"/>
          <w:vanish/>
          <w:sz w:val="24"/>
          <w:szCs w:val="30"/>
        </w:rPr>
        <w:fldChar w:fldCharType="begin"/>
      </w:r>
      <w:r>
        <w:rPr>
          <w:rFonts w:hint="eastAsia"/>
          <w:vanish/>
          <w:sz w:val="24"/>
          <w:szCs w:val="30"/>
        </w:rPr>
        <w:instrText xml:space="preserve">?TOC \o "1-2" \n \h \z \u </w:instrText>
      </w:r>
      <w:r>
        <w:rPr>
          <w:vanish/>
          <w:sz w:val="24"/>
          <w:szCs w:val="30"/>
        </w:rPr>
        <w:fldChar w:fldCharType="separate"/>
      </w:r>
      <w:hyperlink w:anchor="_Toc510201001" w:history="1">
        <w:r>
          <w:rPr>
            <w:rStyle w:val="a3"/>
            <w:rFonts w:hint="eastAsia"/>
            <w:noProof/>
            <w:vanish/>
          </w:rPr>
          <w:t>0、公告标题</w:t>
        </w:r>
      </w:hyperlink>
      <w:r>
        <w:rPr>
          <w:rFonts w:ascii="Calibri" w:hAnsi="Calibri" w:cs="Times New Roman"/>
          <w:noProof/>
          <w:vanish/>
          <w:szCs w:val="22"/>
        </w:rPr>
        <w:t xml:space="preserve"> </w:t>
      </w:r>
    </w:p>
    <w:p w:rsidR="00476F22" w:rsidRDefault="00476F22">
      <w:pPr>
        <w:pStyle w:val="20"/>
        <w:tabs>
          <w:tab w:val="right" w:leader="dot" w:pos="8835"/>
        </w:tabs>
        <w:divId w:val="786655693"/>
        <w:rPr>
          <w:rFonts w:hint="eastAsia"/>
          <w:vanish/>
        </w:rPr>
      </w:pPr>
      <w:hyperlink w:anchor="_Toc34322059" w:history="1">
        <w:r>
          <w:rPr>
            <w:rStyle w:val="a3"/>
            <w:rFonts w:hint="eastAsia"/>
            <w:noProof/>
            <w:vanish/>
          </w:rPr>
          <w:t>1.公告基本信息</w:t>
        </w:r>
      </w:hyperlink>
      <w:r>
        <w:rPr>
          <w:rFonts w:ascii="Calibri" w:hAnsi="Calibri" w:cs="Times New Roman"/>
          <w:noProof/>
          <w:vanish/>
          <w:szCs w:val="22"/>
        </w:rPr>
        <w:t xml:space="preserve"> </w:t>
      </w:r>
    </w:p>
    <w:p w:rsidR="00476F22" w:rsidRDefault="00476F22">
      <w:pPr>
        <w:pStyle w:val="20"/>
        <w:tabs>
          <w:tab w:val="right" w:leader="dot" w:pos="8835"/>
        </w:tabs>
        <w:divId w:val="786655693"/>
        <w:rPr>
          <w:rFonts w:hint="eastAsia"/>
          <w:vanish/>
        </w:rPr>
      </w:pPr>
      <w:hyperlink w:anchor="_Toc34322060" w:history="1">
        <w:r>
          <w:rPr>
            <w:rStyle w:val="a3"/>
            <w:rFonts w:hint="eastAsia"/>
            <w:noProof/>
            <w:vanish/>
          </w:rPr>
          <w:t>2.与分红相关的其他信息</w:t>
        </w:r>
      </w:hyperlink>
      <w:r>
        <w:rPr>
          <w:rFonts w:ascii="Calibri" w:hAnsi="Calibri" w:cs="Times New Roman"/>
          <w:noProof/>
          <w:vanish/>
          <w:szCs w:val="22"/>
        </w:rPr>
        <w:t xml:space="preserve"> </w:t>
      </w:r>
    </w:p>
    <w:p w:rsidR="00476F22" w:rsidRDefault="00476F22">
      <w:pPr>
        <w:pStyle w:val="20"/>
        <w:tabs>
          <w:tab w:val="right" w:leader="dot" w:pos="8835"/>
        </w:tabs>
        <w:divId w:val="786655693"/>
        <w:rPr>
          <w:rFonts w:hint="eastAsia"/>
          <w:vanish/>
        </w:rPr>
      </w:pPr>
      <w:hyperlink w:anchor="_Toc34322063" w:history="1">
        <w:r>
          <w:rPr>
            <w:rStyle w:val="a3"/>
            <w:rFonts w:hint="eastAsia"/>
            <w:noProof/>
            <w:vanish/>
          </w:rPr>
          <w:t>3.其他需要提示的事项</w:t>
        </w:r>
      </w:hyperlink>
      <w:r>
        <w:rPr>
          <w:rFonts w:ascii="Calibri" w:hAnsi="Calibri" w:cs="Times New Roman"/>
          <w:noProof/>
          <w:vanish/>
          <w:szCs w:val="22"/>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fldChar w:fldCharType="end"/>
      </w: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560" w:lineRule="exact"/>
        <w:jc w:val="center"/>
        <w:rPr>
          <w:rFonts w:hint="eastAsia"/>
          <w:color w:val="000000"/>
          <w:kern w:val="0"/>
          <w:sz w:val="18"/>
        </w:rPr>
      </w:pPr>
      <w:r>
        <w:rPr>
          <w:rFonts w:hint="eastAsia"/>
          <w:color w:val="000000"/>
          <w:kern w:val="0"/>
          <w:sz w:val="18"/>
        </w:rPr>
        <w:t xml:space="preserve">　 </w:t>
      </w:r>
    </w:p>
    <w:p w:rsidR="00476F22" w:rsidRDefault="00476F22">
      <w:pPr>
        <w:spacing w:line="360" w:lineRule="auto"/>
        <w:jc w:val="center"/>
        <w:rPr>
          <w:rFonts w:hint="eastAsia"/>
        </w:rPr>
      </w:pPr>
      <w:r>
        <w:rPr>
          <w:rFonts w:hint="eastAsia"/>
          <w:b/>
          <w:bCs/>
          <w:sz w:val="24"/>
          <w:szCs w:val="30"/>
        </w:rPr>
        <w:t>公告送出日期：2024年10月10日</w:t>
      </w:r>
    </w:p>
    <w:p w:rsidR="00476F22" w:rsidRDefault="00476F22" w:rsidP="00F53D39">
      <w:pPr>
        <w:pStyle w:val="XBRLTitle1"/>
        <w:spacing w:before="156"/>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998"/>
        <w:gridCol w:w="3313"/>
        <w:gridCol w:w="3313"/>
      </w:tblGrid>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基金名称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华泰柏瑞享利灵活配置混合型证券投资基金</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基金简称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华泰柏瑞享利混合</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基金主代码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003591</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基金合同生效日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2016年12月29日</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基金管理人名称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华泰柏瑞基金管理有限公司</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基金托管人名称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平安银行股份有限公司</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公告依据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《公开募集证券投资基金信息披露管理办法》、《华泰柏瑞享利灵活配置混合型证券投资基金基金合同》、《华泰柏瑞享利灵活配置混合型证券投资基金招募说明书》</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收益分配基准日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2024年9月30日</w:t>
            </w:r>
          </w:p>
        </w:tc>
      </w:tr>
      <w:tr w:rsidR="00476F22" w:rsidRPr="00F53D39" w:rsidTr="00F53D39">
        <w:tc>
          <w:tcPr>
            <w:tcW w:w="1384"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截止收益分配基准日的相关指标 </w:t>
            </w:r>
          </w:p>
        </w:tc>
        <w:tc>
          <w:tcPr>
            <w:tcW w:w="155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基准日基金可供分配利润（单位：人民币元）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178,164,100.39</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vAlign w:val="center"/>
            <w:hideMark/>
          </w:tcPr>
          <w:p w:rsidR="00476F22" w:rsidRDefault="00476F22">
            <w:r w:rsidRPr="00F53D39">
              <w:rPr>
                <w:rFonts w:hint="eastAsia"/>
                <w:szCs w:val="21"/>
              </w:rPr>
              <w:t xml:space="preserve">有关年度分红次数的说明 </w:t>
            </w:r>
          </w:p>
        </w:tc>
        <w:tc>
          <w:tcPr>
            <w:tcW w:w="5579"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2024年度第1次分红</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下属分级基金的基金简称 </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华泰柏瑞享利混合A</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华泰柏瑞享利混合C</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vAlign w:val="center"/>
            <w:hideMark/>
          </w:tcPr>
          <w:p w:rsidR="00476F22" w:rsidRDefault="00476F22">
            <w:r w:rsidRPr="00F53D39">
              <w:rPr>
                <w:rFonts w:hint="eastAsia"/>
                <w:szCs w:val="21"/>
              </w:rPr>
              <w:t xml:space="preserve">下属分级基金的交易代码 </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003591</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003592</w:t>
            </w:r>
          </w:p>
        </w:tc>
      </w:tr>
      <w:tr w:rsidR="00476F22" w:rsidRPr="00F53D39" w:rsidTr="00F53D39">
        <w:tc>
          <w:tcPr>
            <w:tcW w:w="1384" w:type="dxa"/>
            <w:vMerge w:val="restart"/>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截止基准日下属分级基金的相关指标 </w:t>
            </w:r>
          </w:p>
        </w:tc>
        <w:tc>
          <w:tcPr>
            <w:tcW w:w="155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基准日下属分级基金份额净值（单位： 人民币元） </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1.5214</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1.4984</w:t>
            </w:r>
          </w:p>
        </w:tc>
      </w:tr>
      <w:tr w:rsidR="00476F22" w:rsidRPr="00F53D39" w:rsidTr="00F53D39">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476F22" w:rsidRDefault="00476F22" w:rsidP="00F53D39">
            <w:pPr>
              <w:widowControl/>
              <w:jc w:val="left"/>
            </w:pPr>
          </w:p>
        </w:tc>
        <w:tc>
          <w:tcPr>
            <w:tcW w:w="155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基准日下属分级基金可供分配利润（单位:人民币元） </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112,059,331.79</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66,104,768.60</w:t>
            </w:r>
          </w:p>
        </w:tc>
      </w:tr>
      <w:tr w:rsidR="00476F22" w:rsidRPr="00F53D39" w:rsidTr="00F53D39">
        <w:tc>
          <w:tcPr>
            <w:tcW w:w="2943" w:type="dxa"/>
            <w:gridSpan w:val="2"/>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 xml:space="preserve">本次下属分级基金分红方案（单位：元/10份基金份额） </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0.3040</w:t>
            </w:r>
          </w:p>
        </w:tc>
        <w:tc>
          <w:tcPr>
            <w:tcW w:w="5579" w:type="dxa"/>
            <w:tcBorders>
              <w:top w:val="single" w:sz="4" w:space="0" w:color="000000"/>
              <w:left w:val="single" w:sz="4" w:space="0" w:color="000000"/>
              <w:bottom w:val="single" w:sz="4" w:space="0" w:color="000000"/>
              <w:right w:val="single" w:sz="4" w:space="0" w:color="000000"/>
            </w:tcBorders>
            <w:hideMark/>
          </w:tcPr>
          <w:p w:rsidR="00476F22" w:rsidRDefault="00476F22">
            <w:r w:rsidRPr="00F53D39">
              <w:rPr>
                <w:rFonts w:hint="eastAsia"/>
                <w:szCs w:val="21"/>
              </w:rPr>
              <w:t>0.3000</w:t>
            </w:r>
          </w:p>
        </w:tc>
      </w:tr>
    </w:tbl>
    <w:p w:rsidR="00476F22" w:rsidRDefault="00476F22" w:rsidP="00F53D39">
      <w:pPr>
        <w:adjustRightInd w:val="0"/>
        <w:snapToGrid w:val="0"/>
        <w:spacing w:beforeLines="50" w:line="360" w:lineRule="auto"/>
        <w:jc w:val="left"/>
        <w:rPr>
          <w:rFonts w:hint="eastAsia"/>
        </w:rPr>
      </w:pPr>
      <w:r>
        <w:rPr>
          <w:rFonts w:hint="eastAsia"/>
        </w:rPr>
        <w:t>注：</w:t>
      </w:r>
      <w:r>
        <w:rPr>
          <w:rFonts w:hint="eastAsia"/>
          <w:szCs w:val="24"/>
          <w:lang/>
        </w:rPr>
        <w:t>根据《华泰柏瑞享利灵活配置混合型证券投资基金基金合同》的约定，基金红利发放日距离收益分配基准日（即可供分配利润计算截至日）的时间不得超过15个工作日。</w:t>
      </w:r>
      <w:r>
        <w:rPr>
          <w:rFonts w:hint="eastAsia"/>
          <w:szCs w:val="24"/>
        </w:rPr>
        <w:t xml:space="preserve"> </w:t>
      </w:r>
    </w:p>
    <w:p w:rsidR="00476F22" w:rsidRDefault="00476F22" w:rsidP="00F53D39">
      <w:pPr>
        <w:pStyle w:val="XBRLTitle1"/>
        <w:spacing w:before="156" w:line="360" w:lineRule="auto"/>
        <w:jc w:val="left"/>
        <w:rPr>
          <w:rFonts w:hint="eastAsia"/>
        </w:rPr>
      </w:pPr>
      <w:bookmarkStart w:id="13" w:name="_Toc17898179"/>
      <w:bookmarkStart w:id="14" w:name="_Toc17897937"/>
      <w:bookmarkStart w:id="15" w:name="_Toc512519481"/>
      <w:bookmarkStart w:id="16" w:name="_Toc481075047"/>
      <w:bookmarkStart w:id="17" w:name="_Toc438646452"/>
      <w:bookmarkStart w:id="18" w:name="_Toc490050001"/>
      <w:bookmarkStart w:id="19" w:name="_Toc513295847"/>
      <w:bookmarkStart w:id="20" w:name="_Toc513295893"/>
      <w:bookmarkStart w:id="21" w:name="_Toc34322060"/>
      <w:r>
        <w:rPr>
          <w:rFonts w:hAnsi="宋体" w:hint="eastAsia"/>
          <w:szCs w:val="24"/>
        </w:rPr>
        <w:t>与分红相关的其他信息</w:t>
      </w:r>
      <w:bookmarkEnd w:id="13"/>
      <w:bookmarkEnd w:id="14"/>
      <w:bookmarkEnd w:id="15"/>
      <w:bookmarkEnd w:id="16"/>
      <w:bookmarkEnd w:id="17"/>
      <w:bookmarkEnd w:id="18"/>
      <w:bookmarkEnd w:id="19"/>
      <w:bookmarkEnd w:id="20"/>
      <w:bookmarkEnd w:id="21"/>
      <w:r>
        <w:rPr>
          <w:rFonts w:hAnsi="宋体" w:hint="eastAsia"/>
          <w:szCs w:val="24"/>
        </w:rPr>
        <w:t xml:space="preserve"> </w:t>
      </w:r>
      <w:bookmarkEnd w:id="10"/>
      <w:bookmarkEnd w:id="11"/>
      <w:bookmarkEnd w:id="12"/>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476F22">
        <w:tc>
          <w:tcPr>
            <w:tcW w:w="3927"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2024年10月11日</w:t>
            </w:r>
          </w:p>
        </w:tc>
      </w:tr>
      <w:tr w:rsidR="00476F22">
        <w:tc>
          <w:tcPr>
            <w:tcW w:w="3927"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2024年10月11日</w:t>
            </w:r>
          </w:p>
        </w:tc>
      </w:tr>
      <w:tr w:rsidR="00476F22">
        <w:tc>
          <w:tcPr>
            <w:tcW w:w="3927"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2024年10月14日</w:t>
            </w:r>
          </w:p>
        </w:tc>
      </w:tr>
      <w:tr w:rsidR="00476F22">
        <w:tc>
          <w:tcPr>
            <w:tcW w:w="3927"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权益登记日在本基金注册登记机构登记在册的本基金全体基金份额持有人</w:t>
            </w:r>
          </w:p>
        </w:tc>
      </w:tr>
      <w:tr w:rsidR="00476F22">
        <w:tc>
          <w:tcPr>
            <w:tcW w:w="3927" w:type="dxa"/>
            <w:tcBorders>
              <w:top w:val="single" w:sz="4" w:space="0" w:color="auto"/>
              <w:left w:val="single" w:sz="4" w:space="0" w:color="auto"/>
              <w:bottom w:val="single" w:sz="4" w:space="0" w:color="auto"/>
              <w:right w:val="single" w:sz="4" w:space="0" w:color="auto"/>
            </w:tcBorders>
            <w:vAlign w:val="center"/>
            <w:hideMark/>
          </w:tcPr>
          <w:p w:rsidR="00476F22" w:rsidRDefault="00476F22">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选择现金红利再投资的投资者将其现金红利转基金份额的基金份额净值确定日为：2024年10月11日，选择现金红利再投资方式的投资者其红利再投资的基金份额将于2024年10月14日直接计入其基金账户，2024年10月15日起可以查询、赎回。</w:t>
            </w:r>
          </w:p>
        </w:tc>
      </w:tr>
      <w:tr w:rsidR="00476F22">
        <w:tc>
          <w:tcPr>
            <w:tcW w:w="3927"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根据财政部、国家税务总局的相关规定，基金向投资者分配的基金收益暂免征收所得税。</w:t>
            </w:r>
          </w:p>
        </w:tc>
      </w:tr>
      <w:tr w:rsidR="00476F22">
        <w:tc>
          <w:tcPr>
            <w:tcW w:w="3927"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476F22" w:rsidRDefault="00476F22">
            <w:r>
              <w:rPr>
                <w:rFonts w:hint="eastAsia"/>
                <w:szCs w:val="21"/>
              </w:rPr>
              <w:t>本次分红免收分红手续费；选择现金红利再投资方式的投资者其现金红利再投资的基金份额免收申购费用。</w:t>
            </w:r>
          </w:p>
        </w:tc>
      </w:tr>
    </w:tbl>
    <w:p w:rsidR="00476F22" w:rsidRDefault="00476F22" w:rsidP="00F53D39">
      <w:pPr>
        <w:pStyle w:val="XBRLTitle1"/>
        <w:spacing w:before="156" w:line="360" w:lineRule="auto"/>
        <w:jc w:val="left"/>
        <w:rPr>
          <w:rFonts w:hint="eastAsia"/>
        </w:rPr>
      </w:pPr>
      <w:bookmarkStart w:id="22" w:name="_Toc17898228"/>
      <w:bookmarkStart w:id="23" w:name="_Toc17897969"/>
      <w:bookmarkStart w:id="24" w:name="_Toc512519529"/>
      <w:bookmarkStart w:id="25" w:name="_Toc490050049"/>
      <w:bookmarkStart w:id="26" w:name="_Toc481075097"/>
      <w:bookmarkStart w:id="27" w:name="_Toc438646481"/>
      <w:bookmarkStart w:id="28" w:name="_Toc513295878"/>
      <w:bookmarkStart w:id="29" w:name="_Toc513295941"/>
      <w:bookmarkStart w:id="30" w:name="_Toc34322063"/>
      <w:bookmarkStart w:id="31" w:name="m201_01"/>
      <w:r>
        <w:rPr>
          <w:rFonts w:hAnsi="宋体" w:hint="eastAsia"/>
          <w:szCs w:val="24"/>
        </w:rPr>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476F22" w:rsidRDefault="00476F22">
      <w:pPr>
        <w:spacing w:line="360" w:lineRule="auto"/>
        <w:ind w:firstLineChars="200" w:firstLine="420"/>
        <w:jc w:val="left"/>
        <w:rPr>
          <w:rFonts w:hint="eastAsia"/>
        </w:rPr>
      </w:pPr>
      <w:r>
        <w:rPr>
          <w:rFonts w:hint="eastAsia"/>
          <w:szCs w:val="21"/>
        </w:rPr>
        <w:t>1、权益登记日申请申购的基金份额不享有本次分红，权益登记日申请赎回的基金份额享有本次分红。</w:t>
      </w:r>
      <w:r>
        <w:rPr>
          <w:rFonts w:hint="eastAsia"/>
          <w:szCs w:val="21"/>
        </w:rPr>
        <w:br/>
        <w:t xml:space="preserve">　　2、对于未选择具体分红方式的投资者，本基金默认的分红方式为现金分红。投资者可以在基金开放日的交易时间内到销售网点修改分红方式。本次分红确认的方式将按照投资者在权益登记日2024年10月11日之前（不含2024年10月11日）最后一次选择的分红方式为准。投资者可通过销售网点或通过华泰柏瑞基金管理有限公司的网站及客服热线查询所持有基金份额的分红方式，如需修改分红方式，请务必在规定时间前通过销售网点办理变更手续。</w:t>
      </w:r>
      <w:r>
        <w:rPr>
          <w:rFonts w:hint="eastAsia"/>
          <w:szCs w:val="21"/>
        </w:rPr>
        <w:br/>
        <w:t xml:space="preserve">　　3、本次分红不会改变本基金的风险收益特征，也不会降低本基金的投资风险或提高本基金的投资收益。</w:t>
      </w:r>
    </w:p>
    <w:p w:rsidR="00476F22" w:rsidRDefault="00476F22" w:rsidP="00F53D39">
      <w:pPr>
        <w:spacing w:line="360" w:lineRule="auto"/>
        <w:ind w:firstLineChars="600" w:firstLine="1446"/>
        <w:jc w:val="right"/>
        <w:rPr>
          <w:rFonts w:hint="eastAsia"/>
          <w:b/>
          <w:bCs/>
          <w:sz w:val="24"/>
          <w:szCs w:val="30"/>
        </w:rPr>
      </w:pPr>
      <w:r>
        <w:rPr>
          <w:rFonts w:hint="eastAsia"/>
          <w:b/>
          <w:bCs/>
          <w:sz w:val="24"/>
          <w:szCs w:val="30"/>
        </w:rPr>
        <w:t xml:space="preserve">　 </w:t>
      </w:r>
    </w:p>
    <w:p w:rsidR="00476F22" w:rsidRDefault="00476F22" w:rsidP="00F53D39">
      <w:pPr>
        <w:spacing w:line="360" w:lineRule="auto"/>
        <w:ind w:firstLineChars="600" w:firstLine="1446"/>
        <w:jc w:val="right"/>
        <w:rPr>
          <w:rFonts w:hint="eastAsia"/>
          <w:b/>
          <w:bCs/>
          <w:sz w:val="24"/>
          <w:szCs w:val="30"/>
        </w:rPr>
      </w:pPr>
      <w:r>
        <w:rPr>
          <w:rFonts w:hint="eastAsia"/>
          <w:b/>
          <w:bCs/>
          <w:sz w:val="24"/>
          <w:szCs w:val="30"/>
        </w:rPr>
        <w:t xml:space="preserve">　 </w:t>
      </w:r>
    </w:p>
    <w:p w:rsidR="00476F22" w:rsidRDefault="00476F22">
      <w:pPr>
        <w:spacing w:line="360" w:lineRule="auto"/>
        <w:ind w:firstLineChars="600" w:firstLine="1446"/>
        <w:jc w:val="right"/>
        <w:rPr>
          <w:rFonts w:hint="eastAsia"/>
        </w:rPr>
      </w:pPr>
      <w:r>
        <w:rPr>
          <w:rFonts w:hint="eastAsia"/>
          <w:b/>
          <w:bCs/>
          <w:sz w:val="24"/>
          <w:szCs w:val="24"/>
        </w:rPr>
        <w:t>华泰柏瑞基金管理有限公司</w:t>
      </w:r>
    </w:p>
    <w:p w:rsidR="00476F22" w:rsidRDefault="00476F22">
      <w:pPr>
        <w:spacing w:line="360" w:lineRule="auto"/>
        <w:ind w:firstLineChars="600" w:firstLine="1446"/>
        <w:jc w:val="right"/>
        <w:rPr>
          <w:rFonts w:hint="eastAsia"/>
        </w:rPr>
      </w:pPr>
      <w:r>
        <w:rPr>
          <w:rFonts w:hint="eastAsia"/>
          <w:b/>
          <w:bCs/>
          <w:sz w:val="24"/>
          <w:szCs w:val="24"/>
        </w:rPr>
        <w:t>2024年10月10日</w:t>
      </w:r>
      <w:bookmarkEnd w:id="31"/>
    </w:p>
    <w:sectPr w:rsidR="00476F22">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22" w:rsidRDefault="00476F22">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476F22" w:rsidRDefault="00476F22">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2" w:rsidRDefault="00476F22">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F53D39">
      <w:rPr>
        <w:noProof/>
        <w:sz w:val="18"/>
        <w:szCs w:val="18"/>
      </w:rPr>
      <w:t>3</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F53D39">
      <w:rPr>
        <w:noProof/>
        <w:sz w:val="18"/>
        <w:szCs w:val="18"/>
      </w:rPr>
      <w:t>3</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22" w:rsidRDefault="00476F22">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476F22" w:rsidRDefault="00476F22">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2" w:rsidRDefault="00476F22">
    <w:pPr>
      <w:pStyle w:val="a7"/>
      <w:jc w:val="right"/>
      <w:rPr>
        <w:rFonts w:hint="eastAsia"/>
      </w:rPr>
    </w:pPr>
    <w:r>
      <w:rPr>
        <w:rFonts w:hint="eastAsia"/>
      </w:rPr>
      <w:t>华泰柏瑞享利灵活配置混合型证券投资基金分红公告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D39"/>
    <w:rsid w:val="0006678A"/>
    <w:rsid w:val="00476F22"/>
    <w:rsid w:val="00F53D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rFonts w:cs="Times New Roman"/>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cs="Times New Roman"/>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rFonts w:cs="Times New Roman"/>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cs="Times New Roman"/>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Cambria" w:eastAsia="宋体" w:hAnsi="Cambria" w:cs="Times New Roman" w:hint="default"/>
      <w:b/>
      <w:bCs/>
      <w:kern w:val="2"/>
      <w:sz w:val="24"/>
      <w:szCs w:val="24"/>
    </w:rPr>
  </w:style>
  <w:style w:type="character" w:customStyle="1" w:styleId="5Char">
    <w:name w:val="标题 5 Char"/>
    <w:basedOn w:val="a0"/>
    <w:link w:val="5"/>
    <w:uiPriority w:val="9"/>
    <w:semiHidden/>
    <w:locked/>
    <w:rPr>
      <w:b/>
      <w:bCs/>
      <w:kern w:val="2"/>
      <w:sz w:val="24"/>
      <w:szCs w:val="24"/>
    </w:rPr>
  </w:style>
  <w:style w:type="character" w:customStyle="1" w:styleId="6Char">
    <w:name w:val="标题 6 Char"/>
    <w:basedOn w:val="a0"/>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basedOn w:val="a0"/>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basedOn w:val="a0"/>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basedOn w:val="a0"/>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basedOn w:val="a0"/>
    <w:link w:val="aa"/>
    <w:locked/>
    <w:rPr>
      <w:rFonts w:ascii="Cambria" w:hAnsi="Cambria" w:cs="Times New Roman" w:hint="default"/>
      <w:b/>
      <w:bCs/>
      <w:kern w:val="24"/>
      <w:sz w:val="32"/>
      <w:szCs w:val="32"/>
    </w:rPr>
  </w:style>
  <w:style w:type="paragraph" w:styleId="ab">
    <w:name w:val="Date"/>
    <w:basedOn w:val="a"/>
    <w:next w:val="a"/>
    <w:link w:val="Char14"/>
    <w:rPr>
      <w:rFonts w:cs="Times New Roman" w:hint="eastAsia"/>
      <w:sz w:val="32"/>
      <w:lang/>
    </w:rPr>
  </w:style>
  <w:style w:type="character" w:customStyle="1" w:styleId="Char5">
    <w:name w:val="日期 Char"/>
    <w:basedOn w:val="a0"/>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basedOn w:val="a0"/>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basedOn w:val="a0"/>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basedOn w:val="a0"/>
    <w:link w:val="1"/>
    <w:uiPriority w:val="9"/>
    <w:locked/>
    <w:rPr>
      <w:b/>
      <w:bCs/>
      <w:kern w:val="44"/>
      <w:sz w:val="44"/>
      <w:szCs w:val="44"/>
    </w:rPr>
  </w:style>
  <w:style w:type="character" w:customStyle="1" w:styleId="21">
    <w:name w:val="标题 2 字符"/>
    <w:basedOn w:val="a0"/>
    <w:link w:val="2"/>
    <w:uiPriority w:val="9"/>
    <w:locked/>
    <w:rPr>
      <w:rFonts w:ascii="Cambria" w:eastAsia="宋体" w:hAnsi="Cambria" w:cs="Times New Roman" w:hint="default"/>
      <w:b/>
      <w:bCs/>
      <w:kern w:val="2"/>
      <w:sz w:val="32"/>
      <w:szCs w:val="32"/>
    </w:rPr>
  </w:style>
  <w:style w:type="character" w:customStyle="1" w:styleId="31">
    <w:name w:val="标题 3 字符"/>
    <w:basedOn w:val="a0"/>
    <w:link w:val="3"/>
    <w:uiPriority w:val="9"/>
    <w:locked/>
    <w:rPr>
      <w:b/>
      <w:bCs/>
      <w:kern w:val="2"/>
      <w:sz w:val="32"/>
      <w:szCs w:val="32"/>
    </w:rPr>
  </w:style>
  <w:style w:type="character" w:customStyle="1" w:styleId="40">
    <w:name w:val="标题 4 字符"/>
    <w:basedOn w:val="a0"/>
    <w:link w:val="4"/>
    <w:locked/>
    <w:rPr>
      <w:rFonts w:ascii="Cambria" w:eastAsia="宋体" w:hAnsi="Cambria" w:cs="Times New Roman" w:hint="default"/>
      <w:b/>
      <w:bCs/>
      <w:kern w:val="2"/>
      <w:sz w:val="24"/>
      <w:szCs w:val="24"/>
    </w:rPr>
  </w:style>
  <w:style w:type="character" w:customStyle="1" w:styleId="af0">
    <w:name w:val="脚注文本 字符"/>
    <w:basedOn w:val="a0"/>
    <w:link w:val="a6"/>
    <w:locked/>
    <w:rPr>
      <w:kern w:val="2"/>
      <w:sz w:val="18"/>
      <w:szCs w:val="18"/>
    </w:rPr>
  </w:style>
  <w:style w:type="character" w:customStyle="1" w:styleId="af1">
    <w:name w:val="页眉 字符"/>
    <w:basedOn w:val="a0"/>
    <w:link w:val="a7"/>
    <w:locked/>
    <w:rPr>
      <w:kern w:val="2"/>
      <w:sz w:val="18"/>
      <w:szCs w:val="18"/>
    </w:rPr>
  </w:style>
  <w:style w:type="character" w:customStyle="1" w:styleId="af2">
    <w:name w:val="页脚 字符"/>
    <w:basedOn w:val="a0"/>
    <w:link w:val="a8"/>
    <w:uiPriority w:val="99"/>
    <w:locked/>
    <w:rPr>
      <w:kern w:val="2"/>
      <w:sz w:val="18"/>
      <w:szCs w:val="18"/>
    </w:rPr>
  </w:style>
  <w:style w:type="character" w:customStyle="1" w:styleId="af3">
    <w:name w:val="标题 字符"/>
    <w:basedOn w:val="a0"/>
    <w:link w:val="a9"/>
    <w:uiPriority w:val="10"/>
    <w:locked/>
    <w:rPr>
      <w:rFonts w:ascii="Cambria" w:eastAsia="宋体" w:hAnsi="Cambria" w:cs="Times New Roman" w:hint="default"/>
      <w:b/>
      <w:bCs/>
      <w:kern w:val="2"/>
      <w:sz w:val="32"/>
      <w:szCs w:val="32"/>
    </w:rPr>
  </w:style>
  <w:style w:type="character" w:customStyle="1" w:styleId="af4">
    <w:name w:val="副标题 字符"/>
    <w:basedOn w:val="a0"/>
    <w:link w:val="aa"/>
    <w:locked/>
    <w:rPr>
      <w:rFonts w:ascii="Calibri" w:eastAsia="宋体" w:hAnsi="Calibri" w:cs="Times New Roman" w:hint="default"/>
      <w:b/>
      <w:bCs/>
      <w:kern w:val="24"/>
      <w:sz w:val="32"/>
      <w:szCs w:val="32"/>
    </w:rPr>
  </w:style>
  <w:style w:type="character" w:customStyle="1" w:styleId="af5">
    <w:name w:val="日期 字符"/>
    <w:basedOn w:val="a0"/>
    <w:link w:val="ab"/>
    <w:locked/>
    <w:rPr>
      <w:kern w:val="2"/>
      <w:sz w:val="21"/>
    </w:rPr>
  </w:style>
  <w:style w:type="character" w:customStyle="1" w:styleId="af6">
    <w:name w:val="文档结构图 字符"/>
    <w:basedOn w:val="a0"/>
    <w:link w:val="ac"/>
    <w:locked/>
    <w:rPr>
      <w:rFonts w:ascii="Microsoft YaHei UI" w:eastAsia="Microsoft YaHei UI" w:hAnsi="Microsoft YaHei UI" w:hint="eastAsia"/>
      <w:kern w:val="2"/>
      <w:sz w:val="18"/>
      <w:szCs w:val="18"/>
    </w:rPr>
  </w:style>
  <w:style w:type="character" w:customStyle="1" w:styleId="af7">
    <w:name w:val="批注框文本 字符"/>
    <w:basedOn w:val="a0"/>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basedOn w:val="a0"/>
    <w:link w:val="a6"/>
    <w:locked/>
    <w:rPr>
      <w:kern w:val="2"/>
      <w:sz w:val="18"/>
      <w:szCs w:val="18"/>
    </w:rPr>
  </w:style>
  <w:style w:type="character" w:customStyle="1" w:styleId="Char10">
    <w:name w:val="页眉 Char1"/>
    <w:basedOn w:val="a0"/>
    <w:link w:val="a7"/>
    <w:locked/>
    <w:rPr>
      <w:kern w:val="2"/>
      <w:sz w:val="18"/>
      <w:szCs w:val="18"/>
    </w:rPr>
  </w:style>
  <w:style w:type="character" w:customStyle="1" w:styleId="Char11">
    <w:name w:val="页脚 Char1"/>
    <w:basedOn w:val="a0"/>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basedOn w:val="a0"/>
    <w:link w:val="ac"/>
    <w:locked/>
    <w:rPr>
      <w:rFonts w:ascii="宋体" w:eastAsia="宋体" w:hAnsi="宋体" w:hint="eastAsia"/>
      <w:kern w:val="2"/>
      <w:sz w:val="18"/>
      <w:szCs w:val="18"/>
    </w:rPr>
  </w:style>
  <w:style w:type="character" w:customStyle="1" w:styleId="Char16">
    <w:name w:val="批注框文本 Char1"/>
    <w:basedOn w:val="a0"/>
    <w:link w:val="ad"/>
    <w:uiPriority w:val="99"/>
    <w:semiHidden/>
    <w:locked/>
    <w:rPr>
      <w:kern w:val="2"/>
      <w:sz w:val="18"/>
      <w:szCs w:val="18"/>
    </w:rPr>
  </w:style>
  <w:style w:type="character" w:customStyle="1" w:styleId="5Char1">
    <w:name w:val="标题 5 Char1"/>
    <w:basedOn w:val="a0"/>
    <w:link w:val="5"/>
    <w:uiPriority w:val="9"/>
    <w:semiHidden/>
    <w:locked/>
    <w:rPr>
      <w:b/>
      <w:bCs/>
      <w:kern w:val="2"/>
      <w:sz w:val="24"/>
      <w:szCs w:val="24"/>
    </w:rPr>
  </w:style>
  <w:style w:type="character" w:customStyle="1" w:styleId="6Char1">
    <w:name w:val="标题 6 Char1"/>
    <w:basedOn w:val="a0"/>
    <w:link w:val="6"/>
    <w:uiPriority w:val="9"/>
    <w:semiHidden/>
    <w:locked/>
    <w:rPr>
      <w:rFonts w:ascii="Cambria" w:eastAsia="宋体" w:hAnsi="Cambria" w:cs="Times New Roman" w:hint="default"/>
      <w:b/>
      <w:bCs/>
      <w:kern w:val="2"/>
      <w:sz w:val="24"/>
      <w:szCs w:val="24"/>
    </w:rPr>
  </w:style>
  <w:style w:type="character" w:customStyle="1" w:styleId="12">
    <w:name w:val="页眉 字符1"/>
    <w:basedOn w:val="a0"/>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786655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A19F-BF6C-411D-AD58-9EE47159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4</DocSecurity>
  <Lines>11</Lines>
  <Paragraphs>3</Paragraphs>
  <ScaleCrop>false</ScaleCrop>
  <Company/>
  <LinksUpToDate>false</LinksUpToDate>
  <CharactersWithSpaces>1613</CharactersWithSpaces>
  <SharedDoc>false</SharedDoc>
  <HLinks>
    <vt:vector size="24" baseType="variant">
      <vt:variant>
        <vt:i4>1179700</vt:i4>
      </vt:variant>
      <vt:variant>
        <vt:i4>11</vt:i4>
      </vt:variant>
      <vt:variant>
        <vt:i4>0</vt:i4>
      </vt:variant>
      <vt:variant>
        <vt:i4>5</vt:i4>
      </vt:variant>
      <vt:variant>
        <vt:lpwstr/>
      </vt:variant>
      <vt:variant>
        <vt:lpwstr>_Toc34322063</vt:lpwstr>
      </vt:variant>
      <vt:variant>
        <vt:i4>1114164</vt:i4>
      </vt:variant>
      <vt:variant>
        <vt:i4>8</vt:i4>
      </vt:variant>
      <vt:variant>
        <vt:i4>0</vt:i4>
      </vt:variant>
      <vt:variant>
        <vt:i4>5</vt:i4>
      </vt:variant>
      <vt:variant>
        <vt:lpwstr/>
      </vt:variant>
      <vt:variant>
        <vt:lpwstr>_Toc34322060</vt:lpwstr>
      </vt:variant>
      <vt:variant>
        <vt:i4>1572919</vt:i4>
      </vt:variant>
      <vt:variant>
        <vt:i4>5</vt:i4>
      </vt:variant>
      <vt:variant>
        <vt:i4>0</vt:i4>
      </vt:variant>
      <vt:variant>
        <vt:i4>5</vt:i4>
      </vt:variant>
      <vt:variant>
        <vt:lpwstr/>
      </vt:variant>
      <vt:variant>
        <vt:lpwstr>_Toc34322059</vt:lpwstr>
      </vt:variant>
      <vt:variant>
        <vt:i4>1376309</vt:i4>
      </vt:variant>
      <vt:variant>
        <vt:i4>2</vt:i4>
      </vt:variant>
      <vt:variant>
        <vt:i4>0</vt:i4>
      </vt:variant>
      <vt:variant>
        <vt:i4>5</vt:i4>
      </vt:variant>
      <vt:variant>
        <vt:lpwstr/>
      </vt:variant>
      <vt:variant>
        <vt:lpwstr>_Toc510201001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2024-10-09T16:00:00Z</dcterms:created>
  <dcterms:modified xsi:type="dcterms:W3CDTF">2024-10-09T16:00:00Z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