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6B" w:rsidRDefault="00A5507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新华基金管理股份有限公司关于旗下部分基金持有的长期停牌股票估值方法调整的公告</w:t>
      </w:r>
    </w:p>
    <w:p w:rsidR="00BB656B" w:rsidRDefault="00A5507F">
      <w:pPr>
        <w:spacing w:line="360" w:lineRule="auto"/>
        <w:rPr>
          <w:sz w:val="24"/>
          <w:szCs w:val="24"/>
        </w:rPr>
      </w:pPr>
      <w:r>
        <w:rPr>
          <w:rFonts w:hint="eastAsia"/>
          <w:sz w:val="24"/>
          <w:szCs w:val="24"/>
        </w:rPr>
        <w:t xml:space="preserve">    </w:t>
      </w:r>
      <w:r>
        <w:rPr>
          <w:rFonts w:hint="eastAsia"/>
          <w:sz w:val="24"/>
          <w:szCs w:val="24"/>
        </w:rPr>
        <w:t>根据</w:t>
      </w:r>
      <w:r>
        <w:rPr>
          <w:sz w:val="24"/>
          <w:szCs w:val="24"/>
        </w:rPr>
        <w:t>《中国证监会关于证券投资基金估值业务的指导意见》（中国证券监督管理委员会公告</w:t>
      </w:r>
      <w:r>
        <w:rPr>
          <w:sz w:val="24"/>
          <w:szCs w:val="24"/>
        </w:rPr>
        <w:t>[2017]13</w:t>
      </w:r>
      <w:r>
        <w:rPr>
          <w:sz w:val="24"/>
          <w:szCs w:val="24"/>
        </w:rPr>
        <w:t>号）</w:t>
      </w:r>
      <w:r>
        <w:rPr>
          <w:rFonts w:hint="eastAsia"/>
          <w:sz w:val="24"/>
          <w:szCs w:val="24"/>
        </w:rPr>
        <w:t>、中国证券业协会基金估值工作小组《关于停牌股票估值的参考方法》、中国证券投资基金业协会《关于发布中基协（</w:t>
      </w:r>
      <w:r>
        <w:rPr>
          <w:rFonts w:hint="eastAsia"/>
          <w:sz w:val="24"/>
          <w:szCs w:val="24"/>
        </w:rPr>
        <w:t>AMAC</w:t>
      </w:r>
      <w:r>
        <w:rPr>
          <w:rFonts w:hint="eastAsia"/>
          <w:sz w:val="24"/>
          <w:szCs w:val="24"/>
        </w:rPr>
        <w:t>）基金行业股票估值指数的通知》（中基协发</w:t>
      </w:r>
      <w:r>
        <w:rPr>
          <w:rFonts w:hint="eastAsia"/>
          <w:sz w:val="24"/>
          <w:szCs w:val="24"/>
        </w:rPr>
        <w:t>[2013]13</w:t>
      </w:r>
      <w:r>
        <w:rPr>
          <w:rFonts w:hint="eastAsia"/>
          <w:sz w:val="24"/>
          <w:szCs w:val="24"/>
        </w:rPr>
        <w:t>号）的相关规定，</w:t>
      </w:r>
      <w:r>
        <w:rPr>
          <w:sz w:val="24"/>
          <w:szCs w:val="24"/>
        </w:rPr>
        <w:t>经与基金托管人协商一致，我司决定自</w:t>
      </w:r>
      <w:r>
        <w:rPr>
          <w:sz w:val="24"/>
          <w:szCs w:val="24"/>
        </w:rPr>
        <w:t>2024</w:t>
      </w:r>
      <w:r>
        <w:rPr>
          <w:sz w:val="24"/>
          <w:szCs w:val="24"/>
        </w:rPr>
        <w:t>年</w:t>
      </w:r>
      <w:r>
        <w:rPr>
          <w:rFonts w:hint="eastAsia"/>
          <w:sz w:val="24"/>
          <w:szCs w:val="24"/>
        </w:rPr>
        <w:t>10</w:t>
      </w:r>
      <w:r>
        <w:rPr>
          <w:sz w:val="24"/>
          <w:szCs w:val="24"/>
        </w:rPr>
        <w:t>月</w:t>
      </w:r>
      <w:r>
        <w:rPr>
          <w:rFonts w:hint="eastAsia"/>
          <w:sz w:val="24"/>
          <w:szCs w:val="24"/>
        </w:rPr>
        <w:t>08</w:t>
      </w:r>
      <w:r>
        <w:rPr>
          <w:sz w:val="24"/>
          <w:szCs w:val="24"/>
        </w:rPr>
        <w:t>日起，对旗下证券投资基金（</w:t>
      </w:r>
      <w:r>
        <w:rPr>
          <w:sz w:val="24"/>
          <w:szCs w:val="24"/>
        </w:rPr>
        <w:t>ETF</w:t>
      </w:r>
      <w:r>
        <w:rPr>
          <w:sz w:val="24"/>
          <w:szCs w:val="24"/>
        </w:rPr>
        <w:t>基金除外）持有的长期停牌股票</w:t>
      </w:r>
      <w:r>
        <w:rPr>
          <w:sz w:val="24"/>
          <w:szCs w:val="24"/>
        </w:rPr>
        <w:t>“</w:t>
      </w:r>
      <w:r>
        <w:rPr>
          <w:rFonts w:hint="eastAsia"/>
          <w:sz w:val="24"/>
          <w:szCs w:val="24"/>
        </w:rPr>
        <w:t>海通证券</w:t>
      </w:r>
      <w:r>
        <w:rPr>
          <w:sz w:val="24"/>
          <w:szCs w:val="24"/>
        </w:rPr>
        <w:t>”</w:t>
      </w:r>
      <w:r>
        <w:rPr>
          <w:sz w:val="24"/>
          <w:szCs w:val="24"/>
        </w:rPr>
        <w:t>（股票代码：</w:t>
      </w:r>
      <w:r>
        <w:rPr>
          <w:rFonts w:hint="eastAsia"/>
          <w:sz w:val="24"/>
          <w:szCs w:val="24"/>
        </w:rPr>
        <w:t>600837</w:t>
      </w:r>
      <w:bookmarkStart w:id="0" w:name="_GoBack"/>
      <w:bookmarkEnd w:id="0"/>
      <w:r>
        <w:rPr>
          <w:sz w:val="24"/>
          <w:szCs w:val="24"/>
        </w:rPr>
        <w:t>）按指数收益法予以估值。</w:t>
      </w:r>
      <w:r>
        <w:rPr>
          <w:rFonts w:hint="eastAsia"/>
          <w:sz w:val="24"/>
          <w:szCs w:val="24"/>
        </w:rPr>
        <w:t>待</w:t>
      </w:r>
      <w:r>
        <w:rPr>
          <w:sz w:val="24"/>
          <w:szCs w:val="24"/>
        </w:rPr>
        <w:t>上述股票复牌且其交易体现活跃市场交易特征后，将恢复为采用当日收盘价格进行估值</w:t>
      </w:r>
      <w:r>
        <w:rPr>
          <w:rFonts w:hint="eastAsia"/>
          <w:sz w:val="24"/>
          <w:szCs w:val="24"/>
        </w:rPr>
        <w:t>，</w:t>
      </w:r>
      <w:r>
        <w:rPr>
          <w:sz w:val="24"/>
          <w:szCs w:val="24"/>
        </w:rPr>
        <w:t>届时不再另行公告。</w:t>
      </w:r>
    </w:p>
    <w:p w:rsidR="00BB656B" w:rsidRDefault="00A5507F">
      <w:pPr>
        <w:spacing w:line="360" w:lineRule="auto"/>
        <w:ind w:firstLineChars="200" w:firstLine="480"/>
        <w:rPr>
          <w:sz w:val="24"/>
          <w:szCs w:val="24"/>
        </w:rPr>
      </w:pPr>
      <w:r>
        <w:rPr>
          <w:rFonts w:hint="eastAsia"/>
          <w:sz w:val="24"/>
          <w:szCs w:val="24"/>
        </w:rPr>
        <w:t>特此公告。</w:t>
      </w:r>
    </w:p>
    <w:p w:rsidR="00BB656B" w:rsidRDefault="00BB656B">
      <w:pPr>
        <w:spacing w:line="360" w:lineRule="auto"/>
        <w:rPr>
          <w:sz w:val="24"/>
          <w:szCs w:val="24"/>
        </w:rPr>
      </w:pPr>
    </w:p>
    <w:p w:rsidR="00BB656B" w:rsidRDefault="00A5507F">
      <w:pPr>
        <w:spacing w:line="360" w:lineRule="auto"/>
        <w:jc w:val="right"/>
        <w:rPr>
          <w:sz w:val="24"/>
          <w:szCs w:val="24"/>
        </w:rPr>
      </w:pPr>
      <w:r>
        <w:rPr>
          <w:rFonts w:hint="eastAsia"/>
          <w:sz w:val="24"/>
          <w:szCs w:val="24"/>
        </w:rPr>
        <w:t>新华基金管理股份有限公司</w:t>
      </w:r>
    </w:p>
    <w:p w:rsidR="00BB656B" w:rsidRDefault="00A5507F">
      <w:pPr>
        <w:spacing w:line="360" w:lineRule="auto"/>
        <w:jc w:val="right"/>
        <w:rPr>
          <w:sz w:val="24"/>
          <w:szCs w:val="24"/>
        </w:rPr>
      </w:pPr>
      <w:r>
        <w:rPr>
          <w:rFonts w:hint="eastAsia"/>
          <w:sz w:val="24"/>
          <w:szCs w:val="24"/>
        </w:rPr>
        <w:t>2024</w:t>
      </w:r>
      <w:r>
        <w:rPr>
          <w:rFonts w:hint="eastAsia"/>
          <w:sz w:val="24"/>
          <w:szCs w:val="24"/>
        </w:rPr>
        <w:t>年</w:t>
      </w:r>
      <w:r>
        <w:rPr>
          <w:rFonts w:hint="eastAsia"/>
          <w:sz w:val="24"/>
          <w:szCs w:val="24"/>
        </w:rPr>
        <w:t>10</w:t>
      </w:r>
      <w:r>
        <w:rPr>
          <w:rFonts w:hint="eastAsia"/>
          <w:sz w:val="24"/>
          <w:szCs w:val="24"/>
        </w:rPr>
        <w:t>月</w:t>
      </w:r>
      <w:r>
        <w:rPr>
          <w:rFonts w:hint="eastAsia"/>
          <w:sz w:val="24"/>
          <w:szCs w:val="24"/>
        </w:rPr>
        <w:t>9</w:t>
      </w:r>
      <w:r>
        <w:rPr>
          <w:rFonts w:hint="eastAsia"/>
          <w:sz w:val="24"/>
          <w:szCs w:val="24"/>
        </w:rPr>
        <w:t>日</w:t>
      </w:r>
    </w:p>
    <w:p w:rsidR="00BB656B" w:rsidRDefault="00BB656B"/>
    <w:sectPr w:rsidR="00BB656B" w:rsidSect="00BB656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WE3NGYzMDQxMzE3M2FmMzIxMDYzYmRjNGJhZGVkMDcifQ=="/>
  </w:docVars>
  <w:rsids>
    <w:rsidRoot w:val="00D94FD6"/>
    <w:rsid w:val="001B56CF"/>
    <w:rsid w:val="00330000"/>
    <w:rsid w:val="003D1FD5"/>
    <w:rsid w:val="00602D4C"/>
    <w:rsid w:val="006E2AE0"/>
    <w:rsid w:val="00701064"/>
    <w:rsid w:val="009C7755"/>
    <w:rsid w:val="00A5507F"/>
    <w:rsid w:val="00A7167D"/>
    <w:rsid w:val="00BB656B"/>
    <w:rsid w:val="00D94FD6"/>
    <w:rsid w:val="00E56325"/>
    <w:rsid w:val="00F01939"/>
    <w:rsid w:val="042F6363"/>
    <w:rsid w:val="27B705FB"/>
    <w:rsid w:val="60587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56B"/>
    <w:pPr>
      <w:widowControl w:val="0"/>
      <w:jc w:val="both"/>
    </w:pPr>
    <w:rPr>
      <w:kern w:val="2"/>
      <w:sz w:val="21"/>
      <w:szCs w:val="22"/>
    </w:rPr>
  </w:style>
  <w:style w:type="paragraph" w:styleId="1">
    <w:name w:val="heading 1"/>
    <w:basedOn w:val="a"/>
    <w:link w:val="1Char"/>
    <w:uiPriority w:val="9"/>
    <w:qFormat/>
    <w:rsid w:val="00BB65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B656B"/>
    <w:rPr>
      <w:rFonts w:ascii="宋体" w:eastAsia="宋体" w:hAnsi="宋体" w:cs="宋体"/>
      <w:b/>
      <w:bCs/>
      <w:kern w:val="36"/>
      <w:sz w:val="48"/>
      <w:szCs w:val="48"/>
    </w:rPr>
  </w:style>
  <w:style w:type="character" w:customStyle="1" w:styleId="awspan">
    <w:name w:val="awspan"/>
    <w:basedOn w:val="a0"/>
    <w:qFormat/>
    <w:rsid w:val="00BB656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4</DocSecurity>
  <Lines>2</Lines>
  <Paragraphs>1</Paragraphs>
  <ScaleCrop>false</ScaleCrop>
  <Company>CNSTOCK</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张露</dc:creator>
  <cp:lastModifiedBy>ZHONGM</cp:lastModifiedBy>
  <cp:revision>2</cp:revision>
  <dcterms:created xsi:type="dcterms:W3CDTF">2024-10-08T16:03:00Z</dcterms:created>
  <dcterms:modified xsi:type="dcterms:W3CDTF">2024-10-08T16:03:00Z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815C45C17884445AAF4607E7A2017622_12</vt:lpwstr>
  </property>
</Properties>
</file>