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47" w:rsidRPr="004229EC" w:rsidRDefault="00B87047" w:rsidP="00B87047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4229EC">
        <w:rPr>
          <w:rFonts w:ascii="宋体" w:hAnsi="宋体" w:hint="eastAsia"/>
          <w:b/>
          <w:bCs/>
          <w:sz w:val="28"/>
          <w:szCs w:val="28"/>
        </w:rPr>
        <w:t>中信保诚基金</w:t>
      </w:r>
      <w:r w:rsidR="00444790" w:rsidRPr="004229EC">
        <w:rPr>
          <w:rFonts w:ascii="宋体" w:hAnsi="宋体"/>
          <w:b/>
          <w:bCs/>
          <w:sz w:val="28"/>
          <w:szCs w:val="28"/>
        </w:rPr>
        <w:t>管理有限公司</w:t>
      </w:r>
    </w:p>
    <w:p w:rsidR="00444790" w:rsidRPr="004229EC" w:rsidRDefault="00444790" w:rsidP="00B87047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4229EC">
        <w:rPr>
          <w:rFonts w:ascii="宋体" w:hAnsi="宋体"/>
          <w:b/>
          <w:bCs/>
          <w:sz w:val="28"/>
          <w:szCs w:val="28"/>
        </w:rPr>
        <w:t>关于旗下部分基金所持“</w:t>
      </w:r>
      <w:r w:rsidR="00CC6684" w:rsidRPr="00CC6684">
        <w:rPr>
          <w:rFonts w:ascii="宋体" w:hAnsi="宋体" w:hint="eastAsia"/>
          <w:b/>
          <w:bCs/>
          <w:sz w:val="28"/>
          <w:szCs w:val="28"/>
        </w:rPr>
        <w:t>海通证券</w:t>
      </w:r>
      <w:r w:rsidRPr="004229EC">
        <w:rPr>
          <w:rFonts w:ascii="宋体" w:hAnsi="宋体"/>
          <w:b/>
          <w:bCs/>
          <w:sz w:val="28"/>
          <w:szCs w:val="28"/>
        </w:rPr>
        <w:t>”估值方法调整的提示性公告</w:t>
      </w:r>
    </w:p>
    <w:p w:rsidR="00A46F0A" w:rsidRPr="00B87047" w:rsidRDefault="00A46F0A" w:rsidP="00B87047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</w:rPr>
      </w:pPr>
    </w:p>
    <w:p w:rsidR="00567B8C" w:rsidRPr="004229EC" w:rsidRDefault="00444790" w:rsidP="00567B8C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4229EC">
        <w:rPr>
          <w:rFonts w:ascii="宋体" w:hAnsi="宋体"/>
        </w:rPr>
        <w:t>根据《中国证监会关于证券投资基金估值业务的指导意见》（中国证券监督管理委员会公告[2017]13号）等有关规定，</w:t>
      </w:r>
      <w:r w:rsidR="00655CF1" w:rsidRPr="004229EC">
        <w:rPr>
          <w:rFonts w:ascii="宋体" w:hAnsi="宋体" w:hint="eastAsia"/>
        </w:rPr>
        <w:t>中信保诚基金</w:t>
      </w:r>
      <w:r w:rsidRPr="004229EC">
        <w:rPr>
          <w:rFonts w:ascii="宋体" w:hAnsi="宋体"/>
        </w:rPr>
        <w:t>管理有限公司（以下简称“本公司”）经与基金托管人协商一致，自2024年</w:t>
      </w:r>
      <w:r w:rsidR="00CC6684">
        <w:rPr>
          <w:rFonts w:ascii="宋体" w:hAnsi="宋体" w:hint="eastAsia"/>
        </w:rPr>
        <w:t>10</w:t>
      </w:r>
      <w:r w:rsidRPr="004229EC">
        <w:rPr>
          <w:rFonts w:ascii="宋体" w:hAnsi="宋体"/>
        </w:rPr>
        <w:t>月</w:t>
      </w:r>
      <w:r w:rsidR="00CC6684">
        <w:rPr>
          <w:rFonts w:ascii="宋体" w:hAnsi="宋体" w:hint="eastAsia"/>
        </w:rPr>
        <w:t>8</w:t>
      </w:r>
      <w:r w:rsidRPr="004229EC">
        <w:rPr>
          <w:rFonts w:ascii="宋体" w:hAnsi="宋体"/>
        </w:rPr>
        <w:t>日起，本公司旗下部分基金采用“指数收益法”对停牌股票“</w:t>
      </w:r>
      <w:r w:rsidR="00CC6684" w:rsidRPr="00CC6684">
        <w:rPr>
          <w:rFonts w:ascii="宋体" w:hAnsi="宋体" w:hint="eastAsia"/>
        </w:rPr>
        <w:t>海通证券</w:t>
      </w:r>
      <w:r w:rsidRPr="004229EC">
        <w:rPr>
          <w:rFonts w:ascii="宋体" w:hAnsi="宋体"/>
        </w:rPr>
        <w:t>”（证券代码：</w:t>
      </w:r>
      <w:r w:rsidR="00CC6684" w:rsidRPr="00CC6684">
        <w:rPr>
          <w:rFonts w:ascii="宋体" w:hAnsi="宋体"/>
        </w:rPr>
        <w:t>600837.SH</w:t>
      </w:r>
      <w:r w:rsidRPr="004229EC">
        <w:rPr>
          <w:rFonts w:ascii="宋体" w:hAnsi="宋体"/>
        </w:rPr>
        <w:t>）进行估值。</w:t>
      </w:r>
    </w:p>
    <w:p w:rsidR="00567B8C" w:rsidRPr="004229EC" w:rsidRDefault="00444790" w:rsidP="00567B8C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4229EC">
        <w:rPr>
          <w:rFonts w:ascii="宋体" w:hAnsi="宋体"/>
        </w:rPr>
        <w:t>本公司将综合参考各项相关影响因素并与基金托管人协商，自上述股票复牌且其交易体现活跃市场交易特征后，将恢复为采用当日收盘价格进行估值，届时将不再另行公告。</w:t>
      </w:r>
    </w:p>
    <w:p w:rsidR="004E0633" w:rsidRDefault="00444790" w:rsidP="00567B8C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4229EC">
        <w:rPr>
          <w:rFonts w:ascii="宋体" w:hAnsi="宋体"/>
        </w:rPr>
        <w:t>投资者可以登录基金管理人网站（www.</w:t>
      </w:r>
      <w:r w:rsidR="00CA3B80" w:rsidRPr="004229EC">
        <w:rPr>
          <w:rFonts w:ascii="宋体" w:hAnsi="宋体" w:hint="eastAsia"/>
        </w:rPr>
        <w:t>citicprufunds</w:t>
      </w:r>
      <w:r w:rsidRPr="004229EC">
        <w:rPr>
          <w:rFonts w:ascii="宋体" w:hAnsi="宋体"/>
        </w:rPr>
        <w:t>.com.cn）或拨打基金管理人的客户服务电话（</w:t>
      </w:r>
      <w:r w:rsidR="00CA3B80" w:rsidRPr="004229EC">
        <w:rPr>
          <w:rFonts w:ascii="宋体" w:hAnsi="宋体"/>
        </w:rPr>
        <w:t>400-666-0066</w:t>
      </w:r>
      <w:r w:rsidRPr="004229EC">
        <w:rPr>
          <w:rFonts w:ascii="宋体" w:hAnsi="宋体"/>
        </w:rPr>
        <w:t>）咨询有关详情。</w:t>
      </w:r>
    </w:p>
    <w:p w:rsidR="005572FB" w:rsidRPr="004229EC" w:rsidRDefault="005572FB" w:rsidP="00567B8C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hAnsi="宋体"/>
        </w:rPr>
      </w:pPr>
    </w:p>
    <w:p w:rsidR="004E0633" w:rsidRPr="004229EC" w:rsidRDefault="005572FB" w:rsidP="005572F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</w:rPr>
      </w:pPr>
      <w:r w:rsidRPr="005572FB">
        <w:rPr>
          <w:rFonts w:ascii="宋体" w:hAnsi="宋体" w:hint="eastAsia"/>
        </w:rPr>
        <w:t>风险提示</w:t>
      </w:r>
      <w:r w:rsidRPr="005572FB">
        <w:rPr>
          <w:rFonts w:ascii="宋体" w:hAnsi="宋体" w:hint="eastAsia"/>
        </w:rPr>
        <w:br/>
        <w:t>  本基金管理人承诺以诚实信用、勤勉尽责的原则管理和运用基金财产，但不保证基金一定盈利，也不保证最低收益和本金安全。基金的过往业绩并不代表其将来表现。投资有风险，敬请投资人认真阅读基金的法律文件及相关公告，关注基金特有风险，并选择适合自身风险承受能力的投资品种进行投资。</w:t>
      </w:r>
    </w:p>
    <w:p w:rsidR="005572FB" w:rsidRDefault="005572FB" w:rsidP="00567B8C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hAnsi="宋体"/>
        </w:rPr>
      </w:pPr>
    </w:p>
    <w:p w:rsidR="00655446" w:rsidRPr="004229EC" w:rsidRDefault="00444790" w:rsidP="00567B8C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4229EC">
        <w:rPr>
          <w:rFonts w:ascii="宋体" w:hAnsi="宋体"/>
        </w:rPr>
        <w:t>特此公告。</w:t>
      </w:r>
    </w:p>
    <w:p w:rsidR="00655446" w:rsidRPr="004229EC" w:rsidRDefault="00655446" w:rsidP="0044479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</w:rPr>
      </w:pPr>
    </w:p>
    <w:p w:rsidR="00CA3B80" w:rsidRPr="004229EC" w:rsidRDefault="00CA3B80" w:rsidP="0044479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</w:rPr>
      </w:pPr>
    </w:p>
    <w:p w:rsidR="00CA3B80" w:rsidRPr="004229EC" w:rsidRDefault="00CA3B80" w:rsidP="0044479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</w:rPr>
      </w:pPr>
    </w:p>
    <w:p w:rsidR="00655446" w:rsidRPr="004229EC" w:rsidRDefault="00CA3B80" w:rsidP="00CA3B80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/>
        </w:rPr>
      </w:pPr>
      <w:r w:rsidRPr="004229EC">
        <w:rPr>
          <w:rFonts w:ascii="宋体" w:hAnsi="宋体" w:hint="eastAsia"/>
        </w:rPr>
        <w:t>中信保诚</w:t>
      </w:r>
      <w:r w:rsidR="00444790" w:rsidRPr="004229EC">
        <w:rPr>
          <w:rFonts w:ascii="宋体" w:hAnsi="宋体"/>
        </w:rPr>
        <w:t>基金管理有限公司</w:t>
      </w:r>
    </w:p>
    <w:p w:rsidR="00E36424" w:rsidRPr="004229EC" w:rsidRDefault="00444790" w:rsidP="00CA3B80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/>
        </w:rPr>
      </w:pPr>
      <w:r w:rsidRPr="004229EC">
        <w:rPr>
          <w:rFonts w:ascii="宋体" w:hAnsi="宋体"/>
        </w:rPr>
        <w:t>二〇二四年</w:t>
      </w:r>
      <w:r w:rsidR="00496571">
        <w:rPr>
          <w:rFonts w:ascii="宋体" w:hAnsi="宋体" w:hint="eastAsia"/>
        </w:rPr>
        <w:t>十</w:t>
      </w:r>
      <w:r w:rsidRPr="004229EC">
        <w:rPr>
          <w:rFonts w:ascii="宋体" w:hAnsi="宋体"/>
        </w:rPr>
        <w:t>月</w:t>
      </w:r>
      <w:r w:rsidR="00496571">
        <w:rPr>
          <w:rFonts w:ascii="宋体" w:hAnsi="宋体" w:hint="eastAsia"/>
        </w:rPr>
        <w:t>九</w:t>
      </w:r>
      <w:r w:rsidRPr="004229EC">
        <w:rPr>
          <w:rFonts w:ascii="宋体" w:hAnsi="宋体"/>
        </w:rPr>
        <w:t>日</w:t>
      </w:r>
    </w:p>
    <w:sectPr w:rsidR="00E36424" w:rsidRPr="004229EC" w:rsidSect="00E56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87" w:rsidRDefault="00CC5187" w:rsidP="00444790">
      <w:r>
        <w:separator/>
      </w:r>
    </w:p>
  </w:endnote>
  <w:endnote w:type="continuationSeparator" w:id="0">
    <w:p w:rsidR="00CC5187" w:rsidRDefault="00CC5187" w:rsidP="0044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90" w:rsidRDefault="0044479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90" w:rsidRDefault="0044479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90" w:rsidRDefault="004447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87" w:rsidRDefault="00CC5187" w:rsidP="00444790">
      <w:r>
        <w:separator/>
      </w:r>
    </w:p>
  </w:footnote>
  <w:footnote w:type="continuationSeparator" w:id="0">
    <w:p w:rsidR="00CC5187" w:rsidRDefault="00CC5187" w:rsidP="0044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90" w:rsidRDefault="0044479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90" w:rsidRDefault="0044479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90" w:rsidRDefault="0044479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F52"/>
    <w:rsid w:val="0002272D"/>
    <w:rsid w:val="000D0D29"/>
    <w:rsid w:val="00135D2E"/>
    <w:rsid w:val="001A576B"/>
    <w:rsid w:val="001E2D23"/>
    <w:rsid w:val="00305A9F"/>
    <w:rsid w:val="004229EC"/>
    <w:rsid w:val="004338DC"/>
    <w:rsid w:val="0044064D"/>
    <w:rsid w:val="00444790"/>
    <w:rsid w:val="00496571"/>
    <w:rsid w:val="004E0633"/>
    <w:rsid w:val="00545862"/>
    <w:rsid w:val="005572FB"/>
    <w:rsid w:val="00567B8C"/>
    <w:rsid w:val="005775AD"/>
    <w:rsid w:val="00655446"/>
    <w:rsid w:val="00655CF1"/>
    <w:rsid w:val="006D6AD8"/>
    <w:rsid w:val="007A0E71"/>
    <w:rsid w:val="008010B6"/>
    <w:rsid w:val="00814F52"/>
    <w:rsid w:val="00891C72"/>
    <w:rsid w:val="008E652E"/>
    <w:rsid w:val="0096755A"/>
    <w:rsid w:val="009C2548"/>
    <w:rsid w:val="009E42E3"/>
    <w:rsid w:val="00A46F0A"/>
    <w:rsid w:val="00B87047"/>
    <w:rsid w:val="00B97B4E"/>
    <w:rsid w:val="00CA3B80"/>
    <w:rsid w:val="00CB0066"/>
    <w:rsid w:val="00CC5187"/>
    <w:rsid w:val="00CC6684"/>
    <w:rsid w:val="00E36424"/>
    <w:rsid w:val="00E5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66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14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4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4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4F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4F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4F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4F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4F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4F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4F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14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814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14F5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14F52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814F52"/>
    <w:rPr>
      <w:rFonts w:cstheme="majorBidi"/>
      <w:b/>
      <w:bCs/>
      <w:color w:val="0F4761" w:themeColor="accent1" w:themeShade="BF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814F52"/>
    <w:rPr>
      <w:rFonts w:cstheme="majorBidi"/>
      <w:b/>
      <w:bCs/>
      <w:color w:val="595959" w:themeColor="text1" w:themeTint="A6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14F52"/>
    <w:rPr>
      <w:rFonts w:cstheme="majorBidi"/>
      <w:color w:val="595959" w:themeColor="text1" w:themeTint="A6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14F52"/>
    <w:rPr>
      <w:rFonts w:eastAsiaTheme="majorEastAsia" w:cstheme="majorBidi"/>
      <w:color w:val="595959" w:themeColor="text1" w:themeTint="A6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814F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81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14F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814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14F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814F52"/>
    <w:rPr>
      <w:rFonts w:ascii="Times New Roman" w:eastAsia="宋体" w:hAnsi="Times New Roman" w:cs="Times New Roman"/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814F5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14F5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14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814F52"/>
    <w:rPr>
      <w:rFonts w:ascii="Times New Roman" w:eastAsia="宋体" w:hAnsi="Times New Roman" w:cs="Times New Roman"/>
      <w:i/>
      <w:iCs/>
      <w:color w:val="0F4761" w:themeColor="accent1" w:themeShade="BF"/>
      <w:sz w:val="24"/>
      <w:szCs w:val="24"/>
    </w:rPr>
  </w:style>
  <w:style w:type="character" w:styleId="a9">
    <w:name w:val="Intense Reference"/>
    <w:basedOn w:val="a0"/>
    <w:uiPriority w:val="32"/>
    <w:qFormat/>
    <w:rsid w:val="00814F5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447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444790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4447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4447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4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</dc:creator>
  <cp:keywords/>
  <dc:description/>
  <cp:lastModifiedBy>ZHONGM</cp:lastModifiedBy>
  <cp:revision>2</cp:revision>
  <dcterms:created xsi:type="dcterms:W3CDTF">2024-10-08T16:03:00Z</dcterms:created>
  <dcterms:modified xsi:type="dcterms:W3CDTF">2024-10-08T16:03:00Z</dcterms:modified>
</cp:coreProperties>
</file>