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9E" w:rsidRDefault="00134D64" w:rsidP="00512302">
      <w:pPr>
        <w:jc w:val="center"/>
        <w:rPr>
          <w:rStyle w:val="a3"/>
          <w:rFonts w:ascii="宋体" w:hAnsi="宋体"/>
          <w:sz w:val="30"/>
          <w:szCs w:val="30"/>
        </w:rPr>
      </w:pPr>
      <w:r>
        <w:rPr>
          <w:rStyle w:val="a3"/>
          <w:rFonts w:ascii="宋体" w:hAnsi="宋体" w:hint="eastAsia"/>
          <w:sz w:val="30"/>
          <w:szCs w:val="30"/>
        </w:rPr>
        <w:t>华宝</w:t>
      </w:r>
      <w:r w:rsidR="00512302">
        <w:rPr>
          <w:rStyle w:val="a3"/>
          <w:rFonts w:ascii="宋体" w:hAnsi="宋体" w:hint="eastAsia"/>
          <w:sz w:val="30"/>
          <w:szCs w:val="30"/>
        </w:rPr>
        <w:t>基金管理有限公司</w:t>
      </w:r>
      <w:r w:rsidR="00F211B3">
        <w:rPr>
          <w:rStyle w:val="a3"/>
          <w:rFonts w:ascii="宋体" w:hAnsi="宋体"/>
          <w:sz w:val="30"/>
          <w:szCs w:val="30"/>
        </w:rPr>
        <w:t>关于旗下基金持有</w:t>
      </w:r>
      <w:r w:rsidR="00F211B3">
        <w:rPr>
          <w:rStyle w:val="a3"/>
          <w:rFonts w:ascii="宋体" w:hAnsi="宋体" w:hint="eastAsia"/>
          <w:sz w:val="30"/>
          <w:szCs w:val="30"/>
        </w:rPr>
        <w:t>的股票</w:t>
      </w:r>
      <w:r w:rsidR="004E33B9">
        <w:rPr>
          <w:rStyle w:val="a3"/>
          <w:rFonts w:ascii="宋体" w:hAnsi="宋体" w:hint="eastAsia"/>
          <w:sz w:val="30"/>
          <w:szCs w:val="30"/>
        </w:rPr>
        <w:t>停牌后</w:t>
      </w:r>
    </w:p>
    <w:p w:rsidR="00512302" w:rsidRPr="00512302" w:rsidRDefault="00512302" w:rsidP="00512302">
      <w:pPr>
        <w:jc w:val="center"/>
        <w:rPr>
          <w:rStyle w:val="a3"/>
          <w:rFonts w:ascii="宋体" w:hAnsi="宋体"/>
          <w:sz w:val="30"/>
          <w:szCs w:val="30"/>
        </w:rPr>
      </w:pPr>
      <w:r w:rsidRPr="00512302">
        <w:rPr>
          <w:rStyle w:val="a3"/>
          <w:rFonts w:ascii="宋体" w:hAnsi="宋体"/>
          <w:sz w:val="30"/>
          <w:szCs w:val="30"/>
        </w:rPr>
        <w:t>估值方法调整的公告</w:t>
      </w:r>
    </w:p>
    <w:p w:rsidR="00512302" w:rsidRDefault="00512302" w:rsidP="00512302">
      <w:pPr>
        <w:pStyle w:val="a7"/>
        <w:rPr>
          <w:sz w:val="28"/>
          <w:szCs w:val="28"/>
        </w:rPr>
      </w:pPr>
      <w:r>
        <w:rPr>
          <w:rFonts w:hint="eastAsia"/>
          <w:sz w:val="28"/>
          <w:szCs w:val="28"/>
        </w:rPr>
        <w:t xml:space="preserve">    </w:t>
      </w:r>
    </w:p>
    <w:p w:rsidR="00CE6FF8" w:rsidRPr="004E33B9" w:rsidRDefault="00512302" w:rsidP="009B0F88">
      <w:pPr>
        <w:spacing w:line="480" w:lineRule="auto"/>
        <w:ind w:firstLineChars="250" w:firstLine="600"/>
        <w:rPr>
          <w:rFonts w:ascii="宋体" w:hAnsi="宋体" w:cs="宋体"/>
          <w:kern w:val="0"/>
          <w:sz w:val="24"/>
          <w:szCs w:val="24"/>
        </w:rPr>
      </w:pPr>
      <w:r w:rsidRPr="004E33B9">
        <w:rPr>
          <w:rFonts w:ascii="宋体" w:hAnsi="宋体" w:cs="宋体"/>
          <w:kern w:val="0"/>
          <w:sz w:val="24"/>
          <w:szCs w:val="24"/>
        </w:rPr>
        <w:t>鉴于</w:t>
      </w:r>
      <w:bookmarkStart w:id="0" w:name="OLE_LINK1"/>
      <w:r w:rsidR="00EC473D" w:rsidRPr="00EC473D">
        <w:rPr>
          <w:rFonts w:ascii="宋体" w:hAnsi="宋体" w:cs="宋体" w:hint="eastAsia"/>
          <w:kern w:val="0"/>
          <w:sz w:val="24"/>
          <w:szCs w:val="24"/>
        </w:rPr>
        <w:t>“</w:t>
      </w:r>
      <w:r w:rsidR="00A729C0">
        <w:rPr>
          <w:rFonts w:ascii="宋体" w:hAnsi="宋体" w:cs="宋体" w:hint="eastAsia"/>
          <w:kern w:val="0"/>
          <w:sz w:val="24"/>
          <w:szCs w:val="24"/>
        </w:rPr>
        <w:t>海通证券（股票代码 600837）</w:t>
      </w:r>
      <w:r w:rsidR="00EC473D" w:rsidRPr="00EC473D">
        <w:rPr>
          <w:rFonts w:ascii="宋体" w:hAnsi="宋体" w:cs="宋体" w:hint="eastAsia"/>
          <w:kern w:val="0"/>
          <w:sz w:val="24"/>
          <w:szCs w:val="24"/>
        </w:rPr>
        <w:t>”</w:t>
      </w:r>
      <w:bookmarkEnd w:id="0"/>
      <w:r w:rsidRPr="004E33B9">
        <w:rPr>
          <w:rFonts w:ascii="宋体" w:hAnsi="宋体" w:cs="宋体" w:hint="eastAsia"/>
          <w:kern w:val="0"/>
          <w:sz w:val="24"/>
          <w:szCs w:val="24"/>
        </w:rPr>
        <w:t>股票</w:t>
      </w:r>
      <w:r w:rsidRPr="004E33B9">
        <w:rPr>
          <w:rFonts w:ascii="宋体" w:hAnsi="宋体" w:cs="宋体"/>
          <w:kern w:val="0"/>
          <w:sz w:val="24"/>
          <w:szCs w:val="24"/>
        </w:rPr>
        <w:t>因重大事项停牌，根据中国证券监督管理委员会</w:t>
      </w:r>
      <w:r w:rsidR="00526065" w:rsidRPr="00526065">
        <w:rPr>
          <w:rFonts w:ascii="宋体" w:hAnsi="宋体" w:cs="宋体" w:hint="eastAsia"/>
          <w:kern w:val="0"/>
          <w:sz w:val="24"/>
          <w:szCs w:val="24"/>
        </w:rPr>
        <w:t xml:space="preserve">[2017]13 </w:t>
      </w:r>
      <w:r w:rsidR="00891C5E">
        <w:rPr>
          <w:rFonts w:ascii="宋体" w:hAnsi="宋体" w:cs="宋体" w:hint="eastAsia"/>
          <w:kern w:val="0"/>
          <w:sz w:val="24"/>
          <w:szCs w:val="24"/>
        </w:rPr>
        <w:t>号《中国证监会关于证券投资基金估值业务的指导意见》</w:t>
      </w:r>
      <w:r w:rsidR="00767A79">
        <w:rPr>
          <w:rFonts w:ascii="宋体" w:hAnsi="宋体" w:cs="宋体" w:hint="eastAsia"/>
          <w:kern w:val="0"/>
          <w:sz w:val="24"/>
          <w:szCs w:val="24"/>
        </w:rPr>
        <w:t>及</w:t>
      </w:r>
      <w:r w:rsidR="00134D64">
        <w:rPr>
          <w:rFonts w:ascii="宋体" w:hAnsi="宋体" w:cs="宋体" w:hint="eastAsia"/>
          <w:kern w:val="0"/>
          <w:sz w:val="24"/>
          <w:szCs w:val="24"/>
        </w:rPr>
        <w:t>华宝</w:t>
      </w:r>
      <w:r w:rsidR="00767A79" w:rsidRPr="00767A79">
        <w:rPr>
          <w:rFonts w:ascii="宋体" w:hAnsi="宋体" w:cs="宋体" w:hint="eastAsia"/>
          <w:kern w:val="0"/>
          <w:sz w:val="24"/>
          <w:szCs w:val="24"/>
        </w:rPr>
        <w:t>基金管理有限公司(以下简称“</w:t>
      </w:r>
      <w:r w:rsidR="00767A79">
        <w:rPr>
          <w:rFonts w:ascii="宋体" w:hAnsi="宋体" w:cs="宋体" w:hint="eastAsia"/>
          <w:kern w:val="0"/>
          <w:sz w:val="24"/>
          <w:szCs w:val="24"/>
        </w:rPr>
        <w:t>本</w:t>
      </w:r>
      <w:r w:rsidR="00767A79" w:rsidRPr="00767A79">
        <w:rPr>
          <w:rFonts w:ascii="宋体" w:hAnsi="宋体" w:cs="宋体" w:hint="eastAsia"/>
          <w:kern w:val="0"/>
          <w:sz w:val="24"/>
          <w:szCs w:val="24"/>
        </w:rPr>
        <w:t>公司”)长期停牌股票的估值政策和程序</w:t>
      </w:r>
      <w:r w:rsidRPr="004E33B9">
        <w:rPr>
          <w:rFonts w:ascii="宋体" w:hAnsi="宋体" w:cs="宋体"/>
          <w:kern w:val="0"/>
          <w:sz w:val="24"/>
          <w:szCs w:val="24"/>
        </w:rPr>
        <w:t>，</w:t>
      </w:r>
      <w:r w:rsidR="004E33B9">
        <w:rPr>
          <w:rFonts w:ascii="宋体" w:hAnsi="宋体" w:cs="宋体" w:hint="eastAsia"/>
          <w:kern w:val="0"/>
          <w:sz w:val="24"/>
          <w:szCs w:val="24"/>
        </w:rPr>
        <w:t>为确保本公司</w:t>
      </w:r>
      <w:r w:rsidR="00C55644">
        <w:rPr>
          <w:rFonts w:ascii="宋体" w:hAnsi="宋体" w:cs="宋体" w:hint="eastAsia"/>
          <w:kern w:val="0"/>
          <w:sz w:val="24"/>
          <w:szCs w:val="24"/>
        </w:rPr>
        <w:t>旗下基金</w:t>
      </w:r>
      <w:r w:rsidR="004E33B9">
        <w:rPr>
          <w:rFonts w:ascii="宋体" w:hAnsi="宋体" w:cs="宋体" w:hint="eastAsia"/>
          <w:kern w:val="0"/>
          <w:sz w:val="24"/>
          <w:szCs w:val="24"/>
        </w:rPr>
        <w:t>持有的</w:t>
      </w:r>
      <w:r w:rsidR="00DF1F96">
        <w:rPr>
          <w:rFonts w:ascii="宋体" w:hAnsi="宋体" w:cs="宋体" w:hint="eastAsia"/>
          <w:kern w:val="0"/>
          <w:sz w:val="24"/>
          <w:szCs w:val="24"/>
        </w:rPr>
        <w:t>“</w:t>
      </w:r>
      <w:r w:rsidR="00A729C0">
        <w:rPr>
          <w:rFonts w:ascii="宋体" w:hAnsi="宋体" w:cs="宋体"/>
          <w:kern w:val="0"/>
          <w:sz w:val="24"/>
          <w:szCs w:val="24"/>
        </w:rPr>
        <w:t>海通证券</w:t>
      </w:r>
      <w:r w:rsidR="00DF1F96">
        <w:rPr>
          <w:rFonts w:ascii="宋体" w:hAnsi="宋体" w:cs="宋体" w:hint="eastAsia"/>
          <w:kern w:val="0"/>
          <w:sz w:val="24"/>
          <w:szCs w:val="24"/>
        </w:rPr>
        <w:t>”</w:t>
      </w:r>
      <w:r w:rsidRPr="004E33B9">
        <w:rPr>
          <w:rFonts w:ascii="宋体" w:hAnsi="宋体" w:cs="宋体" w:hint="eastAsia"/>
          <w:kern w:val="0"/>
          <w:sz w:val="24"/>
          <w:szCs w:val="24"/>
        </w:rPr>
        <w:t>股票</w:t>
      </w:r>
      <w:r w:rsidR="00C55644">
        <w:rPr>
          <w:rFonts w:ascii="宋体" w:hAnsi="宋体" w:cs="宋体" w:hint="eastAsia"/>
          <w:kern w:val="0"/>
          <w:sz w:val="24"/>
          <w:szCs w:val="24"/>
        </w:rPr>
        <w:t>的</w:t>
      </w:r>
      <w:r w:rsidRPr="004E33B9">
        <w:rPr>
          <w:rFonts w:ascii="宋体" w:hAnsi="宋体" w:cs="宋体" w:hint="eastAsia"/>
          <w:kern w:val="0"/>
          <w:sz w:val="24"/>
          <w:szCs w:val="24"/>
        </w:rPr>
        <w:t>估值更加公平、合理，</w:t>
      </w:r>
      <w:r w:rsidRPr="004E33B9">
        <w:rPr>
          <w:rFonts w:ascii="宋体" w:hAnsi="宋体" w:cs="宋体"/>
          <w:kern w:val="0"/>
          <w:sz w:val="24"/>
          <w:szCs w:val="24"/>
        </w:rPr>
        <w:t>经</w:t>
      </w:r>
      <w:r w:rsidR="00767A79">
        <w:rPr>
          <w:rFonts w:ascii="宋体" w:hAnsi="宋体" w:cs="宋体" w:hint="eastAsia"/>
          <w:kern w:val="0"/>
          <w:sz w:val="24"/>
          <w:szCs w:val="24"/>
        </w:rPr>
        <w:t>本公司</w:t>
      </w:r>
      <w:r w:rsidRPr="004E33B9">
        <w:rPr>
          <w:rFonts w:ascii="宋体" w:hAnsi="宋体" w:cs="宋体"/>
          <w:kern w:val="0"/>
          <w:sz w:val="24"/>
          <w:szCs w:val="24"/>
        </w:rPr>
        <w:t>与相关基金托管行</w:t>
      </w:r>
      <w:bookmarkStart w:id="1" w:name="_GoBack"/>
      <w:bookmarkEnd w:id="1"/>
      <w:r w:rsidRPr="004E33B9">
        <w:rPr>
          <w:rFonts w:ascii="宋体" w:hAnsi="宋体" w:cs="宋体"/>
          <w:kern w:val="0"/>
          <w:sz w:val="24"/>
          <w:szCs w:val="24"/>
        </w:rPr>
        <w:t>协商一致，</w:t>
      </w:r>
      <w:r w:rsidR="00C23E1A" w:rsidRPr="00C23E1A">
        <w:rPr>
          <w:rFonts w:ascii="宋体" w:hAnsi="宋体" w:cs="宋体" w:hint="eastAsia"/>
          <w:kern w:val="0"/>
          <w:sz w:val="24"/>
          <w:szCs w:val="24"/>
        </w:rPr>
        <w:t>自</w:t>
      </w:r>
      <w:r w:rsidR="00EB323C" w:rsidRPr="00C23E1A">
        <w:rPr>
          <w:rFonts w:ascii="宋体" w:hAnsi="宋体" w:cs="宋体"/>
          <w:kern w:val="0"/>
          <w:sz w:val="24"/>
          <w:szCs w:val="24"/>
        </w:rPr>
        <w:t>20</w:t>
      </w:r>
      <w:r w:rsidR="00D15BA2">
        <w:rPr>
          <w:rFonts w:ascii="宋体" w:hAnsi="宋体" w:cs="宋体" w:hint="eastAsia"/>
          <w:kern w:val="0"/>
          <w:sz w:val="24"/>
          <w:szCs w:val="24"/>
        </w:rPr>
        <w:t>2</w:t>
      </w:r>
      <w:r w:rsidR="00D15BA2">
        <w:rPr>
          <w:rFonts w:ascii="宋体" w:hAnsi="宋体" w:cs="宋体"/>
          <w:kern w:val="0"/>
          <w:sz w:val="24"/>
          <w:szCs w:val="24"/>
        </w:rPr>
        <w:t>4</w:t>
      </w:r>
      <w:r w:rsidR="00EB323C" w:rsidRPr="00C23E1A">
        <w:rPr>
          <w:rFonts w:ascii="宋体" w:hAnsi="宋体" w:cs="宋体" w:hint="eastAsia"/>
          <w:kern w:val="0"/>
          <w:sz w:val="24"/>
          <w:szCs w:val="24"/>
        </w:rPr>
        <w:t>年</w:t>
      </w:r>
      <w:r w:rsidR="00A729C0">
        <w:rPr>
          <w:rFonts w:ascii="宋体" w:hAnsi="宋体" w:cs="宋体"/>
          <w:kern w:val="0"/>
          <w:sz w:val="24"/>
          <w:szCs w:val="24"/>
        </w:rPr>
        <w:t>10</w:t>
      </w:r>
      <w:r w:rsidR="009054CD" w:rsidRPr="00C23E1A">
        <w:rPr>
          <w:rFonts w:ascii="宋体" w:hAnsi="宋体" w:cs="宋体" w:hint="eastAsia"/>
          <w:kern w:val="0"/>
          <w:sz w:val="24"/>
          <w:szCs w:val="24"/>
        </w:rPr>
        <w:t>月</w:t>
      </w:r>
      <w:r w:rsidR="00A729C0">
        <w:rPr>
          <w:rFonts w:ascii="宋体" w:hAnsi="宋体" w:cs="宋体"/>
          <w:kern w:val="0"/>
          <w:sz w:val="24"/>
          <w:szCs w:val="24"/>
        </w:rPr>
        <w:t>8</w:t>
      </w:r>
      <w:r w:rsidR="00C23E1A" w:rsidRPr="00C23E1A">
        <w:rPr>
          <w:rFonts w:ascii="宋体" w:hAnsi="宋体" w:cs="宋体" w:hint="eastAsia"/>
          <w:kern w:val="0"/>
          <w:sz w:val="24"/>
          <w:szCs w:val="24"/>
        </w:rPr>
        <w:t>日起，</w:t>
      </w:r>
      <w:r w:rsidR="00222A8F" w:rsidRPr="004E33B9">
        <w:rPr>
          <w:rFonts w:ascii="宋体" w:hAnsi="宋体" w:cs="宋体"/>
          <w:kern w:val="0"/>
          <w:sz w:val="24"/>
          <w:szCs w:val="24"/>
        </w:rPr>
        <w:t>对</w:t>
      </w:r>
      <w:r w:rsidR="00222A8F" w:rsidRPr="004E33B9">
        <w:rPr>
          <w:rFonts w:ascii="宋体" w:hAnsi="宋体" w:cs="宋体" w:hint="eastAsia"/>
          <w:kern w:val="0"/>
          <w:sz w:val="24"/>
          <w:szCs w:val="24"/>
        </w:rPr>
        <w:t>公司</w:t>
      </w:r>
      <w:r w:rsidR="00222A8F">
        <w:rPr>
          <w:rFonts w:ascii="宋体" w:hAnsi="宋体" w:cs="宋体"/>
          <w:kern w:val="0"/>
          <w:sz w:val="24"/>
          <w:szCs w:val="24"/>
        </w:rPr>
        <w:t>旗下基金</w:t>
      </w:r>
      <w:r w:rsidR="00D11242" w:rsidRPr="00D11242">
        <w:rPr>
          <w:rFonts w:ascii="宋体" w:hAnsi="宋体" w:cs="宋体" w:hint="eastAsia"/>
          <w:kern w:val="0"/>
          <w:sz w:val="24"/>
          <w:szCs w:val="24"/>
        </w:rPr>
        <w:t>（交易型开放式指数证券投资基金除外）</w:t>
      </w:r>
      <w:r w:rsidRPr="004E33B9">
        <w:rPr>
          <w:rFonts w:ascii="宋体" w:hAnsi="宋体" w:cs="宋体"/>
          <w:kern w:val="0"/>
          <w:sz w:val="24"/>
          <w:szCs w:val="24"/>
        </w:rPr>
        <w:t>持有</w:t>
      </w:r>
      <w:r w:rsidR="00CE6FF8" w:rsidRPr="004E33B9">
        <w:rPr>
          <w:rFonts w:ascii="宋体" w:hAnsi="宋体" w:cs="宋体" w:hint="eastAsia"/>
          <w:kern w:val="0"/>
          <w:sz w:val="24"/>
          <w:szCs w:val="24"/>
        </w:rPr>
        <w:t>的</w:t>
      </w:r>
      <w:r w:rsidR="00DF1F96">
        <w:rPr>
          <w:rFonts w:ascii="宋体" w:hAnsi="宋体" w:cs="宋体" w:hint="eastAsia"/>
          <w:kern w:val="0"/>
          <w:sz w:val="24"/>
          <w:szCs w:val="24"/>
        </w:rPr>
        <w:t>“</w:t>
      </w:r>
      <w:r w:rsidR="00A729C0">
        <w:rPr>
          <w:rFonts w:ascii="宋体" w:hAnsi="宋体" w:cs="宋体"/>
          <w:kern w:val="0"/>
          <w:sz w:val="24"/>
          <w:szCs w:val="24"/>
        </w:rPr>
        <w:t>海通证券</w:t>
      </w:r>
      <w:r w:rsidR="00DF1F96">
        <w:rPr>
          <w:rFonts w:ascii="宋体" w:hAnsi="宋体" w:cs="宋体" w:hint="eastAsia"/>
          <w:kern w:val="0"/>
          <w:sz w:val="24"/>
          <w:szCs w:val="24"/>
        </w:rPr>
        <w:t>”</w:t>
      </w:r>
      <w:r w:rsidR="00EF2CBD" w:rsidRPr="004E33B9">
        <w:rPr>
          <w:rFonts w:ascii="宋体" w:hAnsi="宋体" w:cs="宋体"/>
          <w:kern w:val="0"/>
          <w:sz w:val="24"/>
          <w:szCs w:val="24"/>
        </w:rPr>
        <w:t>股票</w:t>
      </w:r>
      <w:r w:rsidR="00CE6FF8" w:rsidRPr="004E33B9">
        <w:rPr>
          <w:rFonts w:ascii="宋体" w:hAnsi="宋体" w:cs="宋体" w:hint="eastAsia"/>
          <w:kern w:val="0"/>
          <w:sz w:val="24"/>
          <w:szCs w:val="24"/>
        </w:rPr>
        <w:t>采用</w:t>
      </w:r>
      <w:r w:rsidR="00630B2F" w:rsidRPr="004E33B9">
        <w:rPr>
          <w:rFonts w:ascii="宋体" w:hAnsi="宋体" w:cs="宋体"/>
          <w:kern w:val="0"/>
          <w:sz w:val="24"/>
          <w:szCs w:val="24"/>
        </w:rPr>
        <w:t>“</w:t>
      </w:r>
      <w:r w:rsidR="00CE6FF8" w:rsidRPr="004E33B9">
        <w:rPr>
          <w:rFonts w:ascii="宋体" w:hAnsi="宋体" w:cs="宋体" w:hint="eastAsia"/>
          <w:kern w:val="0"/>
          <w:sz w:val="24"/>
          <w:szCs w:val="24"/>
        </w:rPr>
        <w:t>指数收益法</w:t>
      </w:r>
      <w:r w:rsidR="00630B2F" w:rsidRPr="004E33B9">
        <w:rPr>
          <w:rFonts w:ascii="宋体" w:hAnsi="宋体" w:cs="宋体"/>
          <w:kern w:val="0"/>
          <w:sz w:val="24"/>
          <w:szCs w:val="24"/>
        </w:rPr>
        <w:t>”</w:t>
      </w:r>
      <w:r w:rsidR="00CE6FF8" w:rsidRPr="004E33B9">
        <w:rPr>
          <w:rFonts w:ascii="宋体" w:hAnsi="宋体" w:cs="宋体" w:hint="eastAsia"/>
          <w:kern w:val="0"/>
          <w:sz w:val="24"/>
          <w:szCs w:val="24"/>
        </w:rPr>
        <w:t>予以估值。</w:t>
      </w:r>
      <w:r w:rsidR="00A729C0" w:rsidRPr="00A729C0">
        <w:rPr>
          <w:rFonts w:ascii="宋体" w:hAnsi="宋体" w:cs="宋体" w:hint="eastAsia"/>
          <w:kern w:val="0"/>
          <w:sz w:val="24"/>
          <w:szCs w:val="24"/>
        </w:rPr>
        <w:t>对华宝中证全指证券公司交易型开放式指数证券投资基金发起式联接基金持有的</w:t>
      </w:r>
      <w:r w:rsidR="00A729C0">
        <w:rPr>
          <w:rFonts w:ascii="宋体" w:hAnsi="宋体" w:cs="宋体" w:hint="eastAsia"/>
          <w:kern w:val="0"/>
          <w:sz w:val="24"/>
          <w:szCs w:val="24"/>
        </w:rPr>
        <w:t>华宝</w:t>
      </w:r>
      <w:r w:rsidR="00A729C0" w:rsidRPr="00A729C0">
        <w:rPr>
          <w:rFonts w:ascii="宋体" w:hAnsi="宋体" w:cs="宋体" w:hint="eastAsia"/>
          <w:kern w:val="0"/>
          <w:sz w:val="24"/>
          <w:szCs w:val="24"/>
        </w:rPr>
        <w:t>中证全指证券公司交易型开放式指数证券投资基金，在其当日份额净值的基础上，考虑其持有的海通证券（股票代码 600837）、国泰君安（股票代码 601211）采用“指数收益法”计算所得估值的影响，并按此调整因素进行估值。</w:t>
      </w:r>
    </w:p>
    <w:p w:rsidR="00512302" w:rsidRPr="00512302" w:rsidRDefault="009B0F88" w:rsidP="009B0F88">
      <w:pPr>
        <w:pStyle w:val="a7"/>
        <w:spacing w:line="480" w:lineRule="auto"/>
        <w:ind w:firstLineChars="200" w:firstLine="480"/>
        <w:jc w:val="both"/>
      </w:pPr>
      <w:r>
        <w:rPr>
          <w:rFonts w:hint="eastAsia"/>
        </w:rPr>
        <w:t>待上述股票复牌之日起且其交易体现了活跃市场交易特征后，按市场价格进行估值，届时不再另行公告，敬请投资者予以关注。</w:t>
      </w:r>
    </w:p>
    <w:p w:rsidR="00512302" w:rsidRPr="00512302" w:rsidRDefault="00512302" w:rsidP="009B0F88">
      <w:pPr>
        <w:pStyle w:val="a7"/>
        <w:spacing w:line="480" w:lineRule="auto"/>
        <w:jc w:val="both"/>
      </w:pPr>
      <w:r w:rsidRPr="00512302">
        <w:rPr>
          <w:rFonts w:hint="eastAsia"/>
        </w:rPr>
        <w:t xml:space="preserve">    </w:t>
      </w:r>
      <w:r w:rsidRPr="00512302">
        <w:t>特此公告。</w:t>
      </w:r>
    </w:p>
    <w:p w:rsidR="00512302" w:rsidRPr="00512302" w:rsidRDefault="00512302" w:rsidP="00512302">
      <w:pPr>
        <w:spacing w:line="360" w:lineRule="auto"/>
        <w:ind w:right="560"/>
        <w:rPr>
          <w:rFonts w:ascii="宋体" w:hAnsi="宋体" w:cs="宋体"/>
          <w:kern w:val="0"/>
          <w:sz w:val="24"/>
          <w:szCs w:val="24"/>
        </w:rPr>
      </w:pPr>
    </w:p>
    <w:p w:rsidR="00512302" w:rsidRPr="00512302" w:rsidRDefault="00134D64" w:rsidP="00512302">
      <w:pPr>
        <w:spacing w:line="360" w:lineRule="auto"/>
        <w:jc w:val="right"/>
        <w:rPr>
          <w:rFonts w:ascii="宋体" w:hAnsi="宋体" w:cs="宋体"/>
          <w:kern w:val="0"/>
          <w:sz w:val="24"/>
          <w:szCs w:val="24"/>
        </w:rPr>
      </w:pPr>
      <w:r>
        <w:rPr>
          <w:rFonts w:ascii="宋体" w:hAnsi="宋体" w:cs="宋体" w:hint="eastAsia"/>
          <w:kern w:val="0"/>
          <w:sz w:val="24"/>
          <w:szCs w:val="24"/>
        </w:rPr>
        <w:t>华宝</w:t>
      </w:r>
      <w:r w:rsidR="00512302" w:rsidRPr="00512302">
        <w:rPr>
          <w:rFonts w:ascii="宋体" w:hAnsi="宋体" w:cs="宋体" w:hint="eastAsia"/>
          <w:kern w:val="0"/>
          <w:sz w:val="24"/>
          <w:szCs w:val="24"/>
        </w:rPr>
        <w:t>基金管理有限公司</w:t>
      </w:r>
    </w:p>
    <w:p w:rsidR="00512302" w:rsidRPr="00512302" w:rsidRDefault="00D3033F" w:rsidP="00512302">
      <w:pPr>
        <w:spacing w:line="360" w:lineRule="auto"/>
        <w:jc w:val="right"/>
        <w:rPr>
          <w:rFonts w:ascii="宋体" w:hAnsi="宋体" w:cs="宋体"/>
          <w:kern w:val="0"/>
          <w:sz w:val="24"/>
          <w:szCs w:val="24"/>
        </w:rPr>
      </w:pPr>
      <w:r w:rsidRPr="00512302">
        <w:rPr>
          <w:rFonts w:ascii="宋体" w:hAnsi="宋体" w:cs="宋体" w:hint="eastAsia"/>
          <w:kern w:val="0"/>
          <w:sz w:val="24"/>
          <w:szCs w:val="24"/>
        </w:rPr>
        <w:t>20</w:t>
      </w:r>
      <w:r w:rsidR="00D15BA2">
        <w:rPr>
          <w:rFonts w:ascii="宋体" w:hAnsi="宋体" w:cs="宋体" w:hint="eastAsia"/>
          <w:kern w:val="0"/>
          <w:sz w:val="24"/>
          <w:szCs w:val="24"/>
        </w:rPr>
        <w:t>2</w:t>
      </w:r>
      <w:r w:rsidR="00D15BA2">
        <w:rPr>
          <w:rFonts w:ascii="宋体" w:hAnsi="宋体" w:cs="宋体"/>
          <w:kern w:val="0"/>
          <w:sz w:val="24"/>
          <w:szCs w:val="24"/>
        </w:rPr>
        <w:t>4</w:t>
      </w:r>
      <w:r w:rsidRPr="00512302">
        <w:rPr>
          <w:rFonts w:ascii="宋体" w:hAnsi="宋体" w:cs="宋体" w:hint="eastAsia"/>
          <w:kern w:val="0"/>
          <w:sz w:val="24"/>
          <w:szCs w:val="24"/>
        </w:rPr>
        <w:t>年</w:t>
      </w:r>
      <w:r w:rsidR="009B0F88">
        <w:rPr>
          <w:rFonts w:ascii="宋体" w:hAnsi="宋体" w:cs="宋体"/>
          <w:kern w:val="0"/>
          <w:sz w:val="24"/>
          <w:szCs w:val="24"/>
        </w:rPr>
        <w:t>10</w:t>
      </w:r>
      <w:r w:rsidRPr="00512302">
        <w:rPr>
          <w:rFonts w:ascii="宋体" w:hAnsi="宋体" w:cs="宋体" w:hint="eastAsia"/>
          <w:kern w:val="0"/>
          <w:sz w:val="24"/>
          <w:szCs w:val="24"/>
        </w:rPr>
        <w:t>月</w:t>
      </w:r>
      <w:r w:rsidR="009B0F88">
        <w:rPr>
          <w:rFonts w:ascii="宋体" w:hAnsi="宋体" w:cs="宋体"/>
          <w:kern w:val="0"/>
          <w:sz w:val="24"/>
          <w:szCs w:val="24"/>
        </w:rPr>
        <w:t>9</w:t>
      </w:r>
      <w:r w:rsidR="00512302" w:rsidRPr="00512302">
        <w:rPr>
          <w:rFonts w:ascii="宋体" w:hAnsi="宋体" w:cs="宋体" w:hint="eastAsia"/>
          <w:kern w:val="0"/>
          <w:sz w:val="24"/>
          <w:szCs w:val="24"/>
        </w:rPr>
        <w:t>日</w:t>
      </w:r>
    </w:p>
    <w:p w:rsidR="00872E57" w:rsidRPr="008F3C43" w:rsidRDefault="00872E57" w:rsidP="008F3C43"/>
    <w:sectPr w:rsidR="00872E57" w:rsidRPr="008F3C43" w:rsidSect="00313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7A" w:rsidRDefault="00DF3D7A" w:rsidP="00160817">
      <w:r>
        <w:separator/>
      </w:r>
    </w:p>
  </w:endnote>
  <w:endnote w:type="continuationSeparator" w:id="0">
    <w:p w:rsidR="00DF3D7A" w:rsidRDefault="00DF3D7A" w:rsidP="00160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7A" w:rsidRDefault="00DF3D7A" w:rsidP="00160817">
      <w:r>
        <w:separator/>
      </w:r>
    </w:p>
  </w:footnote>
  <w:footnote w:type="continuationSeparator" w:id="0">
    <w:p w:rsidR="00DF3D7A" w:rsidRDefault="00DF3D7A" w:rsidP="001608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E57"/>
    <w:rsid w:val="0001124D"/>
    <w:rsid w:val="00016059"/>
    <w:rsid w:val="000439D0"/>
    <w:rsid w:val="00052FB7"/>
    <w:rsid w:val="00061269"/>
    <w:rsid w:val="00065779"/>
    <w:rsid w:val="00093DDC"/>
    <w:rsid w:val="00097E6F"/>
    <w:rsid w:val="000A00CC"/>
    <w:rsid w:val="000A4A73"/>
    <w:rsid w:val="000B5F39"/>
    <w:rsid w:val="000C104F"/>
    <w:rsid w:val="000D396F"/>
    <w:rsid w:val="000E1F0F"/>
    <w:rsid w:val="0010304E"/>
    <w:rsid w:val="00106565"/>
    <w:rsid w:val="00123C25"/>
    <w:rsid w:val="001344D2"/>
    <w:rsid w:val="00134D64"/>
    <w:rsid w:val="001442D7"/>
    <w:rsid w:val="00160817"/>
    <w:rsid w:val="0016248B"/>
    <w:rsid w:val="00165280"/>
    <w:rsid w:val="00173350"/>
    <w:rsid w:val="00183AD0"/>
    <w:rsid w:val="001B5B4F"/>
    <w:rsid w:val="002021B5"/>
    <w:rsid w:val="00204F9A"/>
    <w:rsid w:val="00222A8F"/>
    <w:rsid w:val="002239ED"/>
    <w:rsid w:val="00234B69"/>
    <w:rsid w:val="00236357"/>
    <w:rsid w:val="00245F04"/>
    <w:rsid w:val="00255519"/>
    <w:rsid w:val="00274B0B"/>
    <w:rsid w:val="00275E5B"/>
    <w:rsid w:val="00277A9A"/>
    <w:rsid w:val="0028485C"/>
    <w:rsid w:val="0029634F"/>
    <w:rsid w:val="00296706"/>
    <w:rsid w:val="002A4506"/>
    <w:rsid w:val="002B11D9"/>
    <w:rsid w:val="002B2B7B"/>
    <w:rsid w:val="002B5BAB"/>
    <w:rsid w:val="002C5E4C"/>
    <w:rsid w:val="002D199B"/>
    <w:rsid w:val="002F3521"/>
    <w:rsid w:val="00313B4E"/>
    <w:rsid w:val="00335F56"/>
    <w:rsid w:val="003434C9"/>
    <w:rsid w:val="00361A51"/>
    <w:rsid w:val="00374676"/>
    <w:rsid w:val="003927A0"/>
    <w:rsid w:val="003A0115"/>
    <w:rsid w:val="003A37AD"/>
    <w:rsid w:val="003A44A3"/>
    <w:rsid w:val="003B1120"/>
    <w:rsid w:val="003B6D19"/>
    <w:rsid w:val="003C6837"/>
    <w:rsid w:val="003C6BCE"/>
    <w:rsid w:val="003D0061"/>
    <w:rsid w:val="003D527D"/>
    <w:rsid w:val="003E3AEE"/>
    <w:rsid w:val="003F12FE"/>
    <w:rsid w:val="003F585E"/>
    <w:rsid w:val="003F768F"/>
    <w:rsid w:val="00402703"/>
    <w:rsid w:val="00403A85"/>
    <w:rsid w:val="0041210D"/>
    <w:rsid w:val="00416465"/>
    <w:rsid w:val="0042475A"/>
    <w:rsid w:val="00425078"/>
    <w:rsid w:val="0043114B"/>
    <w:rsid w:val="00442AFD"/>
    <w:rsid w:val="00454D12"/>
    <w:rsid w:val="00460DC3"/>
    <w:rsid w:val="00473562"/>
    <w:rsid w:val="00481A71"/>
    <w:rsid w:val="0048622A"/>
    <w:rsid w:val="00492110"/>
    <w:rsid w:val="00497F40"/>
    <w:rsid w:val="004A2F57"/>
    <w:rsid w:val="004C2E97"/>
    <w:rsid w:val="004D7158"/>
    <w:rsid w:val="004D7631"/>
    <w:rsid w:val="004E208E"/>
    <w:rsid w:val="004E33B9"/>
    <w:rsid w:val="004E6DEF"/>
    <w:rsid w:val="004F54C1"/>
    <w:rsid w:val="00501648"/>
    <w:rsid w:val="00512302"/>
    <w:rsid w:val="00526065"/>
    <w:rsid w:val="00534C45"/>
    <w:rsid w:val="0053537F"/>
    <w:rsid w:val="00553D47"/>
    <w:rsid w:val="00554F45"/>
    <w:rsid w:val="00562A27"/>
    <w:rsid w:val="00564E76"/>
    <w:rsid w:val="0056572A"/>
    <w:rsid w:val="005837FF"/>
    <w:rsid w:val="00584610"/>
    <w:rsid w:val="005A2933"/>
    <w:rsid w:val="005F45E1"/>
    <w:rsid w:val="006031A6"/>
    <w:rsid w:val="00605838"/>
    <w:rsid w:val="00605C0D"/>
    <w:rsid w:val="0060624A"/>
    <w:rsid w:val="006113AB"/>
    <w:rsid w:val="006113C4"/>
    <w:rsid w:val="0061546B"/>
    <w:rsid w:val="00620938"/>
    <w:rsid w:val="00627DBA"/>
    <w:rsid w:val="00630B2F"/>
    <w:rsid w:val="00631F04"/>
    <w:rsid w:val="00636252"/>
    <w:rsid w:val="00640BB0"/>
    <w:rsid w:val="0065283C"/>
    <w:rsid w:val="00657684"/>
    <w:rsid w:val="006701DD"/>
    <w:rsid w:val="00673DC1"/>
    <w:rsid w:val="00680BE5"/>
    <w:rsid w:val="00683A3F"/>
    <w:rsid w:val="00696A71"/>
    <w:rsid w:val="006A4E8F"/>
    <w:rsid w:val="006C1266"/>
    <w:rsid w:val="006D7774"/>
    <w:rsid w:val="006E0D22"/>
    <w:rsid w:val="006F1188"/>
    <w:rsid w:val="00712DA3"/>
    <w:rsid w:val="00714878"/>
    <w:rsid w:val="007149FA"/>
    <w:rsid w:val="007213A6"/>
    <w:rsid w:val="00727A8A"/>
    <w:rsid w:val="00741EDE"/>
    <w:rsid w:val="00750848"/>
    <w:rsid w:val="00754ABF"/>
    <w:rsid w:val="00756D02"/>
    <w:rsid w:val="00757C51"/>
    <w:rsid w:val="007652BB"/>
    <w:rsid w:val="0076548D"/>
    <w:rsid w:val="007668F8"/>
    <w:rsid w:val="00767A79"/>
    <w:rsid w:val="00780FD9"/>
    <w:rsid w:val="00785E7E"/>
    <w:rsid w:val="007C2B3D"/>
    <w:rsid w:val="007C3629"/>
    <w:rsid w:val="007E0C9E"/>
    <w:rsid w:val="007E5F28"/>
    <w:rsid w:val="00812A9A"/>
    <w:rsid w:val="0081311B"/>
    <w:rsid w:val="00816042"/>
    <w:rsid w:val="00821E70"/>
    <w:rsid w:val="00836489"/>
    <w:rsid w:val="00846BB5"/>
    <w:rsid w:val="00852548"/>
    <w:rsid w:val="008541B3"/>
    <w:rsid w:val="00872E57"/>
    <w:rsid w:val="0087467E"/>
    <w:rsid w:val="00886D01"/>
    <w:rsid w:val="00891C5E"/>
    <w:rsid w:val="00893D4B"/>
    <w:rsid w:val="008A71E2"/>
    <w:rsid w:val="008B1C4A"/>
    <w:rsid w:val="008B2C6C"/>
    <w:rsid w:val="008B4F0E"/>
    <w:rsid w:val="008B53A2"/>
    <w:rsid w:val="008C1BB3"/>
    <w:rsid w:val="008C3448"/>
    <w:rsid w:val="008C39D5"/>
    <w:rsid w:val="008D37A8"/>
    <w:rsid w:val="008D3F31"/>
    <w:rsid w:val="008E339D"/>
    <w:rsid w:val="008E5F1A"/>
    <w:rsid w:val="008E652A"/>
    <w:rsid w:val="008E739E"/>
    <w:rsid w:val="008E79D5"/>
    <w:rsid w:val="008E7CF4"/>
    <w:rsid w:val="008F1CE4"/>
    <w:rsid w:val="008F3C43"/>
    <w:rsid w:val="009054CD"/>
    <w:rsid w:val="00911A62"/>
    <w:rsid w:val="009142FA"/>
    <w:rsid w:val="00915F40"/>
    <w:rsid w:val="00920B5A"/>
    <w:rsid w:val="00921DCA"/>
    <w:rsid w:val="0093203C"/>
    <w:rsid w:val="0093678F"/>
    <w:rsid w:val="00945F8B"/>
    <w:rsid w:val="009470E8"/>
    <w:rsid w:val="00951A65"/>
    <w:rsid w:val="00956927"/>
    <w:rsid w:val="00960356"/>
    <w:rsid w:val="009669A5"/>
    <w:rsid w:val="009838E2"/>
    <w:rsid w:val="009874E0"/>
    <w:rsid w:val="00994F62"/>
    <w:rsid w:val="009B0F88"/>
    <w:rsid w:val="009B34DA"/>
    <w:rsid w:val="009D4DB2"/>
    <w:rsid w:val="009E3659"/>
    <w:rsid w:val="009E3A74"/>
    <w:rsid w:val="009E42DA"/>
    <w:rsid w:val="009F4B22"/>
    <w:rsid w:val="00A03954"/>
    <w:rsid w:val="00A25FF2"/>
    <w:rsid w:val="00A412A1"/>
    <w:rsid w:val="00A50612"/>
    <w:rsid w:val="00A65B0D"/>
    <w:rsid w:val="00A729C0"/>
    <w:rsid w:val="00A82196"/>
    <w:rsid w:val="00A9536D"/>
    <w:rsid w:val="00AB00E5"/>
    <w:rsid w:val="00AB0A0E"/>
    <w:rsid w:val="00AE0A3D"/>
    <w:rsid w:val="00AE60C5"/>
    <w:rsid w:val="00AE6B9C"/>
    <w:rsid w:val="00B12DF0"/>
    <w:rsid w:val="00B21B7B"/>
    <w:rsid w:val="00B46D12"/>
    <w:rsid w:val="00B7228E"/>
    <w:rsid w:val="00B75387"/>
    <w:rsid w:val="00B77A1B"/>
    <w:rsid w:val="00B85448"/>
    <w:rsid w:val="00BA4485"/>
    <w:rsid w:val="00BC17AE"/>
    <w:rsid w:val="00BC4ABF"/>
    <w:rsid w:val="00BD6C06"/>
    <w:rsid w:val="00BE1874"/>
    <w:rsid w:val="00BF4629"/>
    <w:rsid w:val="00BF7EE3"/>
    <w:rsid w:val="00C023EF"/>
    <w:rsid w:val="00C23E1A"/>
    <w:rsid w:val="00C44400"/>
    <w:rsid w:val="00C55644"/>
    <w:rsid w:val="00C73F97"/>
    <w:rsid w:val="00C75768"/>
    <w:rsid w:val="00C75CFD"/>
    <w:rsid w:val="00C80E0E"/>
    <w:rsid w:val="00C83E52"/>
    <w:rsid w:val="00C9353F"/>
    <w:rsid w:val="00CA6497"/>
    <w:rsid w:val="00CA6EAF"/>
    <w:rsid w:val="00CB5786"/>
    <w:rsid w:val="00CD60EE"/>
    <w:rsid w:val="00CE6FF8"/>
    <w:rsid w:val="00CF6D90"/>
    <w:rsid w:val="00D11242"/>
    <w:rsid w:val="00D11A33"/>
    <w:rsid w:val="00D127C2"/>
    <w:rsid w:val="00D15BA2"/>
    <w:rsid w:val="00D20FC1"/>
    <w:rsid w:val="00D3033F"/>
    <w:rsid w:val="00D42027"/>
    <w:rsid w:val="00D432B4"/>
    <w:rsid w:val="00D64853"/>
    <w:rsid w:val="00D66924"/>
    <w:rsid w:val="00D718DB"/>
    <w:rsid w:val="00D73D45"/>
    <w:rsid w:val="00D75553"/>
    <w:rsid w:val="00D816AF"/>
    <w:rsid w:val="00D83451"/>
    <w:rsid w:val="00D839D0"/>
    <w:rsid w:val="00DA345B"/>
    <w:rsid w:val="00DB241D"/>
    <w:rsid w:val="00DF0900"/>
    <w:rsid w:val="00DF1F96"/>
    <w:rsid w:val="00DF3D7A"/>
    <w:rsid w:val="00E2149C"/>
    <w:rsid w:val="00E315CC"/>
    <w:rsid w:val="00E339B0"/>
    <w:rsid w:val="00E402C6"/>
    <w:rsid w:val="00E45D5E"/>
    <w:rsid w:val="00E55F5E"/>
    <w:rsid w:val="00E7254C"/>
    <w:rsid w:val="00E84C68"/>
    <w:rsid w:val="00E855AB"/>
    <w:rsid w:val="00E85821"/>
    <w:rsid w:val="00E86846"/>
    <w:rsid w:val="00E936F2"/>
    <w:rsid w:val="00E97762"/>
    <w:rsid w:val="00EA1F67"/>
    <w:rsid w:val="00EA476F"/>
    <w:rsid w:val="00EB0565"/>
    <w:rsid w:val="00EB1A70"/>
    <w:rsid w:val="00EB323C"/>
    <w:rsid w:val="00EB58EA"/>
    <w:rsid w:val="00EB740E"/>
    <w:rsid w:val="00EC473D"/>
    <w:rsid w:val="00EC74D0"/>
    <w:rsid w:val="00ED46D9"/>
    <w:rsid w:val="00EE3699"/>
    <w:rsid w:val="00EE4996"/>
    <w:rsid w:val="00EF2280"/>
    <w:rsid w:val="00EF2CBD"/>
    <w:rsid w:val="00F029EA"/>
    <w:rsid w:val="00F039AB"/>
    <w:rsid w:val="00F12835"/>
    <w:rsid w:val="00F12EF9"/>
    <w:rsid w:val="00F211B3"/>
    <w:rsid w:val="00F27EFF"/>
    <w:rsid w:val="00F311DC"/>
    <w:rsid w:val="00F33600"/>
    <w:rsid w:val="00F600E4"/>
    <w:rsid w:val="00F60859"/>
    <w:rsid w:val="00F60C58"/>
    <w:rsid w:val="00F80550"/>
    <w:rsid w:val="00F94ED1"/>
    <w:rsid w:val="00FA0B14"/>
    <w:rsid w:val="00FA19AC"/>
    <w:rsid w:val="00FB1BF6"/>
    <w:rsid w:val="00FC6890"/>
    <w:rsid w:val="00FC7996"/>
    <w:rsid w:val="00FE470F"/>
    <w:rsid w:val="00FF55B9"/>
    <w:rsid w:val="00FF5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4E"/>
    <w:pPr>
      <w:widowControl w:val="0"/>
      <w:jc w:val="both"/>
    </w:pPr>
    <w:rPr>
      <w:kern w:val="2"/>
      <w:sz w:val="21"/>
      <w:szCs w:val="22"/>
    </w:rPr>
  </w:style>
  <w:style w:type="paragraph" w:styleId="2">
    <w:name w:val="heading 2"/>
    <w:basedOn w:val="a"/>
    <w:next w:val="a"/>
    <w:link w:val="2Char"/>
    <w:uiPriority w:val="9"/>
    <w:unhideWhenUsed/>
    <w:qFormat/>
    <w:rsid w:val="002A450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2A45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A4506"/>
    <w:rPr>
      <w:rFonts w:ascii="Cambria" w:eastAsia="宋体" w:hAnsi="Cambria" w:cs="Times New Roman"/>
      <w:b/>
      <w:bCs/>
      <w:kern w:val="2"/>
      <w:sz w:val="32"/>
      <w:szCs w:val="32"/>
    </w:rPr>
  </w:style>
  <w:style w:type="character" w:customStyle="1" w:styleId="3Char">
    <w:name w:val="标题 3 Char"/>
    <w:basedOn w:val="a0"/>
    <w:link w:val="3"/>
    <w:uiPriority w:val="9"/>
    <w:semiHidden/>
    <w:rsid w:val="002A4506"/>
    <w:rPr>
      <w:b/>
      <w:bCs/>
      <w:kern w:val="2"/>
      <w:sz w:val="32"/>
      <w:szCs w:val="32"/>
    </w:rPr>
  </w:style>
  <w:style w:type="character" w:styleId="a3">
    <w:name w:val="Strong"/>
    <w:basedOn w:val="a0"/>
    <w:qFormat/>
    <w:rsid w:val="002A4506"/>
    <w:rPr>
      <w:b/>
      <w:bCs/>
    </w:rPr>
  </w:style>
  <w:style w:type="paragraph" w:styleId="a4">
    <w:name w:val="header"/>
    <w:basedOn w:val="a"/>
    <w:link w:val="Char"/>
    <w:uiPriority w:val="99"/>
    <w:unhideWhenUsed/>
    <w:rsid w:val="00160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0817"/>
    <w:rPr>
      <w:kern w:val="2"/>
      <w:sz w:val="18"/>
      <w:szCs w:val="18"/>
    </w:rPr>
  </w:style>
  <w:style w:type="paragraph" w:styleId="a5">
    <w:name w:val="footer"/>
    <w:basedOn w:val="a"/>
    <w:link w:val="Char0"/>
    <w:uiPriority w:val="99"/>
    <w:unhideWhenUsed/>
    <w:rsid w:val="00160817"/>
    <w:pPr>
      <w:tabs>
        <w:tab w:val="center" w:pos="4153"/>
        <w:tab w:val="right" w:pos="8306"/>
      </w:tabs>
      <w:snapToGrid w:val="0"/>
      <w:jc w:val="left"/>
    </w:pPr>
    <w:rPr>
      <w:sz w:val="18"/>
      <w:szCs w:val="18"/>
    </w:rPr>
  </w:style>
  <w:style w:type="character" w:customStyle="1" w:styleId="Char0">
    <w:name w:val="页脚 Char"/>
    <w:basedOn w:val="a0"/>
    <w:link w:val="a5"/>
    <w:uiPriority w:val="99"/>
    <w:rsid w:val="00160817"/>
    <w:rPr>
      <w:kern w:val="2"/>
      <w:sz w:val="18"/>
      <w:szCs w:val="18"/>
    </w:rPr>
  </w:style>
  <w:style w:type="paragraph" w:styleId="a6">
    <w:name w:val="Balloon Text"/>
    <w:basedOn w:val="a"/>
    <w:link w:val="Char1"/>
    <w:uiPriority w:val="99"/>
    <w:semiHidden/>
    <w:unhideWhenUsed/>
    <w:rsid w:val="000A4A73"/>
    <w:rPr>
      <w:sz w:val="18"/>
      <w:szCs w:val="18"/>
    </w:rPr>
  </w:style>
  <w:style w:type="character" w:customStyle="1" w:styleId="Char1">
    <w:name w:val="批注框文本 Char"/>
    <w:basedOn w:val="a0"/>
    <w:link w:val="a6"/>
    <w:uiPriority w:val="99"/>
    <w:semiHidden/>
    <w:rsid w:val="000A4A73"/>
    <w:rPr>
      <w:kern w:val="2"/>
      <w:sz w:val="18"/>
      <w:szCs w:val="18"/>
    </w:rPr>
  </w:style>
  <w:style w:type="paragraph" w:styleId="a7">
    <w:name w:val="Normal (Web)"/>
    <w:basedOn w:val="a"/>
    <w:rsid w:val="00512302"/>
    <w:pPr>
      <w:widowControl/>
      <w:jc w:val="left"/>
    </w:pPr>
    <w:rPr>
      <w:rFonts w:ascii="宋体" w:hAnsi="宋体" w:cs="宋体"/>
      <w:kern w:val="0"/>
      <w:sz w:val="24"/>
      <w:szCs w:val="24"/>
    </w:rPr>
  </w:style>
  <w:style w:type="paragraph" w:styleId="a8">
    <w:name w:val="Revision"/>
    <w:hidden/>
    <w:uiPriority w:val="99"/>
    <w:semiHidden/>
    <w:rsid w:val="006E0D22"/>
    <w:rPr>
      <w:kern w:val="2"/>
      <w:sz w:val="21"/>
      <w:szCs w:val="22"/>
    </w:rPr>
  </w:style>
  <w:style w:type="paragraph" w:styleId="a9">
    <w:name w:val="Date"/>
    <w:basedOn w:val="a"/>
    <w:next w:val="a"/>
    <w:link w:val="Char2"/>
    <w:uiPriority w:val="99"/>
    <w:semiHidden/>
    <w:unhideWhenUsed/>
    <w:rsid w:val="00F80550"/>
    <w:pPr>
      <w:ind w:leftChars="2500" w:left="100"/>
    </w:pPr>
  </w:style>
  <w:style w:type="character" w:customStyle="1" w:styleId="Char2">
    <w:name w:val="日期 Char"/>
    <w:basedOn w:val="a0"/>
    <w:link w:val="a9"/>
    <w:uiPriority w:val="99"/>
    <w:semiHidden/>
    <w:rsid w:val="00F80550"/>
    <w:rPr>
      <w:kern w:val="2"/>
      <w:sz w:val="21"/>
      <w:szCs w:val="22"/>
    </w:rPr>
  </w:style>
</w:styles>
</file>

<file path=word/webSettings.xml><?xml version="1.0" encoding="utf-8"?>
<w:webSettings xmlns:r="http://schemas.openxmlformats.org/officeDocument/2006/relationships" xmlns:w="http://schemas.openxmlformats.org/wordprocessingml/2006/main">
  <w:divs>
    <w:div w:id="118189876">
      <w:bodyDiv w:val="1"/>
      <w:marLeft w:val="0"/>
      <w:marRight w:val="0"/>
      <w:marTop w:val="0"/>
      <w:marBottom w:val="0"/>
      <w:divBdr>
        <w:top w:val="none" w:sz="0" w:space="0" w:color="auto"/>
        <w:left w:val="none" w:sz="0" w:space="0" w:color="auto"/>
        <w:bottom w:val="none" w:sz="0" w:space="0" w:color="auto"/>
        <w:right w:val="none" w:sz="0" w:space="0" w:color="auto"/>
      </w:divBdr>
    </w:div>
    <w:div w:id="262303928">
      <w:bodyDiv w:val="1"/>
      <w:marLeft w:val="0"/>
      <w:marRight w:val="0"/>
      <w:marTop w:val="0"/>
      <w:marBottom w:val="0"/>
      <w:divBdr>
        <w:top w:val="none" w:sz="0" w:space="0" w:color="auto"/>
        <w:left w:val="none" w:sz="0" w:space="0" w:color="auto"/>
        <w:bottom w:val="none" w:sz="0" w:space="0" w:color="auto"/>
        <w:right w:val="none" w:sz="0" w:space="0" w:color="auto"/>
      </w:divBdr>
    </w:div>
    <w:div w:id="1134064580">
      <w:bodyDiv w:val="1"/>
      <w:marLeft w:val="0"/>
      <w:marRight w:val="0"/>
      <w:marTop w:val="0"/>
      <w:marBottom w:val="0"/>
      <w:divBdr>
        <w:top w:val="none" w:sz="0" w:space="0" w:color="auto"/>
        <w:left w:val="none" w:sz="0" w:space="0" w:color="auto"/>
        <w:bottom w:val="none" w:sz="0" w:space="0" w:color="auto"/>
        <w:right w:val="none" w:sz="0" w:space="0" w:color="auto"/>
      </w:divBdr>
    </w:div>
    <w:div w:id="1203178648">
      <w:bodyDiv w:val="1"/>
      <w:marLeft w:val="0"/>
      <w:marRight w:val="0"/>
      <w:marTop w:val="0"/>
      <w:marBottom w:val="0"/>
      <w:divBdr>
        <w:top w:val="none" w:sz="0" w:space="0" w:color="auto"/>
        <w:left w:val="none" w:sz="0" w:space="0" w:color="auto"/>
        <w:bottom w:val="none" w:sz="0" w:space="0" w:color="auto"/>
        <w:right w:val="none" w:sz="0" w:space="0" w:color="auto"/>
      </w:divBdr>
      <w:divsChild>
        <w:div w:id="116459792">
          <w:marLeft w:val="0"/>
          <w:marRight w:val="0"/>
          <w:marTop w:val="0"/>
          <w:marBottom w:val="0"/>
          <w:divBdr>
            <w:top w:val="none" w:sz="0" w:space="0" w:color="auto"/>
            <w:left w:val="none" w:sz="0" w:space="0" w:color="auto"/>
            <w:bottom w:val="none" w:sz="0" w:space="0" w:color="auto"/>
            <w:right w:val="none" w:sz="0" w:space="0" w:color="auto"/>
          </w:divBdr>
        </w:div>
      </w:divsChild>
    </w:div>
    <w:div w:id="1916429186">
      <w:bodyDiv w:val="1"/>
      <w:marLeft w:val="0"/>
      <w:marRight w:val="0"/>
      <w:marTop w:val="0"/>
      <w:marBottom w:val="0"/>
      <w:divBdr>
        <w:top w:val="none" w:sz="0" w:space="0" w:color="auto"/>
        <w:left w:val="none" w:sz="0" w:space="0" w:color="auto"/>
        <w:bottom w:val="none" w:sz="0" w:space="0" w:color="auto"/>
        <w:right w:val="none" w:sz="0" w:space="0" w:color="auto"/>
      </w:divBdr>
    </w:div>
    <w:div w:id="1941835932">
      <w:bodyDiv w:val="1"/>
      <w:marLeft w:val="0"/>
      <w:marRight w:val="0"/>
      <w:marTop w:val="0"/>
      <w:marBottom w:val="0"/>
      <w:divBdr>
        <w:top w:val="none" w:sz="0" w:space="0" w:color="auto"/>
        <w:left w:val="none" w:sz="0" w:space="0" w:color="auto"/>
        <w:bottom w:val="none" w:sz="0" w:space="0" w:color="auto"/>
        <w:right w:val="none" w:sz="0" w:space="0" w:color="auto"/>
      </w:divBdr>
    </w:div>
    <w:div w:id="2083989644">
      <w:bodyDiv w:val="1"/>
      <w:marLeft w:val="0"/>
      <w:marRight w:val="0"/>
      <w:marTop w:val="0"/>
      <w:marBottom w:val="0"/>
      <w:divBdr>
        <w:top w:val="none" w:sz="0" w:space="0" w:color="auto"/>
        <w:left w:val="none" w:sz="0" w:space="0" w:color="auto"/>
        <w:bottom w:val="none" w:sz="0" w:space="0" w:color="auto"/>
        <w:right w:val="none" w:sz="0" w:space="0" w:color="auto"/>
      </w:divBdr>
    </w:div>
    <w:div w:id="20879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51029-27E7-4519-87E0-76FC9E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4</DocSecurity>
  <Lines>3</Lines>
  <Paragraphs>1</Paragraphs>
  <ScaleCrop>false</ScaleCrop>
  <Company>fsfund</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guoxin</dc:creator>
  <cp:lastModifiedBy>ZHONGM</cp:lastModifiedBy>
  <cp:revision>2</cp:revision>
  <dcterms:created xsi:type="dcterms:W3CDTF">2024-10-08T16:01:00Z</dcterms:created>
  <dcterms:modified xsi:type="dcterms:W3CDTF">2024-10-08T16:01:00Z</dcterms:modified>
</cp:coreProperties>
</file>