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57" w:rsidRPr="002173B5" w:rsidRDefault="007A2088" w:rsidP="002173B5">
      <w:pPr>
        <w:jc w:val="center"/>
        <w:rPr>
          <w:b/>
          <w:sz w:val="28"/>
          <w:szCs w:val="24"/>
        </w:rPr>
      </w:pPr>
      <w:r w:rsidRPr="002173B5">
        <w:rPr>
          <w:rFonts w:ascii="宋体" w:eastAsia="宋体" w:hAnsi="宋体" w:cs="宋体"/>
          <w:b/>
          <w:color w:val="000000"/>
          <w:sz w:val="28"/>
          <w:szCs w:val="24"/>
        </w:rPr>
        <w:t>关于汇添富中证港股通高股息投资交易型开放式指数证券投资基金联接基金（</w:t>
      </w:r>
      <w:r w:rsidRPr="002173B5">
        <w:rPr>
          <w:rFonts w:ascii="宋体" w:eastAsia="宋体" w:hAnsi="宋体" w:cs="宋体"/>
          <w:b/>
          <w:color w:val="000000"/>
          <w:sz w:val="28"/>
          <w:szCs w:val="24"/>
        </w:rPr>
        <w:t>LOF</w:t>
      </w:r>
      <w:r w:rsidRPr="002173B5">
        <w:rPr>
          <w:rFonts w:ascii="宋体" w:eastAsia="宋体" w:hAnsi="宋体" w:cs="宋体"/>
          <w:b/>
          <w:color w:val="000000"/>
          <w:sz w:val="28"/>
          <w:szCs w:val="24"/>
        </w:rPr>
        <w:t>）非港股通交易日暂停申购、赎回、转换转入、定期定额投资业务的公告</w:t>
      </w:r>
      <w:r w:rsidRPr="002173B5">
        <w:rPr>
          <w:b/>
          <w:sz w:val="28"/>
          <w:szCs w:val="24"/>
        </w:rPr>
        <w:t xml:space="preserve"> </w:t>
      </w:r>
    </w:p>
    <w:p w:rsidR="002173B5" w:rsidRDefault="007A2088" w:rsidP="002173B5">
      <w:pPr>
        <w:jc w:val="center"/>
        <w:rPr>
          <w:rFonts w:ascii="宋体" w:eastAsia="宋体" w:hAnsi="宋体" w:cs="宋体"/>
          <w:b/>
          <w:color w:val="000000"/>
          <w:sz w:val="24"/>
          <w:szCs w:val="24"/>
        </w:rPr>
      </w:pPr>
      <w:r>
        <w:rPr>
          <w:b/>
          <w:sz w:val="24"/>
          <w:szCs w:val="24"/>
        </w:rPr>
        <w:t>公告送出日期</w:t>
      </w:r>
      <w:r>
        <w:rPr>
          <w:rFonts w:hint="eastAsia"/>
          <w:b/>
          <w:sz w:val="24"/>
          <w:szCs w:val="24"/>
        </w:rPr>
        <w:t>：</w:t>
      </w:r>
      <w:r>
        <w:rPr>
          <w:rFonts w:ascii="宋体" w:eastAsia="宋体" w:hAnsi="宋体" w:cs="宋体"/>
          <w:b/>
          <w:color w:val="000000"/>
          <w:sz w:val="24"/>
          <w:szCs w:val="24"/>
        </w:rPr>
        <w:t>2024</w:t>
      </w:r>
      <w:r>
        <w:rPr>
          <w:rFonts w:ascii="宋体" w:eastAsia="宋体" w:hAnsi="宋体" w:cs="宋体"/>
          <w:b/>
          <w:color w:val="000000"/>
          <w:sz w:val="24"/>
          <w:szCs w:val="24"/>
        </w:rPr>
        <w:t>年</w:t>
      </w:r>
      <w:r>
        <w:rPr>
          <w:rFonts w:ascii="宋体" w:eastAsia="宋体" w:hAnsi="宋体" w:cs="宋体"/>
          <w:b/>
          <w:color w:val="000000"/>
          <w:sz w:val="24"/>
          <w:szCs w:val="24"/>
        </w:rPr>
        <w:t>10</w:t>
      </w:r>
      <w:r>
        <w:rPr>
          <w:rFonts w:ascii="宋体" w:eastAsia="宋体" w:hAnsi="宋体" w:cs="宋体"/>
          <w:b/>
          <w:color w:val="000000"/>
          <w:sz w:val="24"/>
          <w:szCs w:val="24"/>
        </w:rPr>
        <w:t>月</w:t>
      </w:r>
      <w:r>
        <w:rPr>
          <w:rFonts w:ascii="宋体" w:eastAsia="宋体" w:hAnsi="宋体" w:cs="宋体"/>
          <w:b/>
          <w:color w:val="000000"/>
          <w:sz w:val="24"/>
          <w:szCs w:val="24"/>
        </w:rPr>
        <w:t>09</w:t>
      </w:r>
      <w:r>
        <w:rPr>
          <w:rFonts w:ascii="宋体" w:eastAsia="宋体" w:hAnsi="宋体" w:cs="宋体"/>
          <w:b/>
          <w:color w:val="000000"/>
          <w:sz w:val="24"/>
          <w:szCs w:val="24"/>
        </w:rPr>
        <w:t>日</w:t>
      </w:r>
    </w:p>
    <w:p w:rsidR="002173B5" w:rsidRDefault="002173B5" w:rsidP="002173B5">
      <w:pPr>
        <w:jc w:val="left"/>
        <w:rPr>
          <w:b/>
          <w:sz w:val="24"/>
          <w:szCs w:val="24"/>
        </w:rPr>
      </w:pPr>
    </w:p>
    <w:p w:rsidR="002173B5" w:rsidRPr="002C78AE" w:rsidRDefault="007A2088" w:rsidP="007A2088">
      <w:pPr>
        <w:pStyle w:val="2"/>
        <w:spacing w:beforeLines="50" w:afterLines="50" w:line="240" w:lineRule="auto"/>
        <w:jc w:val="left"/>
        <w:rPr>
          <w:rFonts w:ascii="Times New Roman" w:eastAsia="宋体" w:hAnsi="Times New Roman"/>
          <w:bCs/>
          <w:sz w:val="24"/>
          <w:szCs w:val="24"/>
        </w:rPr>
      </w:pPr>
      <w:r w:rsidRPr="002C78AE">
        <w:rPr>
          <w:rFonts w:ascii="Times New Roman" w:eastAsia="宋体" w:hAnsi="Times New Roman"/>
          <w:bCs/>
          <w:sz w:val="24"/>
          <w:szCs w:val="24"/>
        </w:rPr>
        <w:t>1</w:t>
      </w:r>
      <w:bookmarkStart w:id="0" w:name="t_3_1_1_table"/>
      <w:bookmarkEnd w:id="0"/>
      <w:r w:rsidRPr="002C78AE">
        <w:rPr>
          <w:rFonts w:ascii="Times New Roman" w:eastAsia="宋体" w:hAnsi="Times New Roman"/>
          <w:bCs/>
          <w:sz w:val="24"/>
          <w:szCs w:val="24"/>
        </w:rPr>
        <w:t xml:space="preserve"> </w:t>
      </w:r>
      <w:r w:rsidRPr="002C78AE">
        <w:rPr>
          <w:rFonts w:ascii="Times New Roman" w:eastAsia="宋体" w:hAnsi="宋体"/>
          <w:bCs/>
          <w:sz w:val="24"/>
          <w:szCs w:val="24"/>
        </w:rPr>
        <w:t>公告基本信息</w:t>
      </w:r>
      <w:bookmarkStart w:id="1" w:name="_GoBack"/>
      <w:bookmarkEnd w:id="1"/>
    </w:p>
    <w:p w:rsidR="002173B5" w:rsidRDefault="002173B5" w:rsidP="002173B5">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960"/>
        <w:gridCol w:w="2301"/>
        <w:gridCol w:w="2301"/>
      </w:tblGrid>
      <w:tr w:rsidR="00331E1D">
        <w:tc>
          <w:tcPr>
            <w:tcW w:w="-25536" w:type="dxa"/>
            <w:gridSpan w:val="2"/>
            <w:vAlign w:val="center"/>
          </w:tcPr>
          <w:p w:rsidR="002173B5" w:rsidRDefault="007A2088" w:rsidP="002173B5">
            <w:pPr>
              <w:jc w:val="left"/>
              <w:rPr>
                <w:sz w:val="24"/>
                <w:szCs w:val="24"/>
              </w:rPr>
            </w:pPr>
            <w:r>
              <w:rPr>
                <w:sz w:val="24"/>
                <w:szCs w:val="24"/>
              </w:rPr>
              <w:t>基金名称</w:t>
            </w:r>
          </w:p>
        </w:tc>
        <w:tc>
          <w:tcPr>
            <w:tcW w:w="-25536" w:type="dxa"/>
            <w:gridSpan w:val="2"/>
            <w:vAlign w:val="center"/>
          </w:tcPr>
          <w:p w:rsidR="002173B5" w:rsidRDefault="007A2088" w:rsidP="002173B5">
            <w:pPr>
              <w:jc w:val="left"/>
              <w:rPr>
                <w:sz w:val="24"/>
                <w:szCs w:val="24"/>
              </w:rPr>
            </w:pPr>
            <w:r>
              <w:rPr>
                <w:sz w:val="24"/>
                <w:szCs w:val="24"/>
              </w:rPr>
              <w:t>汇添富中证港股通高股息投资交易型开放式指数证券投资基金联接基金（</w:t>
            </w:r>
            <w:r>
              <w:rPr>
                <w:sz w:val="24"/>
                <w:szCs w:val="24"/>
              </w:rPr>
              <w:t>LOF</w:t>
            </w:r>
            <w:r>
              <w:rPr>
                <w:sz w:val="24"/>
                <w:szCs w:val="24"/>
              </w:rPr>
              <w:t>）</w:t>
            </w:r>
          </w:p>
        </w:tc>
      </w:tr>
      <w:tr w:rsidR="00331E1D">
        <w:tc>
          <w:tcPr>
            <w:tcW w:w="-25536" w:type="dxa"/>
            <w:gridSpan w:val="2"/>
            <w:vAlign w:val="center"/>
          </w:tcPr>
          <w:p w:rsidR="002173B5" w:rsidRDefault="007A2088" w:rsidP="002173B5">
            <w:pPr>
              <w:jc w:val="left"/>
              <w:rPr>
                <w:sz w:val="24"/>
                <w:szCs w:val="24"/>
              </w:rPr>
            </w:pPr>
            <w:r>
              <w:rPr>
                <w:sz w:val="24"/>
                <w:szCs w:val="24"/>
              </w:rPr>
              <w:t>基金简称</w:t>
            </w:r>
          </w:p>
        </w:tc>
        <w:tc>
          <w:tcPr>
            <w:tcW w:w="-25536" w:type="dxa"/>
            <w:gridSpan w:val="2"/>
            <w:vAlign w:val="center"/>
          </w:tcPr>
          <w:p w:rsidR="002173B5" w:rsidRDefault="007A2088" w:rsidP="002173B5">
            <w:pPr>
              <w:jc w:val="left"/>
              <w:rPr>
                <w:sz w:val="24"/>
                <w:szCs w:val="24"/>
              </w:rPr>
            </w:pPr>
            <w:r>
              <w:rPr>
                <w:sz w:val="24"/>
                <w:szCs w:val="24"/>
              </w:rPr>
              <w:t>汇添富中证港股通高股息投资</w:t>
            </w:r>
            <w:r>
              <w:rPr>
                <w:sz w:val="24"/>
                <w:szCs w:val="24"/>
              </w:rPr>
              <w:t>ETF</w:t>
            </w:r>
            <w:r>
              <w:rPr>
                <w:sz w:val="24"/>
                <w:szCs w:val="24"/>
              </w:rPr>
              <w:t>联接（</w:t>
            </w:r>
            <w:r>
              <w:rPr>
                <w:sz w:val="24"/>
                <w:szCs w:val="24"/>
              </w:rPr>
              <w:t>LOF</w:t>
            </w:r>
            <w:r>
              <w:rPr>
                <w:sz w:val="24"/>
                <w:szCs w:val="24"/>
              </w:rPr>
              <w:t>）</w:t>
            </w:r>
          </w:p>
        </w:tc>
      </w:tr>
      <w:tr w:rsidR="00331E1D">
        <w:tc>
          <w:tcPr>
            <w:tcW w:w="-25536" w:type="dxa"/>
            <w:gridSpan w:val="2"/>
            <w:vAlign w:val="center"/>
          </w:tcPr>
          <w:p w:rsidR="002173B5" w:rsidRDefault="007A2088" w:rsidP="002173B5">
            <w:pPr>
              <w:jc w:val="left"/>
              <w:rPr>
                <w:sz w:val="24"/>
                <w:szCs w:val="24"/>
              </w:rPr>
            </w:pPr>
            <w:r>
              <w:rPr>
                <w:sz w:val="24"/>
                <w:szCs w:val="24"/>
              </w:rPr>
              <w:t>基金主代码</w:t>
            </w:r>
          </w:p>
        </w:tc>
        <w:tc>
          <w:tcPr>
            <w:tcW w:w="-25536" w:type="dxa"/>
            <w:gridSpan w:val="2"/>
            <w:vAlign w:val="center"/>
          </w:tcPr>
          <w:p w:rsidR="002173B5" w:rsidRDefault="007A2088" w:rsidP="002173B5">
            <w:pPr>
              <w:jc w:val="left"/>
              <w:rPr>
                <w:sz w:val="24"/>
                <w:szCs w:val="24"/>
              </w:rPr>
            </w:pPr>
            <w:r>
              <w:rPr>
                <w:sz w:val="24"/>
                <w:szCs w:val="24"/>
              </w:rPr>
              <w:t>501305</w:t>
            </w:r>
          </w:p>
        </w:tc>
      </w:tr>
      <w:tr w:rsidR="00331E1D">
        <w:tc>
          <w:tcPr>
            <w:tcW w:w="-25536" w:type="dxa"/>
            <w:gridSpan w:val="2"/>
            <w:vAlign w:val="center"/>
          </w:tcPr>
          <w:p w:rsidR="002173B5" w:rsidRDefault="007A2088" w:rsidP="002173B5">
            <w:pPr>
              <w:jc w:val="left"/>
              <w:rPr>
                <w:sz w:val="24"/>
                <w:szCs w:val="24"/>
              </w:rPr>
            </w:pPr>
            <w:r>
              <w:rPr>
                <w:sz w:val="24"/>
                <w:szCs w:val="24"/>
              </w:rPr>
              <w:t>基金管理人名称</w:t>
            </w:r>
          </w:p>
        </w:tc>
        <w:tc>
          <w:tcPr>
            <w:tcW w:w="-25536" w:type="dxa"/>
            <w:gridSpan w:val="2"/>
            <w:vAlign w:val="center"/>
          </w:tcPr>
          <w:p w:rsidR="002173B5" w:rsidRDefault="007A2088" w:rsidP="002173B5">
            <w:pPr>
              <w:jc w:val="left"/>
              <w:rPr>
                <w:sz w:val="24"/>
                <w:szCs w:val="24"/>
              </w:rPr>
            </w:pPr>
            <w:r>
              <w:rPr>
                <w:sz w:val="24"/>
                <w:szCs w:val="24"/>
              </w:rPr>
              <w:t>汇添富基金管理股份有限公司</w:t>
            </w:r>
          </w:p>
        </w:tc>
      </w:tr>
      <w:tr w:rsidR="00331E1D">
        <w:tc>
          <w:tcPr>
            <w:tcW w:w="-25536" w:type="dxa"/>
            <w:gridSpan w:val="2"/>
            <w:vAlign w:val="center"/>
          </w:tcPr>
          <w:p w:rsidR="002173B5" w:rsidRDefault="007A2088" w:rsidP="002173B5">
            <w:pPr>
              <w:jc w:val="left"/>
              <w:rPr>
                <w:sz w:val="24"/>
                <w:szCs w:val="24"/>
              </w:rPr>
            </w:pPr>
            <w:r>
              <w:rPr>
                <w:sz w:val="24"/>
                <w:szCs w:val="24"/>
              </w:rPr>
              <w:t>公告依据</w:t>
            </w:r>
          </w:p>
        </w:tc>
        <w:tc>
          <w:tcPr>
            <w:tcW w:w="-25536" w:type="dxa"/>
            <w:gridSpan w:val="2"/>
            <w:vAlign w:val="center"/>
          </w:tcPr>
          <w:p w:rsidR="002173B5" w:rsidRDefault="007A2088" w:rsidP="002173B5">
            <w:pPr>
              <w:jc w:val="left"/>
              <w:rPr>
                <w:sz w:val="24"/>
                <w:szCs w:val="24"/>
              </w:rPr>
            </w:pPr>
            <w:r>
              <w:rPr>
                <w:sz w:val="24"/>
                <w:szCs w:val="24"/>
              </w:rPr>
              <w:t>根据《公开募集证券投资基金信息披露管理办法》等法律法规和《汇添富中证港股通高股息投资交易型开放式指数证券投资基金联接基金（</w:t>
            </w:r>
            <w:r>
              <w:rPr>
                <w:sz w:val="24"/>
                <w:szCs w:val="24"/>
              </w:rPr>
              <w:t>LOF</w:t>
            </w:r>
            <w:r>
              <w:rPr>
                <w:sz w:val="24"/>
                <w:szCs w:val="24"/>
              </w:rPr>
              <w:t>）招募说明书》的规定。</w:t>
            </w:r>
          </w:p>
        </w:tc>
      </w:tr>
      <w:tr w:rsidR="00331E1D">
        <w:tc>
          <w:tcPr>
            <w:tcW w:w="20000" w:type="dxa"/>
            <w:vMerge w:val="restart"/>
            <w:vAlign w:val="center"/>
          </w:tcPr>
          <w:p w:rsidR="002173B5" w:rsidRDefault="007A2088" w:rsidP="002173B5">
            <w:pPr>
              <w:jc w:val="left"/>
              <w:rPr>
                <w:sz w:val="24"/>
                <w:szCs w:val="24"/>
              </w:rPr>
            </w:pPr>
            <w:r>
              <w:rPr>
                <w:sz w:val="24"/>
                <w:szCs w:val="24"/>
              </w:rPr>
              <w:t>暂停相关业务的起始日、金额及原因说明</w:t>
            </w:r>
          </w:p>
        </w:tc>
        <w:tc>
          <w:tcPr>
            <w:tcW w:w="20000" w:type="dxa"/>
            <w:vAlign w:val="center"/>
          </w:tcPr>
          <w:p w:rsidR="002173B5" w:rsidRDefault="007A2088" w:rsidP="002173B5">
            <w:pPr>
              <w:jc w:val="left"/>
              <w:rPr>
                <w:sz w:val="24"/>
                <w:szCs w:val="24"/>
              </w:rPr>
            </w:pPr>
            <w:r>
              <w:rPr>
                <w:sz w:val="24"/>
                <w:szCs w:val="24"/>
              </w:rPr>
              <w:t>暂停申购起始日</w:t>
            </w:r>
          </w:p>
        </w:tc>
        <w:tc>
          <w:tcPr>
            <w:tcW w:w="-25536" w:type="dxa"/>
            <w:gridSpan w:val="2"/>
            <w:vAlign w:val="center"/>
          </w:tcPr>
          <w:p w:rsidR="002173B5" w:rsidRDefault="007A2088" w:rsidP="002173B5">
            <w:pPr>
              <w:jc w:val="left"/>
              <w:rPr>
                <w:sz w:val="24"/>
                <w:szCs w:val="24"/>
              </w:rPr>
            </w:pPr>
            <w:r>
              <w:rPr>
                <w:sz w:val="24"/>
                <w:szCs w:val="24"/>
              </w:rPr>
              <w:t>2024</w:t>
            </w:r>
            <w:r>
              <w:rPr>
                <w:sz w:val="24"/>
                <w:szCs w:val="24"/>
              </w:rPr>
              <w:t>年</w:t>
            </w:r>
            <w:r>
              <w:rPr>
                <w:sz w:val="24"/>
                <w:szCs w:val="24"/>
              </w:rPr>
              <w:t>10</w:t>
            </w:r>
            <w:r>
              <w:rPr>
                <w:sz w:val="24"/>
                <w:szCs w:val="24"/>
              </w:rPr>
              <w:t>月</w:t>
            </w:r>
            <w:r>
              <w:rPr>
                <w:sz w:val="24"/>
                <w:szCs w:val="24"/>
              </w:rPr>
              <w:t>11</w:t>
            </w:r>
            <w:r>
              <w:rPr>
                <w:sz w:val="24"/>
                <w:szCs w:val="24"/>
              </w:rPr>
              <w:t>日</w:t>
            </w:r>
          </w:p>
        </w:tc>
      </w:tr>
      <w:tr w:rsidR="00331E1D">
        <w:tc>
          <w:tcPr>
            <w:tcW w:w="20000" w:type="dxa"/>
            <w:vMerge/>
            <w:vAlign w:val="center"/>
          </w:tcPr>
          <w:p w:rsidR="002173B5" w:rsidRDefault="002173B5" w:rsidP="002173B5">
            <w:pPr>
              <w:jc w:val="left"/>
              <w:rPr>
                <w:sz w:val="24"/>
                <w:szCs w:val="24"/>
              </w:rPr>
            </w:pPr>
          </w:p>
        </w:tc>
        <w:tc>
          <w:tcPr>
            <w:tcW w:w="20000" w:type="dxa"/>
            <w:vAlign w:val="center"/>
          </w:tcPr>
          <w:p w:rsidR="002173B5" w:rsidRDefault="007A2088" w:rsidP="002173B5">
            <w:pPr>
              <w:jc w:val="left"/>
              <w:rPr>
                <w:sz w:val="24"/>
                <w:szCs w:val="24"/>
              </w:rPr>
            </w:pPr>
            <w:r>
              <w:rPr>
                <w:sz w:val="24"/>
                <w:szCs w:val="24"/>
              </w:rPr>
              <w:t>暂停赎回起始日</w:t>
            </w:r>
          </w:p>
        </w:tc>
        <w:tc>
          <w:tcPr>
            <w:tcW w:w="-25536" w:type="dxa"/>
            <w:gridSpan w:val="2"/>
            <w:vAlign w:val="center"/>
          </w:tcPr>
          <w:p w:rsidR="002173B5" w:rsidRDefault="007A2088" w:rsidP="002173B5">
            <w:pPr>
              <w:jc w:val="left"/>
              <w:rPr>
                <w:sz w:val="24"/>
                <w:szCs w:val="24"/>
              </w:rPr>
            </w:pPr>
            <w:r>
              <w:rPr>
                <w:sz w:val="24"/>
                <w:szCs w:val="24"/>
              </w:rPr>
              <w:t>2024</w:t>
            </w:r>
            <w:r>
              <w:rPr>
                <w:sz w:val="24"/>
                <w:szCs w:val="24"/>
              </w:rPr>
              <w:t>年</w:t>
            </w:r>
            <w:r>
              <w:rPr>
                <w:sz w:val="24"/>
                <w:szCs w:val="24"/>
              </w:rPr>
              <w:t>10</w:t>
            </w:r>
            <w:r>
              <w:rPr>
                <w:sz w:val="24"/>
                <w:szCs w:val="24"/>
              </w:rPr>
              <w:t>月</w:t>
            </w:r>
            <w:r>
              <w:rPr>
                <w:sz w:val="24"/>
                <w:szCs w:val="24"/>
              </w:rPr>
              <w:t>11</w:t>
            </w:r>
            <w:r>
              <w:rPr>
                <w:sz w:val="24"/>
                <w:szCs w:val="24"/>
              </w:rPr>
              <w:t>日</w:t>
            </w:r>
          </w:p>
        </w:tc>
      </w:tr>
      <w:tr w:rsidR="00331E1D">
        <w:tc>
          <w:tcPr>
            <w:tcW w:w="20000" w:type="dxa"/>
            <w:vMerge/>
            <w:vAlign w:val="center"/>
          </w:tcPr>
          <w:p w:rsidR="002173B5" w:rsidRDefault="002173B5" w:rsidP="002173B5">
            <w:pPr>
              <w:jc w:val="left"/>
              <w:rPr>
                <w:sz w:val="24"/>
                <w:szCs w:val="24"/>
              </w:rPr>
            </w:pPr>
          </w:p>
        </w:tc>
        <w:tc>
          <w:tcPr>
            <w:tcW w:w="20000" w:type="dxa"/>
            <w:vAlign w:val="center"/>
          </w:tcPr>
          <w:p w:rsidR="002173B5" w:rsidRDefault="007A2088" w:rsidP="002173B5">
            <w:pPr>
              <w:jc w:val="left"/>
              <w:rPr>
                <w:sz w:val="24"/>
                <w:szCs w:val="24"/>
              </w:rPr>
            </w:pPr>
            <w:r>
              <w:rPr>
                <w:sz w:val="24"/>
                <w:szCs w:val="24"/>
              </w:rPr>
              <w:t>暂停转换转入起始日</w:t>
            </w:r>
          </w:p>
        </w:tc>
        <w:tc>
          <w:tcPr>
            <w:tcW w:w="-25536" w:type="dxa"/>
            <w:gridSpan w:val="2"/>
            <w:vAlign w:val="center"/>
          </w:tcPr>
          <w:p w:rsidR="002173B5" w:rsidRDefault="007A2088" w:rsidP="002173B5">
            <w:pPr>
              <w:jc w:val="left"/>
              <w:rPr>
                <w:sz w:val="24"/>
                <w:szCs w:val="24"/>
              </w:rPr>
            </w:pPr>
            <w:r>
              <w:rPr>
                <w:sz w:val="24"/>
                <w:szCs w:val="24"/>
              </w:rPr>
              <w:t>2024</w:t>
            </w:r>
            <w:r>
              <w:rPr>
                <w:sz w:val="24"/>
                <w:szCs w:val="24"/>
              </w:rPr>
              <w:t>年</w:t>
            </w:r>
            <w:r>
              <w:rPr>
                <w:sz w:val="24"/>
                <w:szCs w:val="24"/>
              </w:rPr>
              <w:t>10</w:t>
            </w:r>
            <w:r>
              <w:rPr>
                <w:sz w:val="24"/>
                <w:szCs w:val="24"/>
              </w:rPr>
              <w:t>月</w:t>
            </w:r>
            <w:r>
              <w:rPr>
                <w:sz w:val="24"/>
                <w:szCs w:val="24"/>
              </w:rPr>
              <w:t>11</w:t>
            </w:r>
            <w:r>
              <w:rPr>
                <w:sz w:val="24"/>
                <w:szCs w:val="24"/>
              </w:rPr>
              <w:t>日</w:t>
            </w:r>
          </w:p>
        </w:tc>
      </w:tr>
      <w:tr w:rsidR="00331E1D">
        <w:tc>
          <w:tcPr>
            <w:tcW w:w="20000" w:type="dxa"/>
            <w:vMerge/>
            <w:vAlign w:val="center"/>
          </w:tcPr>
          <w:p w:rsidR="002173B5" w:rsidRDefault="002173B5" w:rsidP="002173B5">
            <w:pPr>
              <w:jc w:val="left"/>
              <w:rPr>
                <w:sz w:val="24"/>
                <w:szCs w:val="24"/>
              </w:rPr>
            </w:pPr>
          </w:p>
        </w:tc>
        <w:tc>
          <w:tcPr>
            <w:tcW w:w="20000" w:type="dxa"/>
            <w:vAlign w:val="center"/>
          </w:tcPr>
          <w:p w:rsidR="002173B5" w:rsidRDefault="007A2088" w:rsidP="002173B5">
            <w:pPr>
              <w:jc w:val="left"/>
              <w:rPr>
                <w:sz w:val="24"/>
                <w:szCs w:val="24"/>
              </w:rPr>
            </w:pPr>
            <w:r>
              <w:rPr>
                <w:sz w:val="24"/>
                <w:szCs w:val="24"/>
              </w:rPr>
              <w:t>暂停转换转出起始日</w:t>
            </w:r>
          </w:p>
        </w:tc>
        <w:tc>
          <w:tcPr>
            <w:tcW w:w="-25536" w:type="dxa"/>
            <w:gridSpan w:val="2"/>
            <w:vAlign w:val="center"/>
          </w:tcPr>
          <w:p w:rsidR="002173B5" w:rsidRDefault="007A2088" w:rsidP="002173B5">
            <w:pPr>
              <w:jc w:val="left"/>
              <w:rPr>
                <w:sz w:val="24"/>
                <w:szCs w:val="24"/>
              </w:rPr>
            </w:pPr>
            <w:r>
              <w:rPr>
                <w:sz w:val="24"/>
                <w:szCs w:val="24"/>
              </w:rPr>
              <w:t>-</w:t>
            </w:r>
          </w:p>
        </w:tc>
      </w:tr>
      <w:tr w:rsidR="00331E1D">
        <w:tc>
          <w:tcPr>
            <w:tcW w:w="20000" w:type="dxa"/>
            <w:vMerge/>
            <w:vAlign w:val="center"/>
          </w:tcPr>
          <w:p w:rsidR="002173B5" w:rsidRDefault="002173B5" w:rsidP="002173B5">
            <w:pPr>
              <w:jc w:val="left"/>
              <w:rPr>
                <w:sz w:val="24"/>
                <w:szCs w:val="24"/>
              </w:rPr>
            </w:pPr>
          </w:p>
        </w:tc>
        <w:tc>
          <w:tcPr>
            <w:tcW w:w="20000" w:type="dxa"/>
            <w:vAlign w:val="center"/>
          </w:tcPr>
          <w:p w:rsidR="002173B5" w:rsidRDefault="007A2088" w:rsidP="002173B5">
            <w:pPr>
              <w:jc w:val="left"/>
              <w:rPr>
                <w:sz w:val="24"/>
                <w:szCs w:val="24"/>
              </w:rPr>
            </w:pPr>
            <w:r>
              <w:rPr>
                <w:sz w:val="24"/>
                <w:szCs w:val="24"/>
              </w:rPr>
              <w:t>暂停定期定额投资起始日</w:t>
            </w:r>
          </w:p>
        </w:tc>
        <w:tc>
          <w:tcPr>
            <w:tcW w:w="-25536" w:type="dxa"/>
            <w:gridSpan w:val="2"/>
            <w:vAlign w:val="center"/>
          </w:tcPr>
          <w:p w:rsidR="002173B5" w:rsidRDefault="007A2088" w:rsidP="002173B5">
            <w:pPr>
              <w:jc w:val="left"/>
              <w:rPr>
                <w:sz w:val="24"/>
                <w:szCs w:val="24"/>
              </w:rPr>
            </w:pPr>
            <w:r>
              <w:rPr>
                <w:sz w:val="24"/>
                <w:szCs w:val="24"/>
              </w:rPr>
              <w:t>2024</w:t>
            </w:r>
            <w:r>
              <w:rPr>
                <w:sz w:val="24"/>
                <w:szCs w:val="24"/>
              </w:rPr>
              <w:t>年</w:t>
            </w:r>
            <w:r>
              <w:rPr>
                <w:sz w:val="24"/>
                <w:szCs w:val="24"/>
              </w:rPr>
              <w:t>10</w:t>
            </w:r>
            <w:r>
              <w:rPr>
                <w:sz w:val="24"/>
                <w:szCs w:val="24"/>
              </w:rPr>
              <w:t>月</w:t>
            </w:r>
            <w:r>
              <w:rPr>
                <w:sz w:val="24"/>
                <w:szCs w:val="24"/>
              </w:rPr>
              <w:t>11</w:t>
            </w:r>
            <w:r>
              <w:rPr>
                <w:sz w:val="24"/>
                <w:szCs w:val="24"/>
              </w:rPr>
              <w:t>日</w:t>
            </w:r>
          </w:p>
        </w:tc>
      </w:tr>
      <w:tr w:rsidR="00331E1D">
        <w:tc>
          <w:tcPr>
            <w:tcW w:w="20000" w:type="dxa"/>
            <w:vMerge/>
            <w:vAlign w:val="center"/>
          </w:tcPr>
          <w:p w:rsidR="002173B5" w:rsidRDefault="002173B5" w:rsidP="002173B5">
            <w:pPr>
              <w:jc w:val="left"/>
              <w:rPr>
                <w:sz w:val="24"/>
                <w:szCs w:val="24"/>
              </w:rPr>
            </w:pPr>
          </w:p>
        </w:tc>
        <w:tc>
          <w:tcPr>
            <w:tcW w:w="20000" w:type="dxa"/>
            <w:vAlign w:val="center"/>
          </w:tcPr>
          <w:p w:rsidR="002173B5" w:rsidRDefault="007A2088" w:rsidP="002173B5">
            <w:pPr>
              <w:jc w:val="left"/>
              <w:rPr>
                <w:sz w:val="24"/>
                <w:szCs w:val="24"/>
              </w:rPr>
            </w:pPr>
            <w:r>
              <w:rPr>
                <w:sz w:val="24"/>
                <w:szCs w:val="24"/>
              </w:rPr>
              <w:t>暂停申购、赎回等业务的原因说明</w:t>
            </w:r>
          </w:p>
        </w:tc>
        <w:tc>
          <w:tcPr>
            <w:tcW w:w="-25536" w:type="dxa"/>
            <w:gridSpan w:val="2"/>
            <w:vAlign w:val="center"/>
          </w:tcPr>
          <w:p w:rsidR="002173B5" w:rsidRDefault="007A2088" w:rsidP="002173B5">
            <w:pPr>
              <w:jc w:val="left"/>
              <w:rPr>
                <w:sz w:val="24"/>
                <w:szCs w:val="24"/>
              </w:rPr>
            </w:pPr>
            <w:r>
              <w:rPr>
                <w:sz w:val="24"/>
                <w:szCs w:val="24"/>
              </w:rPr>
              <w:t>2024</w:t>
            </w:r>
            <w:r>
              <w:rPr>
                <w:sz w:val="24"/>
                <w:szCs w:val="24"/>
              </w:rPr>
              <w:t>年</w:t>
            </w:r>
            <w:r>
              <w:rPr>
                <w:sz w:val="24"/>
                <w:szCs w:val="24"/>
              </w:rPr>
              <w:t>10</w:t>
            </w:r>
            <w:r>
              <w:rPr>
                <w:sz w:val="24"/>
                <w:szCs w:val="24"/>
              </w:rPr>
              <w:t>月</w:t>
            </w:r>
            <w:r>
              <w:rPr>
                <w:sz w:val="24"/>
                <w:szCs w:val="24"/>
              </w:rPr>
              <w:t>11</w:t>
            </w:r>
            <w:r>
              <w:rPr>
                <w:sz w:val="24"/>
                <w:szCs w:val="24"/>
              </w:rPr>
              <w:t>日为非港股通交易日。为保护基金份额持有人利益，本基金暂停申购、赎回、转换转入、定期定额投资业务。</w:t>
            </w:r>
          </w:p>
        </w:tc>
      </w:tr>
      <w:tr w:rsidR="00331E1D">
        <w:tc>
          <w:tcPr>
            <w:tcW w:w="-25536" w:type="dxa"/>
            <w:gridSpan w:val="2"/>
            <w:vAlign w:val="center"/>
          </w:tcPr>
          <w:p w:rsidR="002173B5" w:rsidRDefault="007A2088" w:rsidP="002173B5">
            <w:pPr>
              <w:jc w:val="left"/>
              <w:rPr>
                <w:sz w:val="24"/>
                <w:szCs w:val="24"/>
              </w:rPr>
            </w:pPr>
            <w:r>
              <w:rPr>
                <w:sz w:val="24"/>
                <w:szCs w:val="24"/>
              </w:rPr>
              <w:t>下属基金份额的基金简称</w:t>
            </w:r>
          </w:p>
        </w:tc>
        <w:tc>
          <w:tcPr>
            <w:tcW w:w="20000" w:type="dxa"/>
            <w:vAlign w:val="center"/>
          </w:tcPr>
          <w:p w:rsidR="002173B5" w:rsidRDefault="007A2088" w:rsidP="002173B5">
            <w:pPr>
              <w:jc w:val="left"/>
              <w:rPr>
                <w:sz w:val="24"/>
                <w:szCs w:val="24"/>
              </w:rPr>
            </w:pPr>
            <w:r>
              <w:rPr>
                <w:sz w:val="24"/>
                <w:szCs w:val="24"/>
              </w:rPr>
              <w:t>汇添富中证港股通高股息投资</w:t>
            </w:r>
            <w:r>
              <w:rPr>
                <w:sz w:val="24"/>
                <w:szCs w:val="24"/>
              </w:rPr>
              <w:t>ETF</w:t>
            </w:r>
            <w:r>
              <w:rPr>
                <w:sz w:val="24"/>
                <w:szCs w:val="24"/>
              </w:rPr>
              <w:t>联接（</w:t>
            </w:r>
            <w:r>
              <w:rPr>
                <w:sz w:val="24"/>
                <w:szCs w:val="24"/>
              </w:rPr>
              <w:t>LOF</w:t>
            </w:r>
            <w:r>
              <w:rPr>
                <w:sz w:val="24"/>
                <w:szCs w:val="24"/>
              </w:rPr>
              <w:t>）</w:t>
            </w:r>
            <w:r>
              <w:rPr>
                <w:sz w:val="24"/>
                <w:szCs w:val="24"/>
              </w:rPr>
              <w:t>A</w:t>
            </w:r>
          </w:p>
        </w:tc>
        <w:tc>
          <w:tcPr>
            <w:tcW w:w="20000" w:type="dxa"/>
            <w:vAlign w:val="center"/>
          </w:tcPr>
          <w:p w:rsidR="002173B5" w:rsidRDefault="007A2088" w:rsidP="002173B5">
            <w:pPr>
              <w:jc w:val="left"/>
              <w:rPr>
                <w:sz w:val="24"/>
                <w:szCs w:val="24"/>
              </w:rPr>
            </w:pPr>
            <w:r>
              <w:rPr>
                <w:sz w:val="24"/>
                <w:szCs w:val="24"/>
              </w:rPr>
              <w:t>汇添富中证港股通高股息投资</w:t>
            </w:r>
            <w:r>
              <w:rPr>
                <w:sz w:val="24"/>
                <w:szCs w:val="24"/>
              </w:rPr>
              <w:t>ETF</w:t>
            </w:r>
            <w:r>
              <w:rPr>
                <w:sz w:val="24"/>
                <w:szCs w:val="24"/>
              </w:rPr>
              <w:t>联接（</w:t>
            </w:r>
            <w:r>
              <w:rPr>
                <w:sz w:val="24"/>
                <w:szCs w:val="24"/>
              </w:rPr>
              <w:t>LOF</w:t>
            </w:r>
            <w:r>
              <w:rPr>
                <w:sz w:val="24"/>
                <w:szCs w:val="24"/>
              </w:rPr>
              <w:t>）</w:t>
            </w:r>
            <w:r>
              <w:rPr>
                <w:sz w:val="24"/>
                <w:szCs w:val="24"/>
              </w:rPr>
              <w:t>C</w:t>
            </w:r>
          </w:p>
        </w:tc>
      </w:tr>
      <w:tr w:rsidR="00331E1D">
        <w:tc>
          <w:tcPr>
            <w:tcW w:w="-25536" w:type="dxa"/>
            <w:gridSpan w:val="2"/>
            <w:vAlign w:val="center"/>
          </w:tcPr>
          <w:p w:rsidR="002173B5" w:rsidRDefault="007A2088" w:rsidP="002173B5">
            <w:pPr>
              <w:jc w:val="left"/>
              <w:rPr>
                <w:sz w:val="24"/>
                <w:szCs w:val="24"/>
              </w:rPr>
            </w:pPr>
            <w:r>
              <w:rPr>
                <w:sz w:val="24"/>
                <w:szCs w:val="24"/>
              </w:rPr>
              <w:t>下属基金份额的交易代码</w:t>
            </w:r>
          </w:p>
        </w:tc>
        <w:tc>
          <w:tcPr>
            <w:tcW w:w="20000" w:type="dxa"/>
            <w:vAlign w:val="center"/>
          </w:tcPr>
          <w:p w:rsidR="002173B5" w:rsidRDefault="007A2088" w:rsidP="002173B5">
            <w:pPr>
              <w:jc w:val="left"/>
              <w:rPr>
                <w:sz w:val="24"/>
                <w:szCs w:val="24"/>
              </w:rPr>
            </w:pPr>
            <w:r>
              <w:rPr>
                <w:sz w:val="24"/>
                <w:szCs w:val="24"/>
              </w:rPr>
              <w:t>501305</w:t>
            </w:r>
          </w:p>
        </w:tc>
        <w:tc>
          <w:tcPr>
            <w:tcW w:w="20000" w:type="dxa"/>
            <w:vAlign w:val="center"/>
          </w:tcPr>
          <w:p w:rsidR="002173B5" w:rsidRDefault="007A2088" w:rsidP="002173B5">
            <w:pPr>
              <w:jc w:val="left"/>
              <w:rPr>
                <w:sz w:val="24"/>
                <w:szCs w:val="24"/>
              </w:rPr>
            </w:pPr>
            <w:r>
              <w:rPr>
                <w:sz w:val="24"/>
                <w:szCs w:val="24"/>
              </w:rPr>
              <w:t>501306</w:t>
            </w:r>
          </w:p>
        </w:tc>
      </w:tr>
      <w:tr w:rsidR="00331E1D">
        <w:tc>
          <w:tcPr>
            <w:tcW w:w="-25536" w:type="dxa"/>
            <w:gridSpan w:val="2"/>
            <w:vAlign w:val="center"/>
          </w:tcPr>
          <w:p w:rsidR="002173B5" w:rsidRDefault="007A2088" w:rsidP="002173B5">
            <w:pPr>
              <w:jc w:val="left"/>
              <w:rPr>
                <w:sz w:val="24"/>
                <w:szCs w:val="24"/>
              </w:rPr>
            </w:pPr>
            <w:r>
              <w:rPr>
                <w:sz w:val="24"/>
                <w:szCs w:val="24"/>
              </w:rPr>
              <w:t>该基金份额是否暂停申购、赎回等业务</w:t>
            </w:r>
          </w:p>
        </w:tc>
        <w:tc>
          <w:tcPr>
            <w:tcW w:w="20000" w:type="dxa"/>
            <w:vAlign w:val="center"/>
          </w:tcPr>
          <w:p w:rsidR="002173B5" w:rsidRDefault="007A2088" w:rsidP="002173B5">
            <w:pPr>
              <w:jc w:val="left"/>
              <w:rPr>
                <w:sz w:val="24"/>
                <w:szCs w:val="24"/>
              </w:rPr>
            </w:pPr>
            <w:r>
              <w:rPr>
                <w:sz w:val="24"/>
                <w:szCs w:val="24"/>
              </w:rPr>
              <w:t>是</w:t>
            </w:r>
          </w:p>
        </w:tc>
        <w:tc>
          <w:tcPr>
            <w:tcW w:w="20000" w:type="dxa"/>
            <w:vAlign w:val="center"/>
          </w:tcPr>
          <w:p w:rsidR="002173B5" w:rsidRDefault="007A2088" w:rsidP="002173B5">
            <w:pPr>
              <w:jc w:val="left"/>
              <w:rPr>
                <w:sz w:val="24"/>
                <w:szCs w:val="24"/>
              </w:rPr>
            </w:pPr>
            <w:r>
              <w:rPr>
                <w:sz w:val="24"/>
                <w:szCs w:val="24"/>
              </w:rPr>
              <w:t>是</w:t>
            </w:r>
          </w:p>
        </w:tc>
      </w:tr>
    </w:tbl>
    <w:p w:rsidR="002173B5" w:rsidRDefault="002173B5" w:rsidP="002173B5">
      <w:pPr>
        <w:jc w:val="left"/>
        <w:rPr>
          <w:sz w:val="24"/>
          <w:szCs w:val="24"/>
        </w:rPr>
      </w:pPr>
    </w:p>
    <w:p w:rsidR="00E826CE" w:rsidRPr="00E826CE" w:rsidRDefault="007A2088" w:rsidP="002173B5">
      <w:pPr>
        <w:jc w:val="left"/>
        <w:rPr>
          <w:rFonts w:ascii="宋体" w:eastAsia="宋体" w:hAnsi="宋体" w:cs="宋体"/>
          <w:color w:val="000000"/>
          <w:szCs w:val="21"/>
        </w:rPr>
      </w:pPr>
      <w:r w:rsidRPr="00E826CE">
        <w:rPr>
          <w:rFonts w:ascii="宋体" w:eastAsia="宋体" w:hAnsi="宋体" w:cs="宋体" w:hint="eastAsia"/>
          <w:color w:val="000000"/>
          <w:szCs w:val="21"/>
        </w:rPr>
        <w:t>本基金</w:t>
      </w:r>
      <w:r w:rsidRPr="00E826CE">
        <w:rPr>
          <w:rFonts w:ascii="宋体" w:eastAsia="宋体" w:hAnsi="宋体" w:cs="宋体" w:hint="eastAsia"/>
          <w:color w:val="000000"/>
          <w:szCs w:val="21"/>
        </w:rPr>
        <w:t>A</w:t>
      </w:r>
      <w:r w:rsidRPr="00E826CE">
        <w:rPr>
          <w:rFonts w:ascii="宋体" w:eastAsia="宋体" w:hAnsi="宋体" w:cs="宋体" w:hint="eastAsia"/>
          <w:color w:val="000000"/>
          <w:szCs w:val="21"/>
        </w:rPr>
        <w:t>类份额扩位证券简称为港股高股息</w:t>
      </w:r>
      <w:r w:rsidRPr="00E826CE">
        <w:rPr>
          <w:rFonts w:ascii="宋体" w:eastAsia="宋体" w:hAnsi="宋体" w:cs="宋体" w:hint="eastAsia"/>
          <w:color w:val="000000"/>
          <w:szCs w:val="21"/>
        </w:rPr>
        <w:t>LOF</w:t>
      </w:r>
      <w:r w:rsidRPr="00E826CE">
        <w:rPr>
          <w:rFonts w:ascii="宋体" w:eastAsia="宋体" w:hAnsi="宋体" w:cs="宋体" w:hint="eastAsia"/>
          <w:color w:val="000000"/>
          <w:szCs w:val="21"/>
        </w:rPr>
        <w:t>，</w:t>
      </w:r>
      <w:r w:rsidRPr="00E826CE">
        <w:rPr>
          <w:rFonts w:ascii="宋体" w:eastAsia="宋体" w:hAnsi="宋体" w:cs="宋体" w:hint="eastAsia"/>
          <w:color w:val="000000"/>
          <w:szCs w:val="21"/>
        </w:rPr>
        <w:t>C</w:t>
      </w:r>
      <w:r w:rsidRPr="00E826CE">
        <w:rPr>
          <w:rFonts w:ascii="宋体" w:eastAsia="宋体" w:hAnsi="宋体" w:cs="宋体" w:hint="eastAsia"/>
          <w:color w:val="000000"/>
          <w:szCs w:val="21"/>
        </w:rPr>
        <w:t>类份额扩位证券简称为港股高股息</w:t>
      </w:r>
      <w:r w:rsidRPr="00E826CE">
        <w:rPr>
          <w:rFonts w:ascii="宋体" w:eastAsia="宋体" w:hAnsi="宋体" w:cs="宋体" w:hint="eastAsia"/>
          <w:color w:val="000000"/>
          <w:szCs w:val="21"/>
        </w:rPr>
        <w:t>LOFC</w:t>
      </w:r>
      <w:r w:rsidRPr="00E826CE">
        <w:rPr>
          <w:rFonts w:ascii="宋体" w:eastAsia="宋体" w:hAnsi="宋体" w:cs="宋体" w:hint="eastAsia"/>
          <w:color w:val="000000"/>
          <w:szCs w:val="21"/>
        </w:rPr>
        <w:t>。</w:t>
      </w:r>
    </w:p>
    <w:p w:rsidR="002E18C2" w:rsidRPr="002C78AE" w:rsidRDefault="007A2088" w:rsidP="007A2088">
      <w:pPr>
        <w:pStyle w:val="2"/>
        <w:tabs>
          <w:tab w:val="left" w:pos="3055"/>
          <w:tab w:val="left" w:pos="3506"/>
        </w:tabs>
        <w:spacing w:beforeLines="50" w:afterLines="50" w:line="240" w:lineRule="auto"/>
        <w:jc w:val="left"/>
        <w:rPr>
          <w:rFonts w:ascii="Times New Roman" w:eastAsia="宋体" w:hAnsi="Times New Roman"/>
          <w:bCs/>
          <w:sz w:val="24"/>
          <w:szCs w:val="24"/>
        </w:rPr>
      </w:pPr>
      <w:r w:rsidRPr="002C78AE">
        <w:rPr>
          <w:rFonts w:ascii="Times New Roman" w:eastAsia="宋体" w:hAnsi="Times New Roman"/>
          <w:bCs/>
          <w:sz w:val="24"/>
          <w:szCs w:val="24"/>
        </w:rPr>
        <w:t xml:space="preserve">2 </w:t>
      </w:r>
      <w:bookmarkStart w:id="2" w:name="t_3_2_table"/>
      <w:bookmarkEnd w:id="2"/>
      <w:r w:rsidRPr="002C78AE">
        <w:rPr>
          <w:rFonts w:ascii="Times New Roman" w:eastAsia="宋体" w:hAnsi="宋体"/>
          <w:bCs/>
          <w:sz w:val="24"/>
          <w:szCs w:val="24"/>
        </w:rPr>
        <w:t>其他需要提示的事项</w:t>
      </w:r>
      <w:r w:rsidR="0056221F">
        <w:rPr>
          <w:rFonts w:ascii="Times New Roman" w:eastAsia="宋体" w:hAnsi="宋体"/>
          <w:bCs/>
          <w:sz w:val="24"/>
          <w:szCs w:val="24"/>
        </w:rPr>
        <w:tab/>
      </w:r>
      <w:r w:rsidR="00DC4347">
        <w:rPr>
          <w:rFonts w:ascii="Times New Roman" w:eastAsia="宋体" w:hAnsi="宋体"/>
          <w:bCs/>
          <w:sz w:val="24"/>
          <w:szCs w:val="24"/>
        </w:rPr>
        <w:tab/>
      </w:r>
    </w:p>
    <w:p w:rsidR="007D51B6" w:rsidRPr="002C78AE" w:rsidRDefault="0056221F" w:rsidP="0056221F">
      <w:pPr>
        <w:tabs>
          <w:tab w:val="left" w:pos="3030"/>
        </w:tabs>
        <w:spacing w:line="360" w:lineRule="auto"/>
        <w:jc w:val="left"/>
        <w:rPr>
          <w:rFonts w:ascii="Times New Roman" w:hAnsi="Times New Roman"/>
          <w:sz w:val="24"/>
          <w:szCs w:val="24"/>
        </w:rPr>
      </w:pPr>
      <w:bookmarkStart w:id="3" w:name="t_3_2_2646_a1_fm1"/>
      <w:bookmarkEnd w:id="3"/>
      <w:r>
        <w:rPr>
          <w:rFonts w:ascii="宋体" w:eastAsia="宋体" w:hAnsi="宋体" w:cs="宋体"/>
          <w:color w:val="000000"/>
          <w:sz w:val="24"/>
          <w:szCs w:val="24"/>
        </w:rPr>
        <w:t>1、2024年10月14日，本基金将恢复办理申购、赎回、转换转入、定期定额投</w:t>
      </w:r>
      <w:r>
        <w:rPr>
          <w:rFonts w:ascii="宋体" w:eastAsia="宋体" w:hAnsi="宋体" w:cs="宋体"/>
          <w:color w:val="000000"/>
          <w:sz w:val="24"/>
          <w:szCs w:val="24"/>
        </w:rPr>
        <w:lastRenderedPageBreak/>
        <w:t>资业务，届时不再公告。</w:t>
      </w:r>
    </w:p>
    <w:p w:rsidR="0056221F" w:rsidRDefault="007A2088" w:rsidP="0056221F">
      <w:pPr>
        <w:tabs>
          <w:tab w:val="left" w:pos="3030"/>
        </w:tabs>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color w:val="000000"/>
          <w:sz w:val="24"/>
          <w:szCs w:val="24"/>
        </w:rPr>
        <w:t>、投资者可通过本基金各代销机构或登录本公司网站</w:t>
      </w:r>
      <w:r>
        <w:rPr>
          <w:rFonts w:ascii="宋体" w:eastAsia="宋体" w:hAnsi="宋体" w:cs="宋体"/>
          <w:color w:val="000000"/>
          <w:sz w:val="24"/>
          <w:szCs w:val="24"/>
        </w:rPr>
        <w:t>(www.99fund.com)</w:t>
      </w:r>
      <w:r>
        <w:rPr>
          <w:rFonts w:ascii="宋体" w:eastAsia="宋体" w:hAnsi="宋体" w:cs="宋体"/>
          <w:color w:val="000000"/>
          <w:sz w:val="24"/>
          <w:szCs w:val="24"/>
        </w:rPr>
        <w:t>或拨打本公司客服热线（</w:t>
      </w:r>
      <w:r>
        <w:rPr>
          <w:rFonts w:ascii="宋体" w:eastAsia="宋体" w:hAnsi="宋体" w:cs="宋体"/>
          <w:color w:val="000000"/>
          <w:sz w:val="24"/>
          <w:szCs w:val="24"/>
        </w:rPr>
        <w:t>400</w:t>
      </w:r>
      <w:r>
        <w:rPr>
          <w:rFonts w:ascii="宋体" w:eastAsia="宋体" w:hAnsi="宋体" w:cs="宋体"/>
          <w:color w:val="000000"/>
          <w:sz w:val="24"/>
          <w:szCs w:val="24"/>
        </w:rPr>
        <w:t>－</w:t>
      </w:r>
      <w:r>
        <w:rPr>
          <w:rFonts w:ascii="宋体" w:eastAsia="宋体" w:hAnsi="宋体" w:cs="宋体"/>
          <w:color w:val="000000"/>
          <w:sz w:val="24"/>
          <w:szCs w:val="24"/>
        </w:rPr>
        <w:t>888</w:t>
      </w:r>
      <w:r>
        <w:rPr>
          <w:rFonts w:ascii="宋体" w:eastAsia="宋体" w:hAnsi="宋体" w:cs="宋体"/>
          <w:color w:val="000000"/>
          <w:sz w:val="24"/>
          <w:szCs w:val="24"/>
        </w:rPr>
        <w:t>－</w:t>
      </w:r>
      <w:r>
        <w:rPr>
          <w:rFonts w:ascii="宋体" w:eastAsia="宋体" w:hAnsi="宋体" w:cs="宋体"/>
          <w:color w:val="000000"/>
          <w:sz w:val="24"/>
          <w:szCs w:val="24"/>
        </w:rPr>
        <w:t>9918</w:t>
      </w:r>
      <w:r>
        <w:rPr>
          <w:rFonts w:ascii="宋体" w:eastAsia="宋体" w:hAnsi="宋体" w:cs="宋体"/>
          <w:color w:val="000000"/>
          <w:sz w:val="24"/>
          <w:szCs w:val="24"/>
        </w:rPr>
        <w:t>）咨询相关情况。</w:t>
      </w:r>
      <w:r>
        <w:rPr>
          <w:rFonts w:ascii="宋体" w:eastAsia="宋体" w:hAnsi="宋体" w:cs="宋体"/>
          <w:color w:val="000000"/>
          <w:sz w:val="24"/>
          <w:szCs w:val="24"/>
        </w:rPr>
        <w:t xml:space="preserve"> </w:t>
      </w:r>
    </w:p>
    <w:p w:rsidR="0056221F" w:rsidRDefault="007A2088" w:rsidP="0056221F">
      <w:pPr>
        <w:tabs>
          <w:tab w:val="left" w:pos="3030"/>
        </w:tabs>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 xml:space="preserve">　　汇添富基金高度重视投资者服务和投资者教育，特此提醒投资者需正确认知基金投资的风险和长期收益，做理性的基金投资人，做明白的基金投资人，享受长期投资的快乐！</w:t>
      </w:r>
      <w:r>
        <w:rPr>
          <w:rFonts w:ascii="宋体" w:eastAsia="宋体" w:hAnsi="宋体" w:cs="宋体"/>
          <w:color w:val="000000"/>
          <w:sz w:val="24"/>
          <w:szCs w:val="24"/>
        </w:rPr>
        <w:t xml:space="preserve"> </w:t>
      </w:r>
    </w:p>
    <w:p w:rsidR="0056221F" w:rsidRDefault="007A2088" w:rsidP="0056221F">
      <w:pPr>
        <w:tabs>
          <w:tab w:val="left" w:pos="3030"/>
        </w:tabs>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 xml:space="preserve">　　特此公告。</w:t>
      </w:r>
      <w:r>
        <w:rPr>
          <w:rFonts w:ascii="Times New Roman" w:hAnsi="Times New Roman"/>
          <w:sz w:val="24"/>
          <w:szCs w:val="24"/>
        </w:rPr>
        <w:tab/>
      </w:r>
    </w:p>
    <w:p w:rsidR="002E18C2" w:rsidRPr="002C78AE" w:rsidRDefault="007A2088" w:rsidP="007D748A">
      <w:pPr>
        <w:spacing w:line="360" w:lineRule="auto"/>
        <w:jc w:val="right"/>
        <w:rPr>
          <w:rFonts w:ascii="Times New Roman" w:hAnsi="Times New Roman"/>
          <w:sz w:val="24"/>
          <w:szCs w:val="24"/>
        </w:rPr>
      </w:pPr>
      <w:r w:rsidRPr="002C78AE">
        <w:rPr>
          <w:rFonts w:ascii="Times New Roman" w:hAnsi="宋体"/>
          <w:sz w:val="24"/>
          <w:szCs w:val="24"/>
        </w:rPr>
        <w:t>汇添富基金管理股份有限公司</w:t>
      </w:r>
    </w:p>
    <w:p w:rsidR="002E18C2" w:rsidRDefault="007A2088" w:rsidP="007D748A">
      <w:pPr>
        <w:jc w:val="right"/>
        <w:rPr>
          <w:rFonts w:ascii="宋体" w:eastAsia="宋体" w:hAnsi="宋体" w:cs="宋体"/>
          <w:color w:val="000000"/>
          <w:sz w:val="24"/>
          <w:szCs w:val="24"/>
        </w:rPr>
      </w:pPr>
      <w:r>
        <w:rPr>
          <w:b/>
          <w:sz w:val="24"/>
          <w:szCs w:val="24"/>
        </w:rPr>
        <w:t xml:space="preserve">            </w:t>
      </w:r>
      <w:r w:rsidR="00AC7140">
        <w:rPr>
          <w:b/>
          <w:sz w:val="24"/>
          <w:szCs w:val="24"/>
        </w:rPr>
        <w:t xml:space="preserve">                           </w:t>
      </w:r>
      <w:r w:rsidR="00AC7140">
        <w:rPr>
          <w:rFonts w:hint="eastAsia"/>
          <w:b/>
          <w:sz w:val="24"/>
          <w:szCs w:val="24"/>
        </w:rPr>
        <w:t xml:space="preserve"> </w:t>
      </w:r>
      <w:r>
        <w:rPr>
          <w:b/>
          <w:sz w:val="24"/>
          <w:szCs w:val="24"/>
        </w:rPr>
        <w:t xml:space="preserve">   </w:t>
      </w:r>
      <w:r>
        <w:rPr>
          <w:rFonts w:ascii="宋体" w:eastAsia="宋体" w:hAnsi="宋体" w:cs="宋体"/>
          <w:color w:val="000000"/>
          <w:sz w:val="24"/>
          <w:szCs w:val="24"/>
        </w:rPr>
        <w:t>2024</w:t>
      </w:r>
      <w:r>
        <w:rPr>
          <w:rFonts w:ascii="宋体" w:eastAsia="宋体" w:hAnsi="宋体" w:cs="宋体"/>
          <w:color w:val="000000"/>
          <w:sz w:val="24"/>
          <w:szCs w:val="24"/>
        </w:rPr>
        <w:t>年</w:t>
      </w:r>
      <w:r>
        <w:rPr>
          <w:rFonts w:ascii="宋体" w:eastAsia="宋体" w:hAnsi="宋体" w:cs="宋体"/>
          <w:color w:val="000000"/>
          <w:sz w:val="24"/>
          <w:szCs w:val="24"/>
        </w:rPr>
        <w:t>10</w:t>
      </w:r>
      <w:r>
        <w:rPr>
          <w:rFonts w:ascii="宋体" w:eastAsia="宋体" w:hAnsi="宋体" w:cs="宋体"/>
          <w:color w:val="000000"/>
          <w:sz w:val="24"/>
          <w:szCs w:val="24"/>
        </w:rPr>
        <w:t>月</w:t>
      </w:r>
      <w:r>
        <w:rPr>
          <w:rFonts w:ascii="宋体" w:eastAsia="宋体" w:hAnsi="宋体" w:cs="宋体"/>
          <w:color w:val="000000"/>
          <w:sz w:val="24"/>
          <w:szCs w:val="24"/>
        </w:rPr>
        <w:t>09</w:t>
      </w:r>
      <w:r>
        <w:rPr>
          <w:rFonts w:ascii="宋体" w:eastAsia="宋体" w:hAnsi="宋体" w:cs="宋体"/>
          <w:color w:val="000000"/>
          <w:sz w:val="24"/>
          <w:szCs w:val="24"/>
        </w:rPr>
        <w:t>日</w:t>
      </w:r>
    </w:p>
    <w:p w:rsidR="002E18C2" w:rsidRDefault="002E18C2" w:rsidP="007D748A">
      <w:pPr>
        <w:jc w:val="right"/>
        <w:rPr>
          <w:sz w:val="24"/>
          <w:szCs w:val="24"/>
        </w:rPr>
      </w:pPr>
    </w:p>
    <w:sectPr w:rsidR="002E18C2" w:rsidSect="00331E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rms.htffund.com/UI/api/WebOffice/PageLoad"/>
  </w:docVars>
  <w:rsids>
    <w:rsidRoot w:val="00621F0D"/>
    <w:rsid w:val="000752F1"/>
    <w:rsid w:val="001A552F"/>
    <w:rsid w:val="001B33DB"/>
    <w:rsid w:val="002173B5"/>
    <w:rsid w:val="002245CA"/>
    <w:rsid w:val="00260550"/>
    <w:rsid w:val="002813F9"/>
    <w:rsid w:val="002C78AE"/>
    <w:rsid w:val="002E18C2"/>
    <w:rsid w:val="00312474"/>
    <w:rsid w:val="00331E1D"/>
    <w:rsid w:val="004134EF"/>
    <w:rsid w:val="00521B42"/>
    <w:rsid w:val="0056221F"/>
    <w:rsid w:val="005C7199"/>
    <w:rsid w:val="005F63BF"/>
    <w:rsid w:val="00621F0D"/>
    <w:rsid w:val="006337FE"/>
    <w:rsid w:val="0064196B"/>
    <w:rsid w:val="00642816"/>
    <w:rsid w:val="00665057"/>
    <w:rsid w:val="006B2220"/>
    <w:rsid w:val="006D62F8"/>
    <w:rsid w:val="006D6C64"/>
    <w:rsid w:val="00747464"/>
    <w:rsid w:val="007A2088"/>
    <w:rsid w:val="007D51B6"/>
    <w:rsid w:val="007D748A"/>
    <w:rsid w:val="009B5393"/>
    <w:rsid w:val="009B6407"/>
    <w:rsid w:val="00A737CE"/>
    <w:rsid w:val="00A77F3C"/>
    <w:rsid w:val="00AC7140"/>
    <w:rsid w:val="00AD7934"/>
    <w:rsid w:val="00AF1942"/>
    <w:rsid w:val="00AF2959"/>
    <w:rsid w:val="00AF686A"/>
    <w:rsid w:val="00B2385D"/>
    <w:rsid w:val="00BB6457"/>
    <w:rsid w:val="00BF106A"/>
    <w:rsid w:val="00C56507"/>
    <w:rsid w:val="00CB2436"/>
    <w:rsid w:val="00CE17D6"/>
    <w:rsid w:val="00D06ED1"/>
    <w:rsid w:val="00DC4347"/>
    <w:rsid w:val="00E7530A"/>
    <w:rsid w:val="00E826CE"/>
    <w:rsid w:val="00EB4674"/>
    <w:rsid w:val="00EC547D"/>
    <w:rsid w:val="00EE7401"/>
    <w:rsid w:val="00EF3BA5"/>
    <w:rsid w:val="00F5064A"/>
    <w:rsid w:val="00F72C9A"/>
    <w:rsid w:val="00F73B15"/>
    <w:rsid w:val="00F90AB0"/>
    <w:rsid w:val="00FD105C"/>
    <w:rsid w:val="00FF1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1D"/>
    <w:pPr>
      <w:widowControl w:val="0"/>
      <w:jc w:val="both"/>
    </w:pPr>
  </w:style>
  <w:style w:type="paragraph" w:styleId="2">
    <w:name w:val="heading 2"/>
    <w:basedOn w:val="a"/>
    <w:next w:val="a"/>
    <w:link w:val="2Char"/>
    <w:qFormat/>
    <w:rsid w:val="002173B5"/>
    <w:pPr>
      <w:keepNext/>
      <w:keepLines/>
      <w:spacing w:before="260" w:after="260" w:line="413" w:lineRule="auto"/>
      <w:outlineLvl w:val="1"/>
    </w:pPr>
    <w:rPr>
      <w:rFonts w:ascii="Arial" w:eastAsia="黑体" w:hAnsi="Arial" w:cs="Times New Roman"/>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816"/>
    <w:rPr>
      <w:sz w:val="18"/>
      <w:szCs w:val="18"/>
    </w:rPr>
  </w:style>
  <w:style w:type="paragraph" w:styleId="a4">
    <w:name w:val="footer"/>
    <w:basedOn w:val="a"/>
    <w:link w:val="Char0"/>
    <w:uiPriority w:val="99"/>
    <w:unhideWhenUsed/>
    <w:rsid w:val="00642816"/>
    <w:pPr>
      <w:tabs>
        <w:tab w:val="center" w:pos="4153"/>
        <w:tab w:val="right" w:pos="8306"/>
      </w:tabs>
      <w:snapToGrid w:val="0"/>
      <w:jc w:val="left"/>
    </w:pPr>
    <w:rPr>
      <w:sz w:val="18"/>
      <w:szCs w:val="18"/>
    </w:rPr>
  </w:style>
  <w:style w:type="character" w:customStyle="1" w:styleId="Char0">
    <w:name w:val="页脚 Char"/>
    <w:basedOn w:val="a0"/>
    <w:link w:val="a4"/>
    <w:uiPriority w:val="99"/>
    <w:rsid w:val="00642816"/>
    <w:rPr>
      <w:sz w:val="18"/>
      <w:szCs w:val="18"/>
    </w:rPr>
  </w:style>
  <w:style w:type="character" w:customStyle="1" w:styleId="2Char">
    <w:name w:val="标题 2 Char"/>
    <w:basedOn w:val="a0"/>
    <w:link w:val="2"/>
    <w:rsid w:val="002173B5"/>
    <w:rPr>
      <w:rFonts w:ascii="Arial" w:eastAsia="黑体" w:hAnsi="Arial" w:cs="Times New Roman"/>
      <w:b/>
      <w:sz w:val="32"/>
      <w:szCs w:val="20"/>
      <w:lang/>
    </w:rPr>
  </w:style>
  <w:style w:type="character" w:styleId="a5">
    <w:name w:val="annotation reference"/>
    <w:uiPriority w:val="99"/>
    <w:semiHidden/>
    <w:unhideWhenUsed/>
    <w:rsid w:val="002173B5"/>
    <w:rPr>
      <w:sz w:val="21"/>
      <w:szCs w:val="21"/>
    </w:rPr>
  </w:style>
  <w:style w:type="paragraph" w:styleId="a6">
    <w:name w:val="annotation text"/>
    <w:basedOn w:val="a"/>
    <w:link w:val="Char1"/>
    <w:uiPriority w:val="99"/>
    <w:semiHidden/>
    <w:unhideWhenUsed/>
    <w:rsid w:val="002173B5"/>
    <w:pPr>
      <w:jc w:val="left"/>
    </w:pPr>
    <w:rPr>
      <w:rFonts w:ascii="Calibri" w:eastAsia="宋体" w:hAnsi="Calibri" w:cs="Times New Roman"/>
    </w:rPr>
  </w:style>
  <w:style w:type="character" w:customStyle="1" w:styleId="Char1">
    <w:name w:val="批注文字 Char"/>
    <w:basedOn w:val="a0"/>
    <w:link w:val="a6"/>
    <w:uiPriority w:val="99"/>
    <w:semiHidden/>
    <w:rsid w:val="002173B5"/>
    <w:rPr>
      <w:rFonts w:ascii="Calibri" w:eastAsia="宋体" w:hAnsi="Calibri" w:cs="Times New Roman"/>
    </w:rPr>
  </w:style>
  <w:style w:type="paragraph" w:styleId="a7">
    <w:name w:val="Balloon Text"/>
    <w:basedOn w:val="a"/>
    <w:link w:val="Char2"/>
    <w:uiPriority w:val="99"/>
    <w:semiHidden/>
    <w:unhideWhenUsed/>
    <w:rsid w:val="002173B5"/>
    <w:rPr>
      <w:sz w:val="18"/>
      <w:szCs w:val="18"/>
    </w:rPr>
  </w:style>
  <w:style w:type="character" w:customStyle="1" w:styleId="Char2">
    <w:name w:val="批注框文本 Char"/>
    <w:basedOn w:val="a0"/>
    <w:link w:val="a7"/>
    <w:uiPriority w:val="99"/>
    <w:semiHidden/>
    <w:rsid w:val="002173B5"/>
    <w:rPr>
      <w:sz w:val="18"/>
      <w:szCs w:val="18"/>
    </w:rPr>
  </w:style>
  <w:style w:type="paragraph" w:styleId="a8">
    <w:name w:val="annotation subject"/>
    <w:basedOn w:val="a6"/>
    <w:next w:val="a6"/>
    <w:link w:val="Char3"/>
    <w:uiPriority w:val="99"/>
    <w:semiHidden/>
    <w:unhideWhenUsed/>
    <w:rsid w:val="0064196B"/>
    <w:rPr>
      <w:rFonts w:asciiTheme="minorHAnsi" w:eastAsiaTheme="minorEastAsia" w:hAnsiTheme="minorHAnsi" w:cstheme="minorBidi"/>
      <w:b/>
      <w:bCs/>
    </w:rPr>
  </w:style>
  <w:style w:type="character" w:customStyle="1" w:styleId="Char3">
    <w:name w:val="批注主题 Char"/>
    <w:basedOn w:val="Char1"/>
    <w:link w:val="a8"/>
    <w:uiPriority w:val="99"/>
    <w:semiHidden/>
    <w:rsid w:val="0064196B"/>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4</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ZHONGM</cp:lastModifiedBy>
  <cp:revision>2</cp:revision>
  <dcterms:created xsi:type="dcterms:W3CDTF">2024-10-08T16:04:00Z</dcterms:created>
  <dcterms:modified xsi:type="dcterms:W3CDTF">2024-10-08T16:04:00Z</dcterms:modified>
</cp:coreProperties>
</file>