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0E4" w:rsidRDefault="0078586A" w:rsidP="00002990">
      <w:pPr>
        <w:autoSpaceDE/>
        <w:autoSpaceDN/>
        <w:spacing w:line="360" w:lineRule="auto"/>
        <w:jc w:val="center"/>
        <w:rPr>
          <w:rFonts w:ascii="Times New Roman" w:hAnsi="Times New Roman" w:cs="Times New Roman"/>
          <w:b/>
          <w:kern w:val="2"/>
          <w:sz w:val="30"/>
          <w:szCs w:val="30"/>
          <w:lang w:val="en-US" w:bidi="ar-SA"/>
        </w:rPr>
      </w:pPr>
      <w:r w:rsidRPr="00002990">
        <w:rPr>
          <w:rFonts w:ascii="Times New Roman" w:hAnsi="Times New Roman" w:cs="Times New Roman" w:hint="eastAsia"/>
          <w:b/>
          <w:kern w:val="2"/>
          <w:sz w:val="30"/>
          <w:szCs w:val="30"/>
          <w:lang w:val="en-US" w:bidi="ar-SA"/>
        </w:rPr>
        <w:t>西藏东财基金管理有限公司</w:t>
      </w:r>
    </w:p>
    <w:p w:rsidR="00E33A9E" w:rsidRPr="00002990" w:rsidRDefault="0078586A" w:rsidP="00002990">
      <w:pPr>
        <w:autoSpaceDE/>
        <w:autoSpaceDN/>
        <w:spacing w:line="360" w:lineRule="auto"/>
        <w:jc w:val="center"/>
        <w:rPr>
          <w:rFonts w:ascii="Times New Roman" w:hAnsi="Times New Roman" w:cs="Times New Roman"/>
          <w:b/>
          <w:kern w:val="2"/>
          <w:sz w:val="30"/>
          <w:szCs w:val="30"/>
          <w:lang w:val="en-US" w:bidi="ar-SA"/>
        </w:rPr>
      </w:pPr>
      <w:r w:rsidRPr="00002990">
        <w:rPr>
          <w:rFonts w:ascii="Times New Roman" w:hAnsi="Times New Roman" w:cs="Times New Roman" w:hint="eastAsia"/>
          <w:b/>
          <w:kern w:val="2"/>
          <w:sz w:val="30"/>
          <w:szCs w:val="30"/>
          <w:lang w:val="en-US" w:bidi="ar-SA"/>
        </w:rPr>
        <w:t>关于更新</w:t>
      </w:r>
      <w:r w:rsidR="00A96CF6" w:rsidRPr="00002990">
        <w:rPr>
          <w:rFonts w:ascii="Times New Roman" w:hAnsi="Times New Roman" w:cs="Times New Roman" w:hint="eastAsia"/>
          <w:b/>
          <w:kern w:val="2"/>
          <w:sz w:val="30"/>
          <w:szCs w:val="30"/>
          <w:lang w:val="en-US" w:bidi="ar-SA"/>
        </w:rPr>
        <w:t>旗下</w:t>
      </w:r>
      <w:r w:rsidRPr="00002990">
        <w:rPr>
          <w:rFonts w:ascii="Times New Roman" w:hAnsi="Times New Roman" w:cs="Times New Roman" w:hint="eastAsia"/>
          <w:b/>
          <w:kern w:val="2"/>
          <w:sz w:val="30"/>
          <w:szCs w:val="30"/>
          <w:lang w:val="en-US" w:bidi="ar-SA"/>
        </w:rPr>
        <w:t>基金产品风险等级</w:t>
      </w:r>
      <w:r w:rsidR="009C344B" w:rsidRPr="00002990">
        <w:rPr>
          <w:rFonts w:ascii="Times New Roman" w:hAnsi="Times New Roman" w:cs="Times New Roman"/>
          <w:b/>
          <w:kern w:val="2"/>
          <w:sz w:val="30"/>
          <w:szCs w:val="30"/>
          <w:lang w:val="en-US" w:bidi="ar-SA"/>
        </w:rPr>
        <w:t>评价结果</w:t>
      </w:r>
      <w:r w:rsidRPr="00002990">
        <w:rPr>
          <w:rFonts w:ascii="Times New Roman" w:hAnsi="Times New Roman" w:cs="Times New Roman" w:hint="eastAsia"/>
          <w:b/>
          <w:kern w:val="2"/>
          <w:sz w:val="30"/>
          <w:szCs w:val="30"/>
          <w:lang w:val="en-US" w:bidi="ar-SA"/>
        </w:rPr>
        <w:t>的公告</w:t>
      </w:r>
    </w:p>
    <w:p w:rsidR="004C4F60" w:rsidRDefault="004C4F60" w:rsidP="00A96CF6">
      <w:pPr>
        <w:spacing w:line="360" w:lineRule="auto"/>
        <w:jc w:val="center"/>
        <w:rPr>
          <w:rFonts w:asciiTheme="minorEastAsia" w:eastAsiaTheme="minorEastAsia" w:hAnsiTheme="minorEastAsia"/>
          <w:b/>
          <w:sz w:val="36"/>
          <w:szCs w:val="36"/>
        </w:rPr>
      </w:pPr>
    </w:p>
    <w:p w:rsidR="0078586A" w:rsidRPr="00002990" w:rsidRDefault="0078586A" w:rsidP="00002990">
      <w:pPr>
        <w:autoSpaceDE/>
        <w:autoSpaceDN/>
        <w:spacing w:line="360" w:lineRule="auto"/>
        <w:ind w:firstLineChars="202" w:firstLine="485"/>
        <w:jc w:val="both"/>
        <w:rPr>
          <w:rFonts w:cs="Times New Roman"/>
          <w:kern w:val="2"/>
          <w:sz w:val="24"/>
          <w:szCs w:val="24"/>
          <w:lang w:val="en-US" w:bidi="ar-SA"/>
        </w:rPr>
      </w:pPr>
      <w:r w:rsidRPr="00002990">
        <w:rPr>
          <w:rFonts w:cs="Times New Roman" w:hint="eastAsia"/>
          <w:kern w:val="2"/>
          <w:sz w:val="24"/>
          <w:szCs w:val="24"/>
          <w:lang w:val="en-US" w:bidi="ar-SA"/>
        </w:rPr>
        <w:t>根据</w:t>
      </w:r>
      <w:r w:rsidRPr="00002990">
        <w:rPr>
          <w:rFonts w:cs="Times New Roman"/>
          <w:kern w:val="2"/>
          <w:sz w:val="24"/>
          <w:szCs w:val="24"/>
          <w:lang w:val="en-US" w:bidi="ar-SA"/>
        </w:rPr>
        <w:t>《证券期货投资者适当性管理办法》</w:t>
      </w:r>
      <w:r w:rsidR="0008618D" w:rsidRPr="00002990">
        <w:rPr>
          <w:rFonts w:cs="Times New Roman" w:hint="eastAsia"/>
          <w:kern w:val="2"/>
          <w:sz w:val="24"/>
          <w:szCs w:val="24"/>
          <w:lang w:val="en-US" w:bidi="ar-SA"/>
        </w:rPr>
        <w:t>、</w:t>
      </w:r>
      <w:r w:rsidRPr="00002990">
        <w:rPr>
          <w:rFonts w:cs="Times New Roman"/>
          <w:kern w:val="2"/>
          <w:sz w:val="24"/>
          <w:szCs w:val="24"/>
          <w:lang w:val="en-US" w:bidi="ar-SA"/>
        </w:rPr>
        <w:t>《基金募集机构投资者适当性管理实施指引（试行）》</w:t>
      </w:r>
      <w:r w:rsidR="0030274C" w:rsidRPr="00002990">
        <w:rPr>
          <w:rFonts w:cs="Times New Roman"/>
          <w:kern w:val="2"/>
          <w:sz w:val="24"/>
          <w:szCs w:val="24"/>
          <w:lang w:val="en-US" w:bidi="ar-SA"/>
        </w:rPr>
        <w:t>等法规</w:t>
      </w:r>
      <w:r w:rsidRPr="00002990">
        <w:rPr>
          <w:rFonts w:cs="Times New Roman"/>
          <w:kern w:val="2"/>
          <w:sz w:val="24"/>
          <w:szCs w:val="24"/>
          <w:lang w:val="en-US" w:bidi="ar-SA"/>
        </w:rPr>
        <w:t>的要求，西藏东财基金管理有限公司</w:t>
      </w:r>
      <w:r w:rsidR="0030109D" w:rsidRPr="00002990">
        <w:rPr>
          <w:rFonts w:cs="Times New Roman" w:hint="eastAsia"/>
          <w:kern w:val="2"/>
          <w:sz w:val="24"/>
          <w:szCs w:val="24"/>
          <w:lang w:val="en-US" w:bidi="ar-SA"/>
        </w:rPr>
        <w:t>（以下简称“本公司”）</w:t>
      </w:r>
      <w:r w:rsidRPr="00002990">
        <w:rPr>
          <w:rFonts w:cs="Times New Roman"/>
          <w:kern w:val="2"/>
          <w:sz w:val="24"/>
          <w:szCs w:val="24"/>
          <w:lang w:val="en-US" w:bidi="ar-SA"/>
        </w:rPr>
        <w:t>严格遵循投资者利益优先原则、客观性原则、有效性原则、差异性原则，积极落实投资者适当性管理，自</w:t>
      </w:r>
      <w:r w:rsidR="0086071B" w:rsidRPr="00002990">
        <w:rPr>
          <w:rFonts w:cs="Times New Roman"/>
          <w:kern w:val="2"/>
          <w:sz w:val="24"/>
          <w:szCs w:val="24"/>
          <w:lang w:val="en-US" w:bidi="ar-SA"/>
        </w:rPr>
        <w:t>202</w:t>
      </w:r>
      <w:r w:rsidR="0086071B">
        <w:rPr>
          <w:rFonts w:cs="Times New Roman"/>
          <w:kern w:val="2"/>
          <w:sz w:val="24"/>
          <w:szCs w:val="24"/>
          <w:lang w:val="en-US" w:bidi="ar-SA"/>
        </w:rPr>
        <w:t>4</w:t>
      </w:r>
      <w:r w:rsidR="005B57A4" w:rsidRPr="00002990">
        <w:rPr>
          <w:rFonts w:cs="Times New Roman"/>
          <w:kern w:val="2"/>
          <w:sz w:val="24"/>
          <w:szCs w:val="24"/>
          <w:lang w:val="en-US" w:bidi="ar-SA"/>
        </w:rPr>
        <w:t>年1月</w:t>
      </w:r>
      <w:r w:rsidR="005B57A4">
        <w:rPr>
          <w:rFonts w:cs="Times New Roman"/>
          <w:kern w:val="2"/>
          <w:sz w:val="24"/>
          <w:szCs w:val="24"/>
          <w:lang w:val="en-US" w:bidi="ar-SA"/>
        </w:rPr>
        <w:t>31</w:t>
      </w:r>
      <w:r w:rsidRPr="00002990">
        <w:rPr>
          <w:rFonts w:cs="Times New Roman"/>
          <w:kern w:val="2"/>
          <w:sz w:val="24"/>
          <w:szCs w:val="24"/>
          <w:lang w:val="en-US" w:bidi="ar-SA"/>
        </w:rPr>
        <w:t>日起更新</w:t>
      </w:r>
      <w:r w:rsidR="002239E6" w:rsidRPr="00002990">
        <w:rPr>
          <w:rFonts w:cs="Times New Roman"/>
          <w:kern w:val="2"/>
          <w:sz w:val="24"/>
          <w:szCs w:val="24"/>
          <w:lang w:val="en-US" w:bidi="ar-SA"/>
        </w:rPr>
        <w:t>旗下</w:t>
      </w:r>
      <w:r w:rsidRPr="00002990">
        <w:rPr>
          <w:rFonts w:cs="Times New Roman"/>
          <w:kern w:val="2"/>
          <w:sz w:val="24"/>
          <w:szCs w:val="24"/>
          <w:lang w:val="en-US" w:bidi="ar-SA"/>
        </w:rPr>
        <w:t>基金产品</w:t>
      </w:r>
      <w:r w:rsidR="002239E6" w:rsidRPr="00002990">
        <w:rPr>
          <w:rFonts w:cs="Times New Roman"/>
          <w:kern w:val="2"/>
          <w:sz w:val="24"/>
          <w:szCs w:val="24"/>
          <w:lang w:val="en-US" w:bidi="ar-SA"/>
        </w:rPr>
        <w:t>的</w:t>
      </w:r>
      <w:r w:rsidRPr="00002990">
        <w:rPr>
          <w:rFonts w:cs="Times New Roman"/>
          <w:kern w:val="2"/>
          <w:sz w:val="24"/>
          <w:szCs w:val="24"/>
          <w:lang w:val="en-US" w:bidi="ar-SA"/>
        </w:rPr>
        <w:t>风险等级</w:t>
      </w:r>
      <w:r w:rsidR="002239E6" w:rsidRPr="00002990">
        <w:rPr>
          <w:rFonts w:cs="Times New Roman"/>
          <w:kern w:val="2"/>
          <w:sz w:val="24"/>
          <w:szCs w:val="24"/>
          <w:lang w:val="en-US" w:bidi="ar-SA"/>
        </w:rPr>
        <w:t>评价结果</w:t>
      </w:r>
      <w:r w:rsidRPr="00002990">
        <w:rPr>
          <w:rFonts w:cs="Times New Roman"/>
          <w:kern w:val="2"/>
          <w:sz w:val="24"/>
          <w:szCs w:val="24"/>
          <w:lang w:val="en-US" w:bidi="ar-SA"/>
        </w:rPr>
        <w:t xml:space="preserve">。 </w:t>
      </w:r>
    </w:p>
    <w:p w:rsidR="0078586A" w:rsidRPr="00002990" w:rsidRDefault="0078586A" w:rsidP="00002990">
      <w:pPr>
        <w:autoSpaceDE/>
        <w:autoSpaceDN/>
        <w:spacing w:line="360" w:lineRule="auto"/>
        <w:ind w:firstLineChars="202" w:firstLine="485"/>
        <w:jc w:val="both"/>
        <w:rPr>
          <w:rFonts w:cs="Times New Roman"/>
          <w:kern w:val="2"/>
          <w:sz w:val="24"/>
          <w:szCs w:val="24"/>
          <w:lang w:val="en-US" w:bidi="ar-SA"/>
        </w:rPr>
      </w:pPr>
      <w:r w:rsidRPr="00002990">
        <w:rPr>
          <w:rFonts w:cs="Times New Roman" w:hint="eastAsia"/>
          <w:kern w:val="2"/>
          <w:sz w:val="24"/>
          <w:szCs w:val="24"/>
          <w:lang w:val="en-US" w:bidi="ar-SA"/>
        </w:rPr>
        <w:t>本公司提供的基金产品的风险等级，按照风险由低到高顺序，依次划分为：低风险</w:t>
      </w:r>
      <w:r w:rsidRPr="00002990">
        <w:rPr>
          <w:rFonts w:cs="Times New Roman"/>
          <w:kern w:val="2"/>
          <w:sz w:val="24"/>
          <w:szCs w:val="24"/>
          <w:lang w:val="en-US" w:bidi="ar-SA"/>
        </w:rPr>
        <w:t>-R1、中低风险-R2、中风险-R3、中高风险-R4、高风险-R5五个等级。</w:t>
      </w:r>
      <w:r w:rsidR="009C344B" w:rsidRPr="00002990">
        <w:rPr>
          <w:rFonts w:cs="Times New Roman" w:hint="eastAsia"/>
          <w:kern w:val="2"/>
          <w:sz w:val="24"/>
          <w:szCs w:val="24"/>
          <w:lang w:val="en-US" w:bidi="ar-SA"/>
        </w:rPr>
        <w:t>基金风险等级评价</w:t>
      </w:r>
      <w:r w:rsidR="000930A2" w:rsidRPr="00002990">
        <w:rPr>
          <w:rFonts w:cs="Times New Roman" w:hint="eastAsia"/>
          <w:kern w:val="2"/>
          <w:sz w:val="24"/>
          <w:szCs w:val="24"/>
          <w:lang w:val="en-US" w:bidi="ar-SA"/>
        </w:rPr>
        <w:t>方法详细介绍请参阅本公司官网（</w:t>
      </w:r>
      <w:r w:rsidR="000930A2" w:rsidRPr="00002990">
        <w:rPr>
          <w:rFonts w:cs="Times New Roman"/>
          <w:kern w:val="2"/>
          <w:sz w:val="24"/>
          <w:szCs w:val="24"/>
          <w:lang w:val="en-US" w:bidi="ar-SA"/>
        </w:rPr>
        <w:t>www.dongcaijijin.com）发布在“投教专栏”栏目下的《</w:t>
      </w:r>
      <w:r w:rsidR="001B3640" w:rsidRPr="001B3640">
        <w:rPr>
          <w:rFonts w:cs="Times New Roman" w:hint="eastAsia"/>
          <w:kern w:val="2"/>
          <w:sz w:val="24"/>
          <w:szCs w:val="24"/>
          <w:lang w:val="en-US" w:bidi="ar-SA"/>
        </w:rPr>
        <w:t>西藏东财基金管理有限公司基金产品风险等级</w:t>
      </w:r>
      <w:r w:rsidR="008A34B9">
        <w:rPr>
          <w:rFonts w:cs="Times New Roman" w:hint="eastAsia"/>
          <w:kern w:val="2"/>
          <w:sz w:val="24"/>
          <w:szCs w:val="24"/>
          <w:lang w:val="en-US" w:bidi="ar-SA"/>
        </w:rPr>
        <w:t>划分方法及其说明</w:t>
      </w:r>
      <w:r w:rsidR="000930A2" w:rsidRPr="00002990">
        <w:rPr>
          <w:rFonts w:cs="Times New Roman"/>
          <w:kern w:val="2"/>
          <w:sz w:val="24"/>
          <w:szCs w:val="24"/>
          <w:lang w:val="en-US" w:bidi="ar-SA"/>
        </w:rPr>
        <w:t>》。</w:t>
      </w:r>
    </w:p>
    <w:p w:rsidR="0030109D" w:rsidRDefault="000930A2" w:rsidP="00002990">
      <w:pPr>
        <w:autoSpaceDE/>
        <w:autoSpaceDN/>
        <w:spacing w:line="360" w:lineRule="auto"/>
        <w:ind w:firstLineChars="202" w:firstLine="485"/>
        <w:jc w:val="both"/>
        <w:rPr>
          <w:rFonts w:cs="Times New Roman"/>
          <w:kern w:val="2"/>
          <w:sz w:val="24"/>
          <w:szCs w:val="24"/>
          <w:lang w:val="en-US" w:bidi="ar-SA"/>
        </w:rPr>
      </w:pPr>
      <w:r w:rsidRPr="00002990">
        <w:rPr>
          <w:rFonts w:cs="Times New Roman" w:hint="eastAsia"/>
          <w:kern w:val="2"/>
          <w:sz w:val="24"/>
          <w:szCs w:val="24"/>
          <w:lang w:val="en-US" w:bidi="ar-SA"/>
        </w:rPr>
        <w:t>本公司将在每年</w:t>
      </w:r>
      <w:r w:rsidR="00876A36">
        <w:rPr>
          <w:rFonts w:cs="Times New Roman" w:hint="eastAsia"/>
          <w:kern w:val="2"/>
          <w:sz w:val="24"/>
          <w:szCs w:val="24"/>
          <w:lang w:val="en-US" w:bidi="ar-SA"/>
        </w:rPr>
        <w:t>度</w:t>
      </w:r>
      <w:r w:rsidRPr="00002990">
        <w:rPr>
          <w:rFonts w:cs="Times New Roman" w:hint="eastAsia"/>
          <w:kern w:val="2"/>
          <w:sz w:val="24"/>
          <w:szCs w:val="24"/>
          <w:lang w:val="en-US" w:bidi="ar-SA"/>
        </w:rPr>
        <w:t>第一个月</w:t>
      </w:r>
      <w:r w:rsidR="00876A36">
        <w:rPr>
          <w:rFonts w:cs="Times New Roman" w:hint="eastAsia"/>
          <w:kern w:val="2"/>
          <w:sz w:val="24"/>
          <w:szCs w:val="24"/>
          <w:lang w:val="en-US" w:bidi="ar-SA"/>
        </w:rPr>
        <w:t>内</w:t>
      </w:r>
      <w:r w:rsidRPr="00002990">
        <w:rPr>
          <w:rFonts w:cs="Times New Roman" w:hint="eastAsia"/>
          <w:kern w:val="2"/>
          <w:sz w:val="24"/>
          <w:szCs w:val="24"/>
          <w:lang w:val="en-US" w:bidi="ar-SA"/>
        </w:rPr>
        <w:t>对公司旗下管理的</w:t>
      </w:r>
      <w:r w:rsidR="00876A36">
        <w:rPr>
          <w:rFonts w:cs="Times New Roman" w:hint="eastAsia"/>
          <w:kern w:val="2"/>
          <w:sz w:val="24"/>
          <w:szCs w:val="24"/>
          <w:lang w:val="en-US" w:bidi="ar-SA"/>
        </w:rPr>
        <w:t>基金</w:t>
      </w:r>
      <w:r w:rsidRPr="00002990">
        <w:rPr>
          <w:rFonts w:cs="Times New Roman" w:hint="eastAsia"/>
          <w:kern w:val="2"/>
          <w:sz w:val="24"/>
          <w:szCs w:val="24"/>
          <w:lang w:val="en-US" w:bidi="ar-SA"/>
        </w:rPr>
        <w:t>产品风险等级</w:t>
      </w:r>
      <w:r w:rsidR="00876A36">
        <w:rPr>
          <w:rFonts w:cs="Times New Roman" w:hint="eastAsia"/>
          <w:kern w:val="2"/>
          <w:sz w:val="24"/>
          <w:szCs w:val="24"/>
          <w:lang w:val="en-US" w:bidi="ar-SA"/>
        </w:rPr>
        <w:t>进行重新评价。</w:t>
      </w:r>
      <w:r w:rsidR="000D6565" w:rsidRPr="00002990">
        <w:rPr>
          <w:rFonts w:cs="Times New Roman" w:hint="eastAsia"/>
          <w:kern w:val="2"/>
          <w:sz w:val="24"/>
          <w:szCs w:val="24"/>
          <w:lang w:val="en-US" w:bidi="ar-SA"/>
        </w:rPr>
        <w:t>本次</w:t>
      </w:r>
      <w:r w:rsidR="009C344B" w:rsidRPr="00002990">
        <w:rPr>
          <w:rFonts w:cs="Times New Roman" w:hint="eastAsia"/>
          <w:kern w:val="2"/>
          <w:sz w:val="24"/>
          <w:szCs w:val="24"/>
          <w:lang w:val="en-US" w:bidi="ar-SA"/>
        </w:rPr>
        <w:t>基金产品风险等级</w:t>
      </w:r>
      <w:r w:rsidR="00876A36">
        <w:rPr>
          <w:rFonts w:cs="Times New Roman" w:hint="eastAsia"/>
          <w:kern w:val="2"/>
          <w:sz w:val="24"/>
          <w:szCs w:val="24"/>
          <w:lang w:val="en-US" w:bidi="ar-SA"/>
        </w:rPr>
        <w:t>评价</w:t>
      </w:r>
      <w:r w:rsidR="000D6565" w:rsidRPr="00002990">
        <w:rPr>
          <w:rFonts w:cs="Times New Roman" w:hint="eastAsia"/>
          <w:kern w:val="2"/>
          <w:sz w:val="24"/>
          <w:szCs w:val="24"/>
          <w:lang w:val="en-US" w:bidi="ar-SA"/>
        </w:rPr>
        <w:t>结果</w:t>
      </w:r>
      <w:r w:rsidR="009C344B" w:rsidRPr="00002990">
        <w:rPr>
          <w:rFonts w:cs="Times New Roman" w:hint="eastAsia"/>
          <w:kern w:val="2"/>
          <w:sz w:val="24"/>
          <w:szCs w:val="24"/>
          <w:lang w:val="en-US" w:bidi="ar-SA"/>
        </w:rPr>
        <w:t>更新</w:t>
      </w:r>
      <w:r w:rsidR="000D6565" w:rsidRPr="00002990">
        <w:rPr>
          <w:rFonts w:cs="Times New Roman" w:hint="eastAsia"/>
          <w:kern w:val="2"/>
          <w:sz w:val="24"/>
          <w:szCs w:val="24"/>
          <w:lang w:val="en-US" w:bidi="ar-SA"/>
        </w:rPr>
        <w:t>如下：</w:t>
      </w:r>
    </w:p>
    <w:p w:rsidR="00655D92" w:rsidRPr="00876A36" w:rsidRDefault="00655D92" w:rsidP="00002990">
      <w:pPr>
        <w:autoSpaceDE/>
        <w:autoSpaceDN/>
        <w:spacing w:line="360" w:lineRule="auto"/>
        <w:ind w:firstLineChars="202" w:firstLine="485"/>
        <w:jc w:val="both"/>
        <w:rPr>
          <w:rFonts w:cs="Times New Roman"/>
          <w:kern w:val="2"/>
          <w:sz w:val="24"/>
          <w:szCs w:val="24"/>
          <w:lang w:val="en-US" w:bidi="ar-SA"/>
        </w:rPr>
      </w:pPr>
    </w:p>
    <w:tbl>
      <w:tblPr>
        <w:tblStyle w:val="a3"/>
        <w:tblW w:w="8500" w:type="dxa"/>
        <w:jc w:val="center"/>
        <w:tblLayout w:type="fixed"/>
        <w:tblLook w:val="04A0"/>
      </w:tblPr>
      <w:tblGrid>
        <w:gridCol w:w="1271"/>
        <w:gridCol w:w="4111"/>
        <w:gridCol w:w="1843"/>
        <w:gridCol w:w="1275"/>
      </w:tblGrid>
      <w:tr w:rsidR="0005450E" w:rsidRPr="00C575FF" w:rsidTr="00002990">
        <w:trPr>
          <w:jc w:val="center"/>
        </w:trPr>
        <w:tc>
          <w:tcPr>
            <w:tcW w:w="1271" w:type="dxa"/>
            <w:vAlign w:val="center"/>
          </w:tcPr>
          <w:p w:rsidR="0005450E" w:rsidRPr="00002990" w:rsidRDefault="0005450E" w:rsidP="0005450E">
            <w:pPr>
              <w:spacing w:line="360" w:lineRule="auto"/>
              <w:jc w:val="center"/>
              <w:rPr>
                <w:rFonts w:asciiTheme="minorEastAsia" w:eastAsiaTheme="minorEastAsia" w:hAnsiTheme="minorEastAsia"/>
                <w:b/>
                <w:sz w:val="24"/>
                <w:szCs w:val="28"/>
              </w:rPr>
            </w:pPr>
            <w:r w:rsidRPr="00002990">
              <w:rPr>
                <w:rFonts w:asciiTheme="minorEastAsia" w:eastAsiaTheme="minorEastAsia" w:hAnsiTheme="minorEastAsia"/>
                <w:b/>
                <w:sz w:val="24"/>
                <w:szCs w:val="28"/>
              </w:rPr>
              <w:t>代码</w:t>
            </w:r>
          </w:p>
        </w:tc>
        <w:tc>
          <w:tcPr>
            <w:tcW w:w="4111" w:type="dxa"/>
            <w:vAlign w:val="center"/>
          </w:tcPr>
          <w:p w:rsidR="0005450E" w:rsidRPr="00002990" w:rsidRDefault="0005450E" w:rsidP="0005450E">
            <w:pPr>
              <w:spacing w:line="360" w:lineRule="auto"/>
              <w:jc w:val="center"/>
              <w:rPr>
                <w:rFonts w:asciiTheme="minorEastAsia" w:eastAsiaTheme="minorEastAsia" w:hAnsiTheme="minorEastAsia"/>
                <w:b/>
                <w:sz w:val="24"/>
                <w:szCs w:val="28"/>
              </w:rPr>
            </w:pPr>
            <w:r w:rsidRPr="00002990">
              <w:rPr>
                <w:rFonts w:asciiTheme="minorEastAsia" w:eastAsiaTheme="minorEastAsia" w:hAnsiTheme="minorEastAsia"/>
                <w:b/>
                <w:sz w:val="24"/>
                <w:szCs w:val="28"/>
              </w:rPr>
              <w:t>产品名称</w:t>
            </w:r>
          </w:p>
        </w:tc>
        <w:tc>
          <w:tcPr>
            <w:tcW w:w="1843" w:type="dxa"/>
            <w:vAlign w:val="center"/>
          </w:tcPr>
          <w:p w:rsidR="0005450E" w:rsidRPr="00002990" w:rsidRDefault="0005450E" w:rsidP="0005450E">
            <w:pPr>
              <w:spacing w:line="360" w:lineRule="auto"/>
              <w:jc w:val="center"/>
              <w:rPr>
                <w:rFonts w:asciiTheme="minorEastAsia" w:eastAsiaTheme="minorEastAsia" w:hAnsiTheme="minorEastAsia"/>
                <w:b/>
                <w:sz w:val="24"/>
                <w:szCs w:val="28"/>
              </w:rPr>
            </w:pPr>
            <w:r w:rsidRPr="00002990">
              <w:rPr>
                <w:rFonts w:asciiTheme="minorEastAsia" w:eastAsiaTheme="minorEastAsia" w:hAnsiTheme="minorEastAsia" w:hint="eastAsia"/>
                <w:b/>
                <w:sz w:val="24"/>
                <w:szCs w:val="28"/>
              </w:rPr>
              <w:t>基金</w:t>
            </w:r>
            <w:r w:rsidRPr="00002990">
              <w:rPr>
                <w:rFonts w:asciiTheme="minorEastAsia" w:eastAsiaTheme="minorEastAsia" w:hAnsiTheme="minorEastAsia"/>
                <w:b/>
                <w:sz w:val="24"/>
                <w:szCs w:val="28"/>
              </w:rPr>
              <w:t>类型</w:t>
            </w:r>
          </w:p>
        </w:tc>
        <w:tc>
          <w:tcPr>
            <w:tcW w:w="1275" w:type="dxa"/>
            <w:vAlign w:val="center"/>
          </w:tcPr>
          <w:p w:rsidR="0005450E" w:rsidRPr="00002990" w:rsidRDefault="0005450E" w:rsidP="0005450E">
            <w:pPr>
              <w:spacing w:line="360" w:lineRule="auto"/>
              <w:jc w:val="center"/>
              <w:rPr>
                <w:rFonts w:asciiTheme="minorEastAsia" w:eastAsiaTheme="minorEastAsia" w:hAnsiTheme="minorEastAsia"/>
                <w:b/>
                <w:sz w:val="24"/>
                <w:szCs w:val="28"/>
              </w:rPr>
            </w:pPr>
            <w:r w:rsidRPr="00002990">
              <w:rPr>
                <w:rFonts w:asciiTheme="minorEastAsia" w:eastAsiaTheme="minorEastAsia" w:hAnsiTheme="minorEastAsia"/>
                <w:b/>
                <w:sz w:val="24"/>
                <w:szCs w:val="28"/>
              </w:rPr>
              <w:t>风险等级</w:t>
            </w:r>
          </w:p>
        </w:tc>
      </w:tr>
      <w:tr w:rsidR="0005450E" w:rsidRPr="00C575FF" w:rsidTr="00002990">
        <w:trPr>
          <w:jc w:val="center"/>
        </w:trPr>
        <w:tc>
          <w:tcPr>
            <w:tcW w:w="1271" w:type="dxa"/>
            <w:vAlign w:val="center"/>
          </w:tcPr>
          <w:p w:rsidR="0005450E" w:rsidRPr="00002990" w:rsidRDefault="0005450E" w:rsidP="0005450E">
            <w:pPr>
              <w:jc w:val="center"/>
              <w:rPr>
                <w:rFonts w:asciiTheme="minorEastAsia" w:eastAsiaTheme="minorEastAsia" w:hAnsiTheme="minorEastAsia"/>
                <w:sz w:val="24"/>
                <w:szCs w:val="28"/>
              </w:rPr>
            </w:pPr>
            <w:r w:rsidRPr="00002990">
              <w:rPr>
                <w:rFonts w:asciiTheme="minorEastAsia" w:eastAsiaTheme="minorEastAsia" w:hAnsiTheme="minorEastAsia"/>
                <w:sz w:val="24"/>
                <w:szCs w:val="28"/>
              </w:rPr>
              <w:t>008240</w:t>
            </w:r>
          </w:p>
        </w:tc>
        <w:tc>
          <w:tcPr>
            <w:tcW w:w="4111" w:type="dxa"/>
            <w:vAlign w:val="center"/>
          </w:tcPr>
          <w:p w:rsidR="0005450E" w:rsidRPr="00002990" w:rsidRDefault="0005450E" w:rsidP="00C575FF">
            <w:pPr>
              <w:jc w:val="both"/>
              <w:rPr>
                <w:rFonts w:asciiTheme="minorEastAsia" w:eastAsiaTheme="minorEastAsia" w:hAnsiTheme="minorEastAsia"/>
                <w:sz w:val="24"/>
                <w:szCs w:val="28"/>
              </w:rPr>
            </w:pPr>
            <w:r w:rsidRPr="00002990">
              <w:rPr>
                <w:rFonts w:asciiTheme="minorEastAsia" w:eastAsiaTheme="minorEastAsia" w:hAnsiTheme="minorEastAsia" w:hint="eastAsia"/>
                <w:sz w:val="24"/>
                <w:szCs w:val="28"/>
              </w:rPr>
              <w:t>西藏东财上证</w:t>
            </w:r>
            <w:r w:rsidRPr="00002990">
              <w:rPr>
                <w:rFonts w:asciiTheme="minorEastAsia" w:eastAsiaTheme="minorEastAsia" w:hAnsiTheme="minorEastAsia"/>
                <w:sz w:val="24"/>
                <w:szCs w:val="28"/>
              </w:rPr>
              <w:t>50指数型发起式证券投资基金A</w:t>
            </w:r>
          </w:p>
        </w:tc>
        <w:tc>
          <w:tcPr>
            <w:tcW w:w="1843" w:type="dxa"/>
            <w:vAlign w:val="center"/>
          </w:tcPr>
          <w:p w:rsidR="0005450E" w:rsidRPr="00002990" w:rsidRDefault="001E6467" w:rsidP="0005450E">
            <w:pPr>
              <w:jc w:val="center"/>
              <w:rPr>
                <w:rFonts w:asciiTheme="minorEastAsia" w:eastAsiaTheme="minorEastAsia" w:hAnsiTheme="minorEastAsia"/>
                <w:sz w:val="24"/>
                <w:szCs w:val="28"/>
              </w:rPr>
            </w:pPr>
            <w:r w:rsidRPr="00002990">
              <w:rPr>
                <w:rFonts w:asciiTheme="minorEastAsia" w:eastAsiaTheme="minorEastAsia" w:hAnsiTheme="minorEastAsia" w:hint="eastAsia"/>
                <w:sz w:val="24"/>
                <w:szCs w:val="28"/>
              </w:rPr>
              <w:t>股票型</w:t>
            </w:r>
          </w:p>
        </w:tc>
        <w:tc>
          <w:tcPr>
            <w:tcW w:w="1275" w:type="dxa"/>
            <w:vAlign w:val="center"/>
          </w:tcPr>
          <w:p w:rsidR="0005450E" w:rsidRPr="00002990" w:rsidRDefault="0005450E" w:rsidP="0005450E">
            <w:pPr>
              <w:spacing w:line="360" w:lineRule="auto"/>
              <w:jc w:val="center"/>
              <w:rPr>
                <w:rFonts w:asciiTheme="minorEastAsia" w:eastAsiaTheme="minorEastAsia" w:hAnsiTheme="minorEastAsia"/>
                <w:sz w:val="24"/>
                <w:szCs w:val="28"/>
              </w:rPr>
            </w:pPr>
            <w:r w:rsidRPr="00002990">
              <w:rPr>
                <w:rFonts w:asciiTheme="minorEastAsia" w:eastAsiaTheme="minorEastAsia" w:hAnsiTheme="minorEastAsia"/>
                <w:sz w:val="24"/>
                <w:szCs w:val="28"/>
              </w:rPr>
              <w:t>R3</w:t>
            </w:r>
          </w:p>
        </w:tc>
      </w:tr>
      <w:tr w:rsidR="0005450E" w:rsidRPr="00C575FF" w:rsidTr="00002990">
        <w:trPr>
          <w:jc w:val="center"/>
        </w:trPr>
        <w:tc>
          <w:tcPr>
            <w:tcW w:w="1271" w:type="dxa"/>
            <w:vAlign w:val="center"/>
          </w:tcPr>
          <w:p w:rsidR="0005450E" w:rsidRPr="00002990" w:rsidRDefault="0005450E" w:rsidP="0005450E">
            <w:pPr>
              <w:jc w:val="center"/>
              <w:rPr>
                <w:rFonts w:asciiTheme="minorEastAsia" w:eastAsiaTheme="minorEastAsia" w:hAnsiTheme="minorEastAsia"/>
                <w:sz w:val="24"/>
                <w:szCs w:val="28"/>
              </w:rPr>
            </w:pPr>
            <w:r w:rsidRPr="00002990">
              <w:rPr>
                <w:rFonts w:asciiTheme="minorEastAsia" w:eastAsiaTheme="minorEastAsia" w:hAnsiTheme="minorEastAsia"/>
                <w:sz w:val="24"/>
                <w:szCs w:val="28"/>
              </w:rPr>
              <w:t>008241</w:t>
            </w:r>
          </w:p>
        </w:tc>
        <w:tc>
          <w:tcPr>
            <w:tcW w:w="4111" w:type="dxa"/>
            <w:vAlign w:val="center"/>
          </w:tcPr>
          <w:p w:rsidR="0005450E" w:rsidRPr="00002990" w:rsidRDefault="0005450E" w:rsidP="00C575FF">
            <w:pPr>
              <w:jc w:val="both"/>
              <w:rPr>
                <w:rFonts w:asciiTheme="minorEastAsia" w:eastAsiaTheme="minorEastAsia" w:hAnsiTheme="minorEastAsia"/>
                <w:sz w:val="24"/>
                <w:szCs w:val="28"/>
              </w:rPr>
            </w:pPr>
            <w:r w:rsidRPr="00002990">
              <w:rPr>
                <w:rFonts w:asciiTheme="minorEastAsia" w:eastAsiaTheme="minorEastAsia" w:hAnsiTheme="minorEastAsia" w:hint="eastAsia"/>
                <w:sz w:val="24"/>
                <w:szCs w:val="28"/>
              </w:rPr>
              <w:t>西藏东财上证</w:t>
            </w:r>
            <w:r w:rsidRPr="00002990">
              <w:rPr>
                <w:rFonts w:asciiTheme="minorEastAsia" w:eastAsiaTheme="minorEastAsia" w:hAnsiTheme="minorEastAsia"/>
                <w:sz w:val="24"/>
                <w:szCs w:val="28"/>
              </w:rPr>
              <w:t>50指数型发起式证券投资基金C</w:t>
            </w:r>
          </w:p>
        </w:tc>
        <w:tc>
          <w:tcPr>
            <w:tcW w:w="1843" w:type="dxa"/>
            <w:vAlign w:val="center"/>
          </w:tcPr>
          <w:p w:rsidR="0005450E" w:rsidRPr="00002990" w:rsidRDefault="001E6467" w:rsidP="0005450E">
            <w:pPr>
              <w:jc w:val="center"/>
              <w:rPr>
                <w:rFonts w:asciiTheme="minorEastAsia" w:eastAsiaTheme="minorEastAsia" w:hAnsiTheme="minorEastAsia"/>
                <w:sz w:val="24"/>
                <w:szCs w:val="28"/>
              </w:rPr>
            </w:pPr>
            <w:r w:rsidRPr="00002990">
              <w:rPr>
                <w:rFonts w:asciiTheme="minorEastAsia" w:eastAsiaTheme="minorEastAsia" w:hAnsiTheme="minorEastAsia" w:hint="eastAsia"/>
                <w:sz w:val="24"/>
                <w:szCs w:val="28"/>
              </w:rPr>
              <w:t>股票型</w:t>
            </w:r>
          </w:p>
        </w:tc>
        <w:tc>
          <w:tcPr>
            <w:tcW w:w="1275" w:type="dxa"/>
            <w:vAlign w:val="center"/>
          </w:tcPr>
          <w:p w:rsidR="0005450E" w:rsidRPr="00002990" w:rsidRDefault="0005450E" w:rsidP="0005450E">
            <w:pPr>
              <w:spacing w:line="360" w:lineRule="auto"/>
              <w:jc w:val="center"/>
              <w:rPr>
                <w:rFonts w:asciiTheme="minorEastAsia" w:eastAsiaTheme="minorEastAsia" w:hAnsiTheme="minorEastAsia"/>
                <w:sz w:val="24"/>
                <w:szCs w:val="28"/>
              </w:rPr>
            </w:pPr>
            <w:r w:rsidRPr="00002990">
              <w:rPr>
                <w:rFonts w:asciiTheme="minorEastAsia" w:eastAsiaTheme="minorEastAsia" w:hAnsiTheme="minorEastAsia"/>
                <w:sz w:val="24"/>
                <w:szCs w:val="28"/>
              </w:rPr>
              <w:t>R3</w:t>
            </w:r>
          </w:p>
        </w:tc>
      </w:tr>
      <w:tr w:rsidR="00BF56E1" w:rsidRPr="00C575FF" w:rsidTr="00002990">
        <w:trPr>
          <w:jc w:val="center"/>
        </w:trPr>
        <w:tc>
          <w:tcPr>
            <w:tcW w:w="1271" w:type="dxa"/>
            <w:vAlign w:val="center"/>
          </w:tcPr>
          <w:p w:rsidR="00BF56E1" w:rsidRPr="00655D92" w:rsidRDefault="00BF56E1" w:rsidP="00BF56E1">
            <w:pPr>
              <w:jc w:val="center"/>
              <w:rPr>
                <w:rFonts w:asciiTheme="minorEastAsia" w:eastAsiaTheme="minorEastAsia" w:hAnsiTheme="minorEastAsia"/>
                <w:sz w:val="24"/>
                <w:szCs w:val="28"/>
              </w:rPr>
            </w:pPr>
            <w:r w:rsidRPr="00BF56E1">
              <w:rPr>
                <w:rFonts w:asciiTheme="minorEastAsia" w:eastAsiaTheme="minorEastAsia" w:hAnsiTheme="minorEastAsia"/>
                <w:sz w:val="24"/>
                <w:szCs w:val="28"/>
              </w:rPr>
              <w:t>008326</w:t>
            </w:r>
          </w:p>
        </w:tc>
        <w:tc>
          <w:tcPr>
            <w:tcW w:w="4111" w:type="dxa"/>
          </w:tcPr>
          <w:p w:rsidR="00BF56E1" w:rsidRPr="00655D92" w:rsidRDefault="00BF56E1" w:rsidP="00BF56E1">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西藏东财中证通信技术主题指数型发起式证券投资基金</w:t>
            </w:r>
            <w:r w:rsidRPr="00ED04E4">
              <w:rPr>
                <w:rFonts w:asciiTheme="minorEastAsia" w:eastAsiaTheme="minorEastAsia" w:hAnsiTheme="minorEastAsia"/>
                <w:sz w:val="24"/>
                <w:szCs w:val="28"/>
              </w:rPr>
              <w:t>A</w:t>
            </w:r>
          </w:p>
        </w:tc>
        <w:tc>
          <w:tcPr>
            <w:tcW w:w="1843" w:type="dxa"/>
            <w:vAlign w:val="center"/>
          </w:tcPr>
          <w:p w:rsidR="00BF56E1" w:rsidRPr="00655D92" w:rsidRDefault="00BF56E1" w:rsidP="00BF56E1">
            <w:pPr>
              <w:jc w:val="center"/>
              <w:rPr>
                <w:rFonts w:asciiTheme="minorEastAsia" w:eastAsiaTheme="minorEastAsia" w:hAnsiTheme="minorEastAsia"/>
                <w:sz w:val="24"/>
                <w:szCs w:val="28"/>
              </w:rPr>
            </w:pPr>
            <w:r w:rsidRPr="0017425A">
              <w:rPr>
                <w:rFonts w:asciiTheme="minorEastAsia" w:eastAsiaTheme="minorEastAsia" w:hAnsiTheme="minorEastAsia" w:hint="eastAsia"/>
                <w:sz w:val="24"/>
                <w:szCs w:val="28"/>
              </w:rPr>
              <w:t>股票型</w:t>
            </w:r>
          </w:p>
        </w:tc>
        <w:tc>
          <w:tcPr>
            <w:tcW w:w="1275" w:type="dxa"/>
            <w:vAlign w:val="center"/>
          </w:tcPr>
          <w:p w:rsidR="00BF56E1" w:rsidRPr="00655D92" w:rsidRDefault="00BF56E1" w:rsidP="00BF56E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BF56E1" w:rsidRPr="00C575FF" w:rsidTr="00002990">
        <w:trPr>
          <w:jc w:val="center"/>
        </w:trPr>
        <w:tc>
          <w:tcPr>
            <w:tcW w:w="1271" w:type="dxa"/>
            <w:vAlign w:val="center"/>
          </w:tcPr>
          <w:p w:rsidR="00BF56E1" w:rsidRPr="00655D92" w:rsidRDefault="00BF56E1">
            <w:pPr>
              <w:jc w:val="center"/>
              <w:rPr>
                <w:rFonts w:asciiTheme="minorEastAsia" w:eastAsiaTheme="minorEastAsia" w:hAnsiTheme="minorEastAsia"/>
                <w:sz w:val="24"/>
                <w:szCs w:val="28"/>
              </w:rPr>
            </w:pPr>
            <w:r w:rsidRPr="00BF56E1">
              <w:rPr>
                <w:rFonts w:asciiTheme="minorEastAsia" w:eastAsiaTheme="minorEastAsia" w:hAnsiTheme="minorEastAsia"/>
                <w:sz w:val="24"/>
                <w:szCs w:val="28"/>
              </w:rPr>
              <w:t>00832</w:t>
            </w:r>
            <w:r>
              <w:rPr>
                <w:rFonts w:asciiTheme="minorEastAsia" w:eastAsiaTheme="minorEastAsia" w:hAnsiTheme="minorEastAsia"/>
                <w:sz w:val="24"/>
                <w:szCs w:val="28"/>
              </w:rPr>
              <w:t>7</w:t>
            </w:r>
          </w:p>
        </w:tc>
        <w:tc>
          <w:tcPr>
            <w:tcW w:w="4111" w:type="dxa"/>
          </w:tcPr>
          <w:p w:rsidR="00BF56E1" w:rsidRPr="00655D92" w:rsidRDefault="00BF56E1" w:rsidP="00BF56E1">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西藏东财中证通信技术主题指数型发起式证券投资基金</w:t>
            </w:r>
            <w:r w:rsidRPr="00ED04E4">
              <w:rPr>
                <w:rFonts w:asciiTheme="minorEastAsia" w:eastAsiaTheme="minorEastAsia" w:hAnsiTheme="minorEastAsia"/>
                <w:sz w:val="24"/>
                <w:szCs w:val="28"/>
              </w:rPr>
              <w:t>C</w:t>
            </w:r>
          </w:p>
        </w:tc>
        <w:tc>
          <w:tcPr>
            <w:tcW w:w="1843" w:type="dxa"/>
            <w:vAlign w:val="center"/>
          </w:tcPr>
          <w:p w:rsidR="00BF56E1" w:rsidRPr="00655D92" w:rsidRDefault="00BF56E1" w:rsidP="00BF56E1">
            <w:pPr>
              <w:jc w:val="center"/>
              <w:rPr>
                <w:rFonts w:asciiTheme="minorEastAsia" w:eastAsiaTheme="minorEastAsia" w:hAnsiTheme="minorEastAsia"/>
                <w:sz w:val="24"/>
                <w:szCs w:val="28"/>
              </w:rPr>
            </w:pPr>
            <w:r w:rsidRPr="0017425A">
              <w:rPr>
                <w:rFonts w:asciiTheme="minorEastAsia" w:eastAsiaTheme="minorEastAsia" w:hAnsiTheme="minorEastAsia" w:hint="eastAsia"/>
                <w:sz w:val="24"/>
                <w:szCs w:val="28"/>
              </w:rPr>
              <w:t>股票型</w:t>
            </w:r>
          </w:p>
        </w:tc>
        <w:tc>
          <w:tcPr>
            <w:tcW w:w="1275" w:type="dxa"/>
            <w:vAlign w:val="center"/>
          </w:tcPr>
          <w:p w:rsidR="00BF56E1" w:rsidRPr="00655D92" w:rsidRDefault="00BF56E1" w:rsidP="00BF56E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BF56E1" w:rsidRPr="00C575FF" w:rsidTr="00002990">
        <w:trPr>
          <w:jc w:val="center"/>
        </w:trPr>
        <w:tc>
          <w:tcPr>
            <w:tcW w:w="1271" w:type="dxa"/>
            <w:vAlign w:val="center"/>
          </w:tcPr>
          <w:p w:rsidR="00BF56E1" w:rsidRPr="00655D92" w:rsidRDefault="00BF56E1" w:rsidP="00BF56E1">
            <w:pPr>
              <w:jc w:val="center"/>
              <w:rPr>
                <w:rFonts w:asciiTheme="minorEastAsia" w:eastAsiaTheme="minorEastAsia" w:hAnsiTheme="minorEastAsia"/>
                <w:sz w:val="24"/>
                <w:szCs w:val="28"/>
              </w:rPr>
            </w:pPr>
            <w:r w:rsidRPr="00BF56E1">
              <w:rPr>
                <w:rFonts w:asciiTheme="minorEastAsia" w:eastAsiaTheme="minorEastAsia" w:hAnsiTheme="minorEastAsia"/>
                <w:sz w:val="24"/>
                <w:szCs w:val="28"/>
              </w:rPr>
              <w:t>008551</w:t>
            </w:r>
          </w:p>
        </w:tc>
        <w:tc>
          <w:tcPr>
            <w:tcW w:w="4111" w:type="dxa"/>
          </w:tcPr>
          <w:p w:rsidR="00BF56E1" w:rsidRPr="00655D92" w:rsidRDefault="00BF56E1" w:rsidP="00BF56E1">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西藏东财中证医药卫生指数型发起式证券投资基金</w:t>
            </w:r>
            <w:r w:rsidRPr="00ED04E4">
              <w:rPr>
                <w:rFonts w:asciiTheme="minorEastAsia" w:eastAsiaTheme="minorEastAsia" w:hAnsiTheme="minorEastAsia"/>
                <w:sz w:val="24"/>
                <w:szCs w:val="28"/>
              </w:rPr>
              <w:t>A</w:t>
            </w:r>
          </w:p>
        </w:tc>
        <w:tc>
          <w:tcPr>
            <w:tcW w:w="1843" w:type="dxa"/>
            <w:vAlign w:val="center"/>
          </w:tcPr>
          <w:p w:rsidR="00BF56E1" w:rsidRPr="00655D92" w:rsidRDefault="00BF56E1" w:rsidP="00BF56E1">
            <w:pPr>
              <w:jc w:val="center"/>
              <w:rPr>
                <w:rFonts w:asciiTheme="minorEastAsia" w:eastAsiaTheme="minorEastAsia" w:hAnsiTheme="minorEastAsia"/>
                <w:sz w:val="24"/>
                <w:szCs w:val="28"/>
              </w:rPr>
            </w:pPr>
            <w:r w:rsidRPr="0017425A">
              <w:rPr>
                <w:rFonts w:asciiTheme="minorEastAsia" w:eastAsiaTheme="minorEastAsia" w:hAnsiTheme="minorEastAsia" w:hint="eastAsia"/>
                <w:sz w:val="24"/>
                <w:szCs w:val="28"/>
              </w:rPr>
              <w:t>股票型</w:t>
            </w:r>
          </w:p>
        </w:tc>
        <w:tc>
          <w:tcPr>
            <w:tcW w:w="1275" w:type="dxa"/>
            <w:vAlign w:val="center"/>
          </w:tcPr>
          <w:p w:rsidR="00BF56E1" w:rsidRPr="00655D92" w:rsidRDefault="00BF56E1" w:rsidP="00BF56E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BF56E1" w:rsidRPr="00C575FF" w:rsidTr="00002990">
        <w:trPr>
          <w:jc w:val="center"/>
        </w:trPr>
        <w:tc>
          <w:tcPr>
            <w:tcW w:w="1271" w:type="dxa"/>
            <w:vAlign w:val="center"/>
          </w:tcPr>
          <w:p w:rsidR="00BF56E1" w:rsidRPr="00655D92" w:rsidRDefault="00BF56E1" w:rsidP="00BF56E1">
            <w:pPr>
              <w:jc w:val="center"/>
              <w:rPr>
                <w:rFonts w:asciiTheme="minorEastAsia" w:eastAsiaTheme="minorEastAsia" w:hAnsiTheme="minorEastAsia"/>
                <w:sz w:val="24"/>
                <w:szCs w:val="28"/>
              </w:rPr>
            </w:pPr>
            <w:r>
              <w:rPr>
                <w:rFonts w:asciiTheme="minorEastAsia" w:eastAsiaTheme="minorEastAsia" w:hAnsiTheme="minorEastAsia"/>
                <w:sz w:val="24"/>
                <w:szCs w:val="28"/>
              </w:rPr>
              <w:t>008552</w:t>
            </w:r>
          </w:p>
        </w:tc>
        <w:tc>
          <w:tcPr>
            <w:tcW w:w="4111" w:type="dxa"/>
          </w:tcPr>
          <w:p w:rsidR="00BF56E1" w:rsidRPr="00655D92" w:rsidRDefault="00BF56E1" w:rsidP="00BF56E1">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西藏东财中证医药卫生指数型发起式证券投资基金</w:t>
            </w:r>
            <w:r w:rsidRPr="00ED04E4">
              <w:rPr>
                <w:rFonts w:asciiTheme="minorEastAsia" w:eastAsiaTheme="minorEastAsia" w:hAnsiTheme="minorEastAsia"/>
                <w:sz w:val="24"/>
                <w:szCs w:val="28"/>
              </w:rPr>
              <w:t>C</w:t>
            </w:r>
          </w:p>
        </w:tc>
        <w:tc>
          <w:tcPr>
            <w:tcW w:w="1843" w:type="dxa"/>
            <w:vAlign w:val="center"/>
          </w:tcPr>
          <w:p w:rsidR="00BF56E1" w:rsidRPr="00655D92" w:rsidRDefault="00BF56E1" w:rsidP="00BF56E1">
            <w:pPr>
              <w:jc w:val="center"/>
              <w:rPr>
                <w:rFonts w:asciiTheme="minorEastAsia" w:eastAsiaTheme="minorEastAsia" w:hAnsiTheme="minorEastAsia"/>
                <w:sz w:val="24"/>
                <w:szCs w:val="28"/>
              </w:rPr>
            </w:pPr>
            <w:r w:rsidRPr="0017425A">
              <w:rPr>
                <w:rFonts w:asciiTheme="minorEastAsia" w:eastAsiaTheme="minorEastAsia" w:hAnsiTheme="minorEastAsia" w:hint="eastAsia"/>
                <w:sz w:val="24"/>
                <w:szCs w:val="28"/>
              </w:rPr>
              <w:t>股票型</w:t>
            </w:r>
          </w:p>
        </w:tc>
        <w:tc>
          <w:tcPr>
            <w:tcW w:w="1275" w:type="dxa"/>
            <w:vAlign w:val="center"/>
          </w:tcPr>
          <w:p w:rsidR="00BF56E1" w:rsidRPr="00655D92" w:rsidRDefault="00BF56E1" w:rsidP="00BF56E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BF56E1" w:rsidRPr="00C575FF" w:rsidTr="00002990">
        <w:trPr>
          <w:jc w:val="center"/>
        </w:trPr>
        <w:tc>
          <w:tcPr>
            <w:tcW w:w="1271" w:type="dxa"/>
            <w:vAlign w:val="center"/>
          </w:tcPr>
          <w:p w:rsidR="00BF56E1" w:rsidRPr="00655D92" w:rsidRDefault="00BF56E1" w:rsidP="00BF56E1">
            <w:pPr>
              <w:jc w:val="center"/>
              <w:rPr>
                <w:rFonts w:asciiTheme="minorEastAsia" w:eastAsiaTheme="minorEastAsia" w:hAnsiTheme="minorEastAsia"/>
                <w:sz w:val="24"/>
                <w:szCs w:val="28"/>
              </w:rPr>
            </w:pPr>
            <w:r w:rsidRPr="00BF56E1">
              <w:rPr>
                <w:rFonts w:asciiTheme="minorEastAsia" w:eastAsiaTheme="minorEastAsia" w:hAnsiTheme="minorEastAsia"/>
                <w:sz w:val="24"/>
                <w:szCs w:val="28"/>
              </w:rPr>
              <w:t>009046</w:t>
            </w:r>
          </w:p>
        </w:tc>
        <w:tc>
          <w:tcPr>
            <w:tcW w:w="4111" w:type="dxa"/>
          </w:tcPr>
          <w:p w:rsidR="00BF56E1" w:rsidRPr="00655D92" w:rsidRDefault="00BF56E1" w:rsidP="00BF56E1">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西藏东财创业板指数型发起式证券投资基金</w:t>
            </w:r>
            <w:r w:rsidRPr="00ED04E4">
              <w:rPr>
                <w:rFonts w:asciiTheme="minorEastAsia" w:eastAsiaTheme="minorEastAsia" w:hAnsiTheme="minorEastAsia"/>
                <w:sz w:val="24"/>
                <w:szCs w:val="28"/>
              </w:rPr>
              <w:t>A</w:t>
            </w:r>
          </w:p>
        </w:tc>
        <w:tc>
          <w:tcPr>
            <w:tcW w:w="1843" w:type="dxa"/>
            <w:vAlign w:val="center"/>
          </w:tcPr>
          <w:p w:rsidR="00BF56E1" w:rsidRPr="00655D92" w:rsidRDefault="00BF56E1" w:rsidP="00BF56E1">
            <w:pPr>
              <w:jc w:val="center"/>
              <w:rPr>
                <w:rFonts w:asciiTheme="minorEastAsia" w:eastAsiaTheme="minorEastAsia" w:hAnsiTheme="minorEastAsia"/>
                <w:sz w:val="24"/>
                <w:szCs w:val="28"/>
              </w:rPr>
            </w:pPr>
            <w:r w:rsidRPr="0017425A">
              <w:rPr>
                <w:rFonts w:asciiTheme="minorEastAsia" w:eastAsiaTheme="minorEastAsia" w:hAnsiTheme="minorEastAsia" w:hint="eastAsia"/>
                <w:sz w:val="24"/>
                <w:szCs w:val="28"/>
              </w:rPr>
              <w:t>股票型</w:t>
            </w:r>
          </w:p>
        </w:tc>
        <w:tc>
          <w:tcPr>
            <w:tcW w:w="1275" w:type="dxa"/>
            <w:vAlign w:val="center"/>
          </w:tcPr>
          <w:p w:rsidR="00BF56E1" w:rsidRPr="00655D92" w:rsidRDefault="00BF56E1" w:rsidP="00BF56E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BF56E1" w:rsidRPr="00C575FF" w:rsidTr="00002990">
        <w:trPr>
          <w:jc w:val="center"/>
        </w:trPr>
        <w:tc>
          <w:tcPr>
            <w:tcW w:w="1271" w:type="dxa"/>
            <w:vAlign w:val="center"/>
          </w:tcPr>
          <w:p w:rsidR="00BF56E1" w:rsidRPr="00655D92" w:rsidRDefault="00BF56E1" w:rsidP="00BF56E1">
            <w:pPr>
              <w:jc w:val="center"/>
              <w:rPr>
                <w:rFonts w:asciiTheme="minorEastAsia" w:eastAsiaTheme="minorEastAsia" w:hAnsiTheme="minorEastAsia"/>
                <w:sz w:val="24"/>
                <w:szCs w:val="28"/>
              </w:rPr>
            </w:pPr>
            <w:r>
              <w:rPr>
                <w:rFonts w:asciiTheme="minorEastAsia" w:eastAsiaTheme="minorEastAsia" w:hAnsiTheme="minorEastAsia"/>
                <w:sz w:val="24"/>
                <w:szCs w:val="28"/>
              </w:rPr>
              <w:t>009047</w:t>
            </w:r>
          </w:p>
        </w:tc>
        <w:tc>
          <w:tcPr>
            <w:tcW w:w="4111" w:type="dxa"/>
          </w:tcPr>
          <w:p w:rsidR="00BF56E1" w:rsidRPr="00655D92" w:rsidRDefault="00BF56E1" w:rsidP="00BF56E1">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西藏东财创业板指数型发起式证券投资基金</w:t>
            </w:r>
            <w:r w:rsidRPr="00ED04E4">
              <w:rPr>
                <w:rFonts w:asciiTheme="minorEastAsia" w:eastAsiaTheme="minorEastAsia" w:hAnsiTheme="minorEastAsia"/>
                <w:sz w:val="24"/>
                <w:szCs w:val="28"/>
              </w:rPr>
              <w:t>C</w:t>
            </w:r>
          </w:p>
        </w:tc>
        <w:tc>
          <w:tcPr>
            <w:tcW w:w="1843" w:type="dxa"/>
            <w:vAlign w:val="center"/>
          </w:tcPr>
          <w:p w:rsidR="00BF56E1" w:rsidRPr="00655D92" w:rsidRDefault="00BF56E1" w:rsidP="00BF56E1">
            <w:pPr>
              <w:jc w:val="center"/>
              <w:rPr>
                <w:rFonts w:asciiTheme="minorEastAsia" w:eastAsiaTheme="minorEastAsia" w:hAnsiTheme="minorEastAsia"/>
                <w:sz w:val="24"/>
                <w:szCs w:val="28"/>
              </w:rPr>
            </w:pPr>
            <w:r w:rsidRPr="0017425A">
              <w:rPr>
                <w:rFonts w:asciiTheme="minorEastAsia" w:eastAsiaTheme="minorEastAsia" w:hAnsiTheme="minorEastAsia" w:hint="eastAsia"/>
                <w:sz w:val="24"/>
                <w:szCs w:val="28"/>
              </w:rPr>
              <w:t>股票型</w:t>
            </w:r>
          </w:p>
        </w:tc>
        <w:tc>
          <w:tcPr>
            <w:tcW w:w="1275" w:type="dxa"/>
            <w:vAlign w:val="center"/>
          </w:tcPr>
          <w:p w:rsidR="00BF56E1" w:rsidRPr="00655D92" w:rsidRDefault="00BF56E1" w:rsidP="00BF56E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BF56E1" w:rsidRPr="00C575FF" w:rsidTr="00002990">
        <w:trPr>
          <w:jc w:val="center"/>
        </w:trPr>
        <w:tc>
          <w:tcPr>
            <w:tcW w:w="1271" w:type="dxa"/>
            <w:vAlign w:val="center"/>
          </w:tcPr>
          <w:p w:rsidR="00BF56E1" w:rsidRPr="00655D92" w:rsidRDefault="00BF56E1" w:rsidP="00BF56E1">
            <w:pPr>
              <w:jc w:val="center"/>
              <w:rPr>
                <w:rFonts w:asciiTheme="minorEastAsia" w:eastAsiaTheme="minorEastAsia" w:hAnsiTheme="minorEastAsia"/>
                <w:sz w:val="24"/>
                <w:szCs w:val="28"/>
              </w:rPr>
            </w:pPr>
            <w:r w:rsidRPr="00BF56E1">
              <w:rPr>
                <w:rFonts w:asciiTheme="minorEastAsia" w:eastAsiaTheme="minorEastAsia" w:hAnsiTheme="minorEastAsia"/>
                <w:sz w:val="24"/>
                <w:szCs w:val="28"/>
              </w:rPr>
              <w:lastRenderedPageBreak/>
              <w:t>009840</w:t>
            </w:r>
          </w:p>
        </w:tc>
        <w:tc>
          <w:tcPr>
            <w:tcW w:w="4111" w:type="dxa"/>
          </w:tcPr>
          <w:p w:rsidR="00BF56E1" w:rsidRPr="00655D92" w:rsidRDefault="00BF56E1" w:rsidP="00BF56E1">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西藏东财量化精选混合型发起式证券投资基金</w:t>
            </w:r>
            <w:r w:rsidRPr="00ED04E4">
              <w:rPr>
                <w:rFonts w:asciiTheme="minorEastAsia" w:eastAsiaTheme="minorEastAsia" w:hAnsiTheme="minorEastAsia"/>
                <w:sz w:val="24"/>
                <w:szCs w:val="28"/>
              </w:rPr>
              <w:t>A</w:t>
            </w:r>
          </w:p>
        </w:tc>
        <w:tc>
          <w:tcPr>
            <w:tcW w:w="1843" w:type="dxa"/>
            <w:vAlign w:val="center"/>
          </w:tcPr>
          <w:p w:rsidR="00BF56E1" w:rsidRPr="00655D92" w:rsidRDefault="00BF56E1" w:rsidP="00BF56E1">
            <w:pPr>
              <w:jc w:val="center"/>
              <w:rPr>
                <w:rFonts w:asciiTheme="minorEastAsia" w:eastAsiaTheme="minorEastAsia" w:hAnsiTheme="minorEastAsia"/>
                <w:sz w:val="24"/>
                <w:szCs w:val="28"/>
              </w:rPr>
            </w:pPr>
            <w:r>
              <w:rPr>
                <w:rFonts w:asciiTheme="minorEastAsia" w:eastAsiaTheme="minorEastAsia" w:hAnsiTheme="minorEastAsia" w:hint="eastAsia"/>
                <w:sz w:val="24"/>
                <w:szCs w:val="28"/>
              </w:rPr>
              <w:t>混合型</w:t>
            </w:r>
          </w:p>
        </w:tc>
        <w:tc>
          <w:tcPr>
            <w:tcW w:w="1275" w:type="dxa"/>
            <w:vAlign w:val="center"/>
          </w:tcPr>
          <w:p w:rsidR="00BF56E1" w:rsidRPr="00655D92" w:rsidRDefault="00BF56E1" w:rsidP="00BF56E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BF56E1" w:rsidRPr="00C575FF" w:rsidTr="00002990">
        <w:trPr>
          <w:jc w:val="center"/>
        </w:trPr>
        <w:tc>
          <w:tcPr>
            <w:tcW w:w="1271" w:type="dxa"/>
            <w:vAlign w:val="center"/>
          </w:tcPr>
          <w:p w:rsidR="00BF56E1" w:rsidRPr="00655D92" w:rsidRDefault="00BF56E1" w:rsidP="00BF56E1">
            <w:pPr>
              <w:jc w:val="center"/>
              <w:rPr>
                <w:rFonts w:asciiTheme="minorEastAsia" w:eastAsiaTheme="minorEastAsia" w:hAnsiTheme="minorEastAsia"/>
                <w:sz w:val="24"/>
                <w:szCs w:val="28"/>
              </w:rPr>
            </w:pPr>
            <w:r>
              <w:rPr>
                <w:rFonts w:asciiTheme="minorEastAsia" w:eastAsiaTheme="minorEastAsia" w:hAnsiTheme="minorEastAsia"/>
                <w:sz w:val="24"/>
                <w:szCs w:val="28"/>
              </w:rPr>
              <w:t>009841</w:t>
            </w:r>
          </w:p>
        </w:tc>
        <w:tc>
          <w:tcPr>
            <w:tcW w:w="4111" w:type="dxa"/>
          </w:tcPr>
          <w:p w:rsidR="00BF56E1" w:rsidRPr="00655D92" w:rsidRDefault="00BF56E1" w:rsidP="00BF56E1">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西藏东财量化精选混合型发起式证券投资基金</w:t>
            </w:r>
            <w:r w:rsidRPr="00ED04E4">
              <w:rPr>
                <w:rFonts w:asciiTheme="minorEastAsia" w:eastAsiaTheme="minorEastAsia" w:hAnsiTheme="minorEastAsia"/>
                <w:sz w:val="24"/>
                <w:szCs w:val="28"/>
              </w:rPr>
              <w:t>C</w:t>
            </w:r>
          </w:p>
        </w:tc>
        <w:tc>
          <w:tcPr>
            <w:tcW w:w="1843" w:type="dxa"/>
            <w:vAlign w:val="center"/>
          </w:tcPr>
          <w:p w:rsidR="00BF56E1" w:rsidRPr="00655D92" w:rsidRDefault="00BF56E1" w:rsidP="00BF56E1">
            <w:pPr>
              <w:jc w:val="center"/>
              <w:rPr>
                <w:rFonts w:asciiTheme="minorEastAsia" w:eastAsiaTheme="minorEastAsia" w:hAnsiTheme="minorEastAsia"/>
                <w:sz w:val="24"/>
                <w:szCs w:val="28"/>
              </w:rPr>
            </w:pPr>
            <w:r>
              <w:rPr>
                <w:rFonts w:asciiTheme="minorEastAsia" w:eastAsiaTheme="minorEastAsia" w:hAnsiTheme="minorEastAsia" w:hint="eastAsia"/>
                <w:sz w:val="24"/>
                <w:szCs w:val="28"/>
              </w:rPr>
              <w:t>混合型</w:t>
            </w:r>
          </w:p>
        </w:tc>
        <w:tc>
          <w:tcPr>
            <w:tcW w:w="1275" w:type="dxa"/>
            <w:vAlign w:val="center"/>
          </w:tcPr>
          <w:p w:rsidR="00BF56E1" w:rsidRPr="00655D92" w:rsidRDefault="00BF56E1" w:rsidP="00BF56E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BF56E1" w:rsidRPr="00C575FF" w:rsidTr="00002990">
        <w:trPr>
          <w:jc w:val="center"/>
        </w:trPr>
        <w:tc>
          <w:tcPr>
            <w:tcW w:w="1271" w:type="dxa"/>
            <w:vAlign w:val="center"/>
          </w:tcPr>
          <w:p w:rsidR="00BF56E1" w:rsidRPr="00655D92" w:rsidRDefault="00BF56E1" w:rsidP="00BF56E1">
            <w:pPr>
              <w:jc w:val="center"/>
              <w:rPr>
                <w:rFonts w:asciiTheme="minorEastAsia" w:eastAsiaTheme="minorEastAsia" w:hAnsiTheme="minorEastAsia"/>
                <w:sz w:val="24"/>
                <w:szCs w:val="28"/>
              </w:rPr>
            </w:pPr>
            <w:r w:rsidRPr="00BF56E1">
              <w:rPr>
                <w:rFonts w:asciiTheme="minorEastAsia" w:eastAsiaTheme="minorEastAsia" w:hAnsiTheme="minorEastAsia"/>
                <w:sz w:val="24"/>
                <w:szCs w:val="28"/>
              </w:rPr>
              <w:t>010805</w:t>
            </w:r>
          </w:p>
        </w:tc>
        <w:tc>
          <w:tcPr>
            <w:tcW w:w="4111" w:type="dxa"/>
          </w:tcPr>
          <w:p w:rsidR="00BF56E1" w:rsidRPr="00655D92" w:rsidRDefault="008A34B9" w:rsidP="00BF56E1">
            <w:pPr>
              <w:jc w:val="both"/>
              <w:rPr>
                <w:rFonts w:asciiTheme="minorEastAsia" w:eastAsiaTheme="minorEastAsia" w:hAnsiTheme="minorEastAsia"/>
                <w:sz w:val="24"/>
                <w:szCs w:val="28"/>
              </w:rPr>
            </w:pPr>
            <w:r w:rsidRPr="008A34B9">
              <w:rPr>
                <w:rFonts w:asciiTheme="minorEastAsia" w:eastAsiaTheme="minorEastAsia" w:hAnsiTheme="minorEastAsia" w:hint="eastAsia"/>
                <w:sz w:val="24"/>
                <w:szCs w:val="28"/>
              </w:rPr>
              <w:t>西藏东财中证新能源汽车交易型开放式指数证券投资基金发起式联接基金</w:t>
            </w:r>
            <w:r w:rsidRPr="008A34B9">
              <w:rPr>
                <w:rFonts w:asciiTheme="minorEastAsia" w:eastAsiaTheme="minorEastAsia" w:hAnsiTheme="minorEastAsia"/>
                <w:sz w:val="24"/>
                <w:szCs w:val="28"/>
              </w:rPr>
              <w:t>A</w:t>
            </w:r>
          </w:p>
        </w:tc>
        <w:tc>
          <w:tcPr>
            <w:tcW w:w="1843" w:type="dxa"/>
            <w:vAlign w:val="center"/>
          </w:tcPr>
          <w:p w:rsidR="00BF56E1" w:rsidRDefault="00BF56E1" w:rsidP="00BF56E1">
            <w:pPr>
              <w:jc w:val="center"/>
              <w:rPr>
                <w:rFonts w:asciiTheme="minorEastAsia" w:eastAsiaTheme="minorEastAsia" w:hAnsiTheme="minorEastAsia"/>
                <w:sz w:val="24"/>
                <w:szCs w:val="28"/>
              </w:rPr>
            </w:pPr>
            <w:r w:rsidRPr="0017425A">
              <w:rPr>
                <w:rFonts w:asciiTheme="minorEastAsia" w:eastAsiaTheme="minorEastAsia" w:hAnsiTheme="minorEastAsia" w:hint="eastAsia"/>
                <w:sz w:val="24"/>
                <w:szCs w:val="28"/>
              </w:rPr>
              <w:t>股票型</w:t>
            </w:r>
          </w:p>
        </w:tc>
        <w:tc>
          <w:tcPr>
            <w:tcW w:w="1275" w:type="dxa"/>
            <w:vAlign w:val="center"/>
          </w:tcPr>
          <w:p w:rsidR="00BF56E1" w:rsidRPr="0017425A" w:rsidRDefault="00BF56E1" w:rsidP="00BF56E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BF56E1" w:rsidRPr="00C575FF" w:rsidTr="00002990">
        <w:trPr>
          <w:jc w:val="center"/>
        </w:trPr>
        <w:tc>
          <w:tcPr>
            <w:tcW w:w="1271" w:type="dxa"/>
            <w:vAlign w:val="center"/>
          </w:tcPr>
          <w:p w:rsidR="00BF56E1" w:rsidRPr="00655D92" w:rsidRDefault="00BF56E1" w:rsidP="00BF56E1">
            <w:pPr>
              <w:jc w:val="center"/>
              <w:rPr>
                <w:rFonts w:asciiTheme="minorEastAsia" w:eastAsiaTheme="minorEastAsia" w:hAnsiTheme="minorEastAsia"/>
                <w:sz w:val="24"/>
                <w:szCs w:val="28"/>
              </w:rPr>
            </w:pPr>
            <w:r>
              <w:rPr>
                <w:rFonts w:asciiTheme="minorEastAsia" w:eastAsiaTheme="minorEastAsia" w:hAnsiTheme="minorEastAsia"/>
                <w:sz w:val="24"/>
                <w:szCs w:val="28"/>
              </w:rPr>
              <w:t>010806</w:t>
            </w:r>
          </w:p>
        </w:tc>
        <w:tc>
          <w:tcPr>
            <w:tcW w:w="4111" w:type="dxa"/>
          </w:tcPr>
          <w:p w:rsidR="00BF56E1" w:rsidRPr="00655D92" w:rsidRDefault="008A34B9" w:rsidP="00BF56E1">
            <w:pPr>
              <w:jc w:val="both"/>
              <w:rPr>
                <w:rFonts w:asciiTheme="minorEastAsia" w:eastAsiaTheme="minorEastAsia" w:hAnsiTheme="minorEastAsia"/>
                <w:sz w:val="24"/>
                <w:szCs w:val="28"/>
              </w:rPr>
            </w:pPr>
            <w:r w:rsidRPr="008A34B9">
              <w:rPr>
                <w:rFonts w:asciiTheme="minorEastAsia" w:eastAsiaTheme="minorEastAsia" w:hAnsiTheme="minorEastAsia" w:hint="eastAsia"/>
                <w:sz w:val="24"/>
                <w:szCs w:val="28"/>
              </w:rPr>
              <w:t>西藏东财中证新能源汽车交易型开放式指数证券投资基金发起式联接基金</w:t>
            </w:r>
            <w:r w:rsidRPr="008A34B9">
              <w:rPr>
                <w:rFonts w:asciiTheme="minorEastAsia" w:eastAsiaTheme="minorEastAsia" w:hAnsiTheme="minorEastAsia"/>
                <w:sz w:val="24"/>
                <w:szCs w:val="28"/>
              </w:rPr>
              <w:t>C</w:t>
            </w:r>
          </w:p>
        </w:tc>
        <w:tc>
          <w:tcPr>
            <w:tcW w:w="1843" w:type="dxa"/>
            <w:vAlign w:val="center"/>
          </w:tcPr>
          <w:p w:rsidR="00BF56E1" w:rsidRDefault="00BF56E1" w:rsidP="00BF56E1">
            <w:pPr>
              <w:jc w:val="center"/>
              <w:rPr>
                <w:rFonts w:asciiTheme="minorEastAsia" w:eastAsiaTheme="minorEastAsia" w:hAnsiTheme="minorEastAsia"/>
                <w:sz w:val="24"/>
                <w:szCs w:val="28"/>
              </w:rPr>
            </w:pPr>
            <w:r w:rsidRPr="0017425A">
              <w:rPr>
                <w:rFonts w:asciiTheme="minorEastAsia" w:eastAsiaTheme="minorEastAsia" w:hAnsiTheme="minorEastAsia" w:hint="eastAsia"/>
                <w:sz w:val="24"/>
                <w:szCs w:val="28"/>
              </w:rPr>
              <w:t>股票型</w:t>
            </w:r>
          </w:p>
        </w:tc>
        <w:tc>
          <w:tcPr>
            <w:tcW w:w="1275" w:type="dxa"/>
            <w:vAlign w:val="center"/>
          </w:tcPr>
          <w:p w:rsidR="00BF56E1" w:rsidRPr="0017425A" w:rsidRDefault="00BF56E1" w:rsidP="00BF56E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BF56E1" w:rsidRPr="00C575FF" w:rsidTr="00002990">
        <w:trPr>
          <w:jc w:val="center"/>
        </w:trPr>
        <w:tc>
          <w:tcPr>
            <w:tcW w:w="1271" w:type="dxa"/>
            <w:vAlign w:val="center"/>
          </w:tcPr>
          <w:p w:rsidR="00BF56E1" w:rsidRPr="00655D92" w:rsidRDefault="00BF56E1" w:rsidP="00BF56E1">
            <w:pPr>
              <w:jc w:val="center"/>
              <w:rPr>
                <w:rFonts w:asciiTheme="minorEastAsia" w:eastAsiaTheme="minorEastAsia" w:hAnsiTheme="minorEastAsia"/>
                <w:sz w:val="24"/>
                <w:szCs w:val="28"/>
              </w:rPr>
            </w:pPr>
            <w:r w:rsidRPr="00BF56E1">
              <w:rPr>
                <w:rFonts w:asciiTheme="minorEastAsia" w:eastAsiaTheme="minorEastAsia" w:hAnsiTheme="minorEastAsia"/>
                <w:sz w:val="24"/>
                <w:szCs w:val="28"/>
              </w:rPr>
              <w:t>010992</w:t>
            </w:r>
          </w:p>
        </w:tc>
        <w:tc>
          <w:tcPr>
            <w:tcW w:w="4111" w:type="dxa"/>
          </w:tcPr>
          <w:p w:rsidR="00BF56E1" w:rsidRPr="00655D92" w:rsidRDefault="00BF56E1" w:rsidP="00BF56E1">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西藏东财中证</w:t>
            </w:r>
            <w:r w:rsidRPr="00ED04E4">
              <w:rPr>
                <w:rFonts w:asciiTheme="minorEastAsia" w:eastAsiaTheme="minorEastAsia" w:hAnsiTheme="minorEastAsia"/>
                <w:sz w:val="24"/>
                <w:szCs w:val="28"/>
              </w:rPr>
              <w:t>500指数型发起式证券投资基金A</w:t>
            </w:r>
          </w:p>
        </w:tc>
        <w:tc>
          <w:tcPr>
            <w:tcW w:w="1843" w:type="dxa"/>
            <w:vAlign w:val="center"/>
          </w:tcPr>
          <w:p w:rsidR="00BF56E1" w:rsidRDefault="00BF56E1" w:rsidP="00BF56E1">
            <w:pPr>
              <w:jc w:val="center"/>
              <w:rPr>
                <w:rFonts w:asciiTheme="minorEastAsia" w:eastAsiaTheme="minorEastAsia" w:hAnsiTheme="minorEastAsia"/>
                <w:sz w:val="24"/>
                <w:szCs w:val="28"/>
              </w:rPr>
            </w:pPr>
            <w:r w:rsidRPr="0017425A">
              <w:rPr>
                <w:rFonts w:asciiTheme="minorEastAsia" w:eastAsiaTheme="minorEastAsia" w:hAnsiTheme="minorEastAsia" w:hint="eastAsia"/>
                <w:sz w:val="24"/>
                <w:szCs w:val="28"/>
              </w:rPr>
              <w:t>股票型</w:t>
            </w:r>
          </w:p>
        </w:tc>
        <w:tc>
          <w:tcPr>
            <w:tcW w:w="1275" w:type="dxa"/>
            <w:vAlign w:val="center"/>
          </w:tcPr>
          <w:p w:rsidR="00BF56E1" w:rsidRPr="0017425A" w:rsidRDefault="00BF56E1" w:rsidP="00BF56E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BF56E1" w:rsidRPr="00C575FF" w:rsidTr="00002990">
        <w:trPr>
          <w:jc w:val="center"/>
        </w:trPr>
        <w:tc>
          <w:tcPr>
            <w:tcW w:w="1271" w:type="dxa"/>
            <w:vAlign w:val="center"/>
          </w:tcPr>
          <w:p w:rsidR="00BF56E1" w:rsidRPr="00655D92" w:rsidRDefault="00BF56E1" w:rsidP="00BF56E1">
            <w:pPr>
              <w:jc w:val="center"/>
              <w:rPr>
                <w:rFonts w:asciiTheme="minorEastAsia" w:eastAsiaTheme="minorEastAsia" w:hAnsiTheme="minorEastAsia"/>
                <w:sz w:val="24"/>
                <w:szCs w:val="28"/>
              </w:rPr>
            </w:pPr>
            <w:r>
              <w:rPr>
                <w:rFonts w:asciiTheme="minorEastAsia" w:eastAsiaTheme="minorEastAsia" w:hAnsiTheme="minorEastAsia"/>
                <w:sz w:val="24"/>
                <w:szCs w:val="28"/>
              </w:rPr>
              <w:t>010993</w:t>
            </w:r>
          </w:p>
        </w:tc>
        <w:tc>
          <w:tcPr>
            <w:tcW w:w="4111" w:type="dxa"/>
          </w:tcPr>
          <w:p w:rsidR="00BF56E1" w:rsidRPr="00655D92" w:rsidRDefault="00BF56E1" w:rsidP="00BF56E1">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西藏东财中证</w:t>
            </w:r>
            <w:r w:rsidRPr="00ED04E4">
              <w:rPr>
                <w:rFonts w:asciiTheme="minorEastAsia" w:eastAsiaTheme="minorEastAsia" w:hAnsiTheme="minorEastAsia"/>
                <w:sz w:val="24"/>
                <w:szCs w:val="28"/>
              </w:rPr>
              <w:t>500指数型发起式证券投资基金C</w:t>
            </w:r>
          </w:p>
        </w:tc>
        <w:tc>
          <w:tcPr>
            <w:tcW w:w="1843" w:type="dxa"/>
            <w:vAlign w:val="center"/>
          </w:tcPr>
          <w:p w:rsidR="00BF56E1" w:rsidRDefault="00BF56E1" w:rsidP="00BF56E1">
            <w:pPr>
              <w:jc w:val="center"/>
              <w:rPr>
                <w:rFonts w:asciiTheme="minorEastAsia" w:eastAsiaTheme="minorEastAsia" w:hAnsiTheme="minorEastAsia"/>
                <w:sz w:val="24"/>
                <w:szCs w:val="28"/>
              </w:rPr>
            </w:pPr>
            <w:r w:rsidRPr="0017425A">
              <w:rPr>
                <w:rFonts w:asciiTheme="minorEastAsia" w:eastAsiaTheme="minorEastAsia" w:hAnsiTheme="minorEastAsia" w:hint="eastAsia"/>
                <w:sz w:val="24"/>
                <w:szCs w:val="28"/>
              </w:rPr>
              <w:t>股票型</w:t>
            </w:r>
          </w:p>
        </w:tc>
        <w:tc>
          <w:tcPr>
            <w:tcW w:w="1275" w:type="dxa"/>
            <w:vAlign w:val="center"/>
          </w:tcPr>
          <w:p w:rsidR="00BF56E1" w:rsidRPr="0017425A" w:rsidRDefault="00BF56E1" w:rsidP="00BF56E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480D11" w:rsidRPr="00C575FF" w:rsidTr="00D6319A">
        <w:trPr>
          <w:jc w:val="center"/>
        </w:trPr>
        <w:tc>
          <w:tcPr>
            <w:tcW w:w="1271" w:type="dxa"/>
            <w:vAlign w:val="center"/>
          </w:tcPr>
          <w:p w:rsidR="00480D11" w:rsidRPr="00480D11" w:rsidRDefault="00480D11" w:rsidP="00480D11">
            <w:pPr>
              <w:jc w:val="center"/>
              <w:rPr>
                <w:rFonts w:asciiTheme="minorEastAsia" w:eastAsiaTheme="minorEastAsia" w:hAnsiTheme="minorEastAsia"/>
                <w:sz w:val="24"/>
                <w:szCs w:val="28"/>
              </w:rPr>
            </w:pPr>
            <w:r w:rsidRPr="00ED04E4">
              <w:rPr>
                <w:rFonts w:asciiTheme="minorEastAsia" w:eastAsiaTheme="minorEastAsia" w:hAnsiTheme="minorEastAsia"/>
                <w:sz w:val="24"/>
                <w:szCs w:val="28"/>
              </w:rPr>
              <w:t>011630</w:t>
            </w:r>
          </w:p>
        </w:tc>
        <w:tc>
          <w:tcPr>
            <w:tcW w:w="4111" w:type="dxa"/>
          </w:tcPr>
          <w:p w:rsidR="00480D11" w:rsidRPr="00ED04E4" w:rsidRDefault="00480D11" w:rsidP="00480D11">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西藏东财中证有色金属指数增强型发起式证券投资基金A</w:t>
            </w:r>
          </w:p>
        </w:tc>
        <w:tc>
          <w:tcPr>
            <w:tcW w:w="1843" w:type="dxa"/>
            <w:vAlign w:val="center"/>
          </w:tcPr>
          <w:p w:rsidR="00480D11" w:rsidRPr="00480D11" w:rsidRDefault="00480D11">
            <w:pPr>
              <w:jc w:val="center"/>
              <w:rPr>
                <w:rFonts w:asciiTheme="minorEastAsia" w:eastAsiaTheme="minorEastAsia" w:hAnsiTheme="minorEastAsia"/>
                <w:sz w:val="24"/>
                <w:szCs w:val="28"/>
              </w:rPr>
            </w:pPr>
            <w:r w:rsidRPr="00480D11">
              <w:rPr>
                <w:rFonts w:asciiTheme="minorEastAsia" w:eastAsiaTheme="minorEastAsia" w:hAnsiTheme="minorEastAsia" w:hint="eastAsia"/>
                <w:sz w:val="24"/>
                <w:szCs w:val="28"/>
              </w:rPr>
              <w:t>股票型</w:t>
            </w:r>
          </w:p>
        </w:tc>
        <w:tc>
          <w:tcPr>
            <w:tcW w:w="1275" w:type="dxa"/>
            <w:vAlign w:val="center"/>
          </w:tcPr>
          <w:p w:rsidR="00480D11" w:rsidRPr="0017425A" w:rsidRDefault="00480D11" w:rsidP="00480D1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480D11" w:rsidRPr="00C575FF" w:rsidTr="00D6319A">
        <w:trPr>
          <w:jc w:val="center"/>
        </w:trPr>
        <w:tc>
          <w:tcPr>
            <w:tcW w:w="1271" w:type="dxa"/>
            <w:vAlign w:val="center"/>
          </w:tcPr>
          <w:p w:rsidR="00480D11" w:rsidRPr="00480D11" w:rsidRDefault="00480D11">
            <w:pPr>
              <w:jc w:val="center"/>
              <w:rPr>
                <w:rFonts w:asciiTheme="minorEastAsia" w:eastAsiaTheme="minorEastAsia" w:hAnsiTheme="minorEastAsia"/>
                <w:sz w:val="24"/>
                <w:szCs w:val="28"/>
              </w:rPr>
            </w:pPr>
            <w:r w:rsidRPr="00ED04E4">
              <w:rPr>
                <w:rFonts w:asciiTheme="minorEastAsia" w:eastAsiaTheme="minorEastAsia" w:hAnsiTheme="minorEastAsia"/>
                <w:sz w:val="24"/>
                <w:szCs w:val="28"/>
              </w:rPr>
              <w:t>011631</w:t>
            </w:r>
          </w:p>
        </w:tc>
        <w:tc>
          <w:tcPr>
            <w:tcW w:w="4111" w:type="dxa"/>
          </w:tcPr>
          <w:p w:rsidR="00480D11" w:rsidRPr="00ED04E4" w:rsidRDefault="00480D11" w:rsidP="00480D11">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西藏东财中证有色金属指数增强型发起式证券投资基金C</w:t>
            </w:r>
          </w:p>
        </w:tc>
        <w:tc>
          <w:tcPr>
            <w:tcW w:w="1843" w:type="dxa"/>
            <w:vAlign w:val="center"/>
          </w:tcPr>
          <w:p w:rsidR="00480D11" w:rsidRPr="00480D11" w:rsidRDefault="00480D11">
            <w:pPr>
              <w:jc w:val="center"/>
              <w:rPr>
                <w:rFonts w:asciiTheme="minorEastAsia" w:eastAsiaTheme="minorEastAsia" w:hAnsiTheme="minorEastAsia"/>
                <w:sz w:val="24"/>
                <w:szCs w:val="28"/>
              </w:rPr>
            </w:pPr>
            <w:r w:rsidRPr="00480D11">
              <w:rPr>
                <w:rFonts w:asciiTheme="minorEastAsia" w:eastAsiaTheme="minorEastAsia" w:hAnsiTheme="minorEastAsia" w:hint="eastAsia"/>
                <w:sz w:val="24"/>
                <w:szCs w:val="28"/>
              </w:rPr>
              <w:t>股票型</w:t>
            </w:r>
          </w:p>
        </w:tc>
        <w:tc>
          <w:tcPr>
            <w:tcW w:w="1275" w:type="dxa"/>
            <w:vAlign w:val="center"/>
          </w:tcPr>
          <w:p w:rsidR="00480D11" w:rsidRPr="0017425A" w:rsidRDefault="00480D11" w:rsidP="00480D1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480D11" w:rsidRPr="00C575FF" w:rsidTr="00D6319A">
        <w:trPr>
          <w:jc w:val="center"/>
        </w:trPr>
        <w:tc>
          <w:tcPr>
            <w:tcW w:w="1271" w:type="dxa"/>
            <w:vAlign w:val="center"/>
          </w:tcPr>
          <w:p w:rsidR="00480D11" w:rsidRPr="00480D11" w:rsidRDefault="00480D11">
            <w:pPr>
              <w:jc w:val="center"/>
              <w:rPr>
                <w:rFonts w:asciiTheme="minorEastAsia" w:eastAsiaTheme="minorEastAsia" w:hAnsiTheme="minorEastAsia"/>
                <w:sz w:val="24"/>
                <w:szCs w:val="28"/>
              </w:rPr>
            </w:pPr>
            <w:r w:rsidRPr="00ED04E4">
              <w:rPr>
                <w:rFonts w:asciiTheme="minorEastAsia" w:eastAsiaTheme="minorEastAsia" w:hAnsiTheme="minorEastAsia"/>
                <w:sz w:val="24"/>
                <w:szCs w:val="28"/>
              </w:rPr>
              <w:t>011667</w:t>
            </w:r>
          </w:p>
        </w:tc>
        <w:tc>
          <w:tcPr>
            <w:tcW w:w="4111" w:type="dxa"/>
          </w:tcPr>
          <w:p w:rsidR="00480D11" w:rsidRPr="00ED04E4" w:rsidRDefault="00480D11" w:rsidP="00480D11">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西藏东财中证高端装备制造指数增强型发起式证券投资基金</w:t>
            </w:r>
            <w:r w:rsidRPr="00ED04E4">
              <w:rPr>
                <w:rFonts w:asciiTheme="minorEastAsia" w:eastAsiaTheme="minorEastAsia" w:hAnsiTheme="minorEastAsia"/>
                <w:sz w:val="24"/>
                <w:szCs w:val="28"/>
              </w:rPr>
              <w:t>A</w:t>
            </w:r>
          </w:p>
        </w:tc>
        <w:tc>
          <w:tcPr>
            <w:tcW w:w="1843" w:type="dxa"/>
            <w:vAlign w:val="center"/>
          </w:tcPr>
          <w:p w:rsidR="00480D11" w:rsidRPr="00480D11" w:rsidRDefault="00480D11">
            <w:pPr>
              <w:jc w:val="center"/>
              <w:rPr>
                <w:rFonts w:asciiTheme="minorEastAsia" w:eastAsiaTheme="minorEastAsia" w:hAnsiTheme="minorEastAsia"/>
                <w:sz w:val="24"/>
                <w:szCs w:val="28"/>
              </w:rPr>
            </w:pPr>
            <w:r w:rsidRPr="00480D11">
              <w:rPr>
                <w:rFonts w:asciiTheme="minorEastAsia" w:eastAsiaTheme="minorEastAsia" w:hAnsiTheme="minorEastAsia" w:hint="eastAsia"/>
                <w:sz w:val="24"/>
                <w:szCs w:val="28"/>
              </w:rPr>
              <w:t>股票型</w:t>
            </w:r>
          </w:p>
        </w:tc>
        <w:tc>
          <w:tcPr>
            <w:tcW w:w="1275" w:type="dxa"/>
            <w:vAlign w:val="center"/>
          </w:tcPr>
          <w:p w:rsidR="00480D11" w:rsidRPr="0017425A" w:rsidRDefault="00480D11" w:rsidP="00480D1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480D11" w:rsidRPr="00C575FF" w:rsidTr="00D6319A">
        <w:trPr>
          <w:jc w:val="center"/>
        </w:trPr>
        <w:tc>
          <w:tcPr>
            <w:tcW w:w="1271" w:type="dxa"/>
            <w:vAlign w:val="center"/>
          </w:tcPr>
          <w:p w:rsidR="00480D11" w:rsidRPr="00480D11" w:rsidRDefault="00480D11">
            <w:pPr>
              <w:jc w:val="center"/>
              <w:rPr>
                <w:rFonts w:asciiTheme="minorEastAsia" w:eastAsiaTheme="minorEastAsia" w:hAnsiTheme="minorEastAsia"/>
                <w:sz w:val="24"/>
                <w:szCs w:val="28"/>
              </w:rPr>
            </w:pPr>
            <w:r w:rsidRPr="00ED04E4">
              <w:rPr>
                <w:rFonts w:asciiTheme="minorEastAsia" w:eastAsiaTheme="minorEastAsia" w:hAnsiTheme="minorEastAsia"/>
                <w:sz w:val="24"/>
                <w:szCs w:val="28"/>
              </w:rPr>
              <w:t>011668</w:t>
            </w:r>
          </w:p>
        </w:tc>
        <w:tc>
          <w:tcPr>
            <w:tcW w:w="4111" w:type="dxa"/>
          </w:tcPr>
          <w:p w:rsidR="00480D11" w:rsidRPr="00ED04E4" w:rsidRDefault="00480D11" w:rsidP="00480D11">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西藏东财中证高端装备制造指数增强型发起式证券投资基金C</w:t>
            </w:r>
          </w:p>
        </w:tc>
        <w:tc>
          <w:tcPr>
            <w:tcW w:w="1843" w:type="dxa"/>
            <w:vAlign w:val="center"/>
          </w:tcPr>
          <w:p w:rsidR="00480D11" w:rsidRPr="00480D11" w:rsidRDefault="00480D11">
            <w:pPr>
              <w:jc w:val="center"/>
              <w:rPr>
                <w:rFonts w:asciiTheme="minorEastAsia" w:eastAsiaTheme="minorEastAsia" w:hAnsiTheme="minorEastAsia"/>
                <w:sz w:val="24"/>
                <w:szCs w:val="28"/>
              </w:rPr>
            </w:pPr>
            <w:r w:rsidRPr="00480D11">
              <w:rPr>
                <w:rFonts w:asciiTheme="minorEastAsia" w:eastAsiaTheme="minorEastAsia" w:hAnsiTheme="minorEastAsia" w:hint="eastAsia"/>
                <w:sz w:val="24"/>
                <w:szCs w:val="28"/>
              </w:rPr>
              <w:t>股票型</w:t>
            </w:r>
          </w:p>
        </w:tc>
        <w:tc>
          <w:tcPr>
            <w:tcW w:w="1275" w:type="dxa"/>
            <w:vAlign w:val="center"/>
          </w:tcPr>
          <w:p w:rsidR="00480D11" w:rsidRPr="0017425A" w:rsidRDefault="00480D11" w:rsidP="00480D1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480D11" w:rsidRPr="00C575FF" w:rsidTr="00D6319A">
        <w:trPr>
          <w:jc w:val="center"/>
        </w:trPr>
        <w:tc>
          <w:tcPr>
            <w:tcW w:w="1271" w:type="dxa"/>
            <w:vAlign w:val="center"/>
          </w:tcPr>
          <w:p w:rsidR="00480D11" w:rsidRPr="00480D11" w:rsidRDefault="00480D11">
            <w:pPr>
              <w:jc w:val="center"/>
              <w:rPr>
                <w:rFonts w:asciiTheme="minorEastAsia" w:eastAsiaTheme="minorEastAsia" w:hAnsiTheme="minorEastAsia"/>
                <w:sz w:val="24"/>
                <w:szCs w:val="28"/>
              </w:rPr>
            </w:pPr>
            <w:r w:rsidRPr="00ED04E4">
              <w:rPr>
                <w:rFonts w:asciiTheme="minorEastAsia" w:eastAsiaTheme="minorEastAsia" w:hAnsiTheme="minorEastAsia"/>
                <w:sz w:val="24"/>
                <w:szCs w:val="28"/>
              </w:rPr>
              <w:t>011971</w:t>
            </w:r>
          </w:p>
        </w:tc>
        <w:tc>
          <w:tcPr>
            <w:tcW w:w="4111" w:type="dxa"/>
          </w:tcPr>
          <w:p w:rsidR="00480D11" w:rsidRPr="00ED04E4" w:rsidRDefault="00480D11" w:rsidP="00480D11">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西藏东财中证银行指数型发起式证券投资基金</w:t>
            </w:r>
            <w:r w:rsidRPr="00ED04E4">
              <w:rPr>
                <w:rFonts w:asciiTheme="minorEastAsia" w:eastAsiaTheme="minorEastAsia" w:hAnsiTheme="minorEastAsia"/>
                <w:sz w:val="24"/>
                <w:szCs w:val="28"/>
              </w:rPr>
              <w:t>A</w:t>
            </w:r>
          </w:p>
        </w:tc>
        <w:tc>
          <w:tcPr>
            <w:tcW w:w="1843" w:type="dxa"/>
            <w:vAlign w:val="center"/>
          </w:tcPr>
          <w:p w:rsidR="00480D11" w:rsidRPr="00480D11" w:rsidRDefault="00480D11">
            <w:pPr>
              <w:jc w:val="center"/>
              <w:rPr>
                <w:rFonts w:asciiTheme="minorEastAsia" w:eastAsiaTheme="minorEastAsia" w:hAnsiTheme="minorEastAsia"/>
                <w:sz w:val="24"/>
                <w:szCs w:val="28"/>
              </w:rPr>
            </w:pPr>
            <w:r w:rsidRPr="00480D11">
              <w:rPr>
                <w:rFonts w:asciiTheme="minorEastAsia" w:eastAsiaTheme="minorEastAsia" w:hAnsiTheme="minorEastAsia" w:hint="eastAsia"/>
                <w:sz w:val="24"/>
                <w:szCs w:val="28"/>
              </w:rPr>
              <w:t>股票型</w:t>
            </w:r>
          </w:p>
        </w:tc>
        <w:tc>
          <w:tcPr>
            <w:tcW w:w="1275" w:type="dxa"/>
            <w:vAlign w:val="center"/>
          </w:tcPr>
          <w:p w:rsidR="00480D11" w:rsidRPr="0017425A" w:rsidRDefault="00480D11" w:rsidP="00480D1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480D11" w:rsidRPr="00C575FF" w:rsidTr="00D6319A">
        <w:trPr>
          <w:jc w:val="center"/>
        </w:trPr>
        <w:tc>
          <w:tcPr>
            <w:tcW w:w="1271" w:type="dxa"/>
            <w:vAlign w:val="center"/>
          </w:tcPr>
          <w:p w:rsidR="00480D11" w:rsidRPr="00480D11" w:rsidRDefault="00480D11">
            <w:pPr>
              <w:jc w:val="center"/>
              <w:rPr>
                <w:rFonts w:asciiTheme="minorEastAsia" w:eastAsiaTheme="minorEastAsia" w:hAnsiTheme="minorEastAsia"/>
                <w:sz w:val="24"/>
                <w:szCs w:val="28"/>
              </w:rPr>
            </w:pPr>
            <w:r w:rsidRPr="00ED04E4">
              <w:rPr>
                <w:rFonts w:asciiTheme="minorEastAsia" w:eastAsiaTheme="minorEastAsia" w:hAnsiTheme="minorEastAsia"/>
                <w:sz w:val="24"/>
                <w:szCs w:val="28"/>
              </w:rPr>
              <w:t>011972</w:t>
            </w:r>
          </w:p>
        </w:tc>
        <w:tc>
          <w:tcPr>
            <w:tcW w:w="4111" w:type="dxa"/>
          </w:tcPr>
          <w:p w:rsidR="00480D11" w:rsidRPr="00ED04E4" w:rsidRDefault="00480D11" w:rsidP="00480D11">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西藏东财中证银行指数型发起式证券投资基金</w:t>
            </w:r>
            <w:r w:rsidR="000206B9">
              <w:rPr>
                <w:rFonts w:asciiTheme="minorEastAsia" w:eastAsiaTheme="minorEastAsia" w:hAnsiTheme="minorEastAsia"/>
                <w:sz w:val="24"/>
                <w:szCs w:val="28"/>
              </w:rPr>
              <w:t>C</w:t>
            </w:r>
          </w:p>
        </w:tc>
        <w:tc>
          <w:tcPr>
            <w:tcW w:w="1843" w:type="dxa"/>
            <w:vAlign w:val="center"/>
          </w:tcPr>
          <w:p w:rsidR="00480D11" w:rsidRPr="00480D11" w:rsidRDefault="00480D11">
            <w:pPr>
              <w:jc w:val="center"/>
              <w:rPr>
                <w:rFonts w:asciiTheme="minorEastAsia" w:eastAsiaTheme="minorEastAsia" w:hAnsiTheme="minorEastAsia"/>
                <w:sz w:val="24"/>
                <w:szCs w:val="28"/>
              </w:rPr>
            </w:pPr>
            <w:r w:rsidRPr="00480D11">
              <w:rPr>
                <w:rFonts w:asciiTheme="minorEastAsia" w:eastAsiaTheme="minorEastAsia" w:hAnsiTheme="minorEastAsia" w:hint="eastAsia"/>
                <w:sz w:val="24"/>
                <w:szCs w:val="28"/>
              </w:rPr>
              <w:t>股票型</w:t>
            </w:r>
          </w:p>
        </w:tc>
        <w:tc>
          <w:tcPr>
            <w:tcW w:w="1275" w:type="dxa"/>
            <w:vAlign w:val="center"/>
          </w:tcPr>
          <w:p w:rsidR="00480D11" w:rsidRPr="0017425A" w:rsidRDefault="00480D11" w:rsidP="00480D1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480D11" w:rsidRPr="00C575FF" w:rsidTr="00D6319A">
        <w:trPr>
          <w:jc w:val="center"/>
        </w:trPr>
        <w:tc>
          <w:tcPr>
            <w:tcW w:w="1271" w:type="dxa"/>
            <w:vAlign w:val="center"/>
          </w:tcPr>
          <w:p w:rsidR="00480D11" w:rsidRPr="00480D11" w:rsidRDefault="00480D11">
            <w:pPr>
              <w:jc w:val="center"/>
              <w:rPr>
                <w:rFonts w:asciiTheme="minorEastAsia" w:eastAsiaTheme="minorEastAsia" w:hAnsiTheme="minorEastAsia"/>
                <w:sz w:val="24"/>
                <w:szCs w:val="28"/>
              </w:rPr>
            </w:pPr>
            <w:r w:rsidRPr="00ED04E4">
              <w:rPr>
                <w:rFonts w:asciiTheme="minorEastAsia" w:eastAsiaTheme="minorEastAsia" w:hAnsiTheme="minorEastAsia"/>
                <w:sz w:val="24"/>
                <w:szCs w:val="28"/>
              </w:rPr>
              <w:t>012371</w:t>
            </w:r>
          </w:p>
        </w:tc>
        <w:tc>
          <w:tcPr>
            <w:tcW w:w="4111" w:type="dxa"/>
          </w:tcPr>
          <w:p w:rsidR="00480D11" w:rsidRPr="00ED04E4" w:rsidRDefault="00480D11" w:rsidP="00480D11">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西藏东财中证沪港深互联网指数型发起式证券投资基金</w:t>
            </w:r>
            <w:r w:rsidRPr="00ED04E4">
              <w:rPr>
                <w:rFonts w:asciiTheme="minorEastAsia" w:eastAsiaTheme="minorEastAsia" w:hAnsiTheme="minorEastAsia"/>
                <w:sz w:val="24"/>
                <w:szCs w:val="28"/>
              </w:rPr>
              <w:t>A</w:t>
            </w:r>
          </w:p>
        </w:tc>
        <w:tc>
          <w:tcPr>
            <w:tcW w:w="1843" w:type="dxa"/>
            <w:vAlign w:val="center"/>
          </w:tcPr>
          <w:p w:rsidR="00480D11" w:rsidRPr="00480D11" w:rsidRDefault="00480D11">
            <w:pPr>
              <w:jc w:val="center"/>
              <w:rPr>
                <w:rFonts w:asciiTheme="minorEastAsia" w:eastAsiaTheme="minorEastAsia" w:hAnsiTheme="minorEastAsia"/>
                <w:sz w:val="24"/>
                <w:szCs w:val="28"/>
              </w:rPr>
            </w:pPr>
            <w:r w:rsidRPr="00480D11">
              <w:rPr>
                <w:rFonts w:asciiTheme="minorEastAsia" w:eastAsiaTheme="minorEastAsia" w:hAnsiTheme="minorEastAsia" w:hint="eastAsia"/>
                <w:sz w:val="24"/>
                <w:szCs w:val="28"/>
              </w:rPr>
              <w:t>股票型</w:t>
            </w:r>
          </w:p>
        </w:tc>
        <w:tc>
          <w:tcPr>
            <w:tcW w:w="1275" w:type="dxa"/>
            <w:vAlign w:val="center"/>
          </w:tcPr>
          <w:p w:rsidR="00480D11" w:rsidRPr="0017425A" w:rsidRDefault="00480D11" w:rsidP="00480D1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480D11" w:rsidRPr="00C575FF" w:rsidTr="00D6319A">
        <w:trPr>
          <w:jc w:val="center"/>
        </w:trPr>
        <w:tc>
          <w:tcPr>
            <w:tcW w:w="1271" w:type="dxa"/>
            <w:vAlign w:val="center"/>
          </w:tcPr>
          <w:p w:rsidR="00480D11" w:rsidRPr="00480D11" w:rsidRDefault="00480D11">
            <w:pPr>
              <w:jc w:val="center"/>
              <w:rPr>
                <w:rFonts w:asciiTheme="minorEastAsia" w:eastAsiaTheme="minorEastAsia" w:hAnsiTheme="minorEastAsia"/>
                <w:sz w:val="24"/>
                <w:szCs w:val="28"/>
              </w:rPr>
            </w:pPr>
            <w:r w:rsidRPr="00ED04E4">
              <w:rPr>
                <w:rFonts w:asciiTheme="minorEastAsia" w:eastAsiaTheme="minorEastAsia" w:hAnsiTheme="minorEastAsia"/>
                <w:sz w:val="24"/>
                <w:szCs w:val="28"/>
              </w:rPr>
              <w:t>012372</w:t>
            </w:r>
          </w:p>
        </w:tc>
        <w:tc>
          <w:tcPr>
            <w:tcW w:w="4111" w:type="dxa"/>
          </w:tcPr>
          <w:p w:rsidR="00480D11" w:rsidRPr="00ED04E4" w:rsidRDefault="00480D11" w:rsidP="00480D11">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西藏东财中证沪港深互联网指数型发起式证券投资基金</w:t>
            </w:r>
            <w:r w:rsidRPr="00ED04E4">
              <w:rPr>
                <w:rFonts w:asciiTheme="minorEastAsia" w:eastAsiaTheme="minorEastAsia" w:hAnsiTheme="minorEastAsia"/>
                <w:sz w:val="24"/>
                <w:szCs w:val="28"/>
              </w:rPr>
              <w:t>C</w:t>
            </w:r>
          </w:p>
        </w:tc>
        <w:tc>
          <w:tcPr>
            <w:tcW w:w="1843" w:type="dxa"/>
            <w:vAlign w:val="center"/>
          </w:tcPr>
          <w:p w:rsidR="00480D11" w:rsidRPr="00480D11" w:rsidRDefault="00480D11">
            <w:pPr>
              <w:jc w:val="center"/>
              <w:rPr>
                <w:rFonts w:asciiTheme="minorEastAsia" w:eastAsiaTheme="minorEastAsia" w:hAnsiTheme="minorEastAsia"/>
                <w:sz w:val="24"/>
                <w:szCs w:val="28"/>
              </w:rPr>
            </w:pPr>
            <w:r w:rsidRPr="00480D11">
              <w:rPr>
                <w:rFonts w:asciiTheme="minorEastAsia" w:eastAsiaTheme="minorEastAsia" w:hAnsiTheme="minorEastAsia" w:hint="eastAsia"/>
                <w:sz w:val="24"/>
                <w:szCs w:val="28"/>
              </w:rPr>
              <w:t>股票型</w:t>
            </w:r>
          </w:p>
        </w:tc>
        <w:tc>
          <w:tcPr>
            <w:tcW w:w="1275" w:type="dxa"/>
            <w:vAlign w:val="center"/>
          </w:tcPr>
          <w:p w:rsidR="00480D11" w:rsidRPr="0017425A" w:rsidRDefault="00480D11" w:rsidP="00480D1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480D11" w:rsidRPr="00C575FF" w:rsidTr="00D6319A">
        <w:trPr>
          <w:jc w:val="center"/>
        </w:trPr>
        <w:tc>
          <w:tcPr>
            <w:tcW w:w="1271" w:type="dxa"/>
            <w:vAlign w:val="center"/>
          </w:tcPr>
          <w:p w:rsidR="00480D11" w:rsidRPr="00480D11" w:rsidRDefault="00480D11">
            <w:pPr>
              <w:jc w:val="center"/>
              <w:rPr>
                <w:rFonts w:asciiTheme="minorEastAsia" w:eastAsiaTheme="minorEastAsia" w:hAnsiTheme="minorEastAsia"/>
                <w:sz w:val="24"/>
                <w:szCs w:val="28"/>
              </w:rPr>
            </w:pPr>
            <w:r w:rsidRPr="00ED04E4">
              <w:rPr>
                <w:rFonts w:asciiTheme="minorEastAsia" w:eastAsiaTheme="minorEastAsia" w:hAnsiTheme="minorEastAsia"/>
                <w:sz w:val="24"/>
                <w:szCs w:val="28"/>
              </w:rPr>
              <w:t>012461</w:t>
            </w:r>
          </w:p>
        </w:tc>
        <w:tc>
          <w:tcPr>
            <w:tcW w:w="4111" w:type="dxa"/>
          </w:tcPr>
          <w:p w:rsidR="00480D11" w:rsidRPr="00ED04E4" w:rsidRDefault="00480D11" w:rsidP="00480D11">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西藏东财国证龙头家电指数型发起式证券投资基金</w:t>
            </w:r>
            <w:r w:rsidRPr="00ED04E4">
              <w:rPr>
                <w:rFonts w:asciiTheme="minorEastAsia" w:eastAsiaTheme="minorEastAsia" w:hAnsiTheme="minorEastAsia"/>
                <w:sz w:val="24"/>
                <w:szCs w:val="28"/>
              </w:rPr>
              <w:t>A</w:t>
            </w:r>
          </w:p>
        </w:tc>
        <w:tc>
          <w:tcPr>
            <w:tcW w:w="1843" w:type="dxa"/>
            <w:vAlign w:val="center"/>
          </w:tcPr>
          <w:p w:rsidR="00480D11" w:rsidRPr="00480D11" w:rsidRDefault="00480D11">
            <w:pPr>
              <w:jc w:val="center"/>
              <w:rPr>
                <w:rFonts w:asciiTheme="minorEastAsia" w:eastAsiaTheme="minorEastAsia" w:hAnsiTheme="minorEastAsia"/>
                <w:sz w:val="24"/>
                <w:szCs w:val="28"/>
              </w:rPr>
            </w:pPr>
            <w:r w:rsidRPr="00480D11">
              <w:rPr>
                <w:rFonts w:asciiTheme="minorEastAsia" w:eastAsiaTheme="minorEastAsia" w:hAnsiTheme="minorEastAsia" w:hint="eastAsia"/>
                <w:sz w:val="24"/>
                <w:szCs w:val="28"/>
              </w:rPr>
              <w:t>股票型</w:t>
            </w:r>
          </w:p>
        </w:tc>
        <w:tc>
          <w:tcPr>
            <w:tcW w:w="1275" w:type="dxa"/>
            <w:vAlign w:val="center"/>
          </w:tcPr>
          <w:p w:rsidR="00480D11" w:rsidRPr="0017425A" w:rsidRDefault="00480D11" w:rsidP="00480D1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480D11" w:rsidRPr="00C575FF" w:rsidTr="00D6319A">
        <w:trPr>
          <w:jc w:val="center"/>
        </w:trPr>
        <w:tc>
          <w:tcPr>
            <w:tcW w:w="1271" w:type="dxa"/>
            <w:vAlign w:val="center"/>
          </w:tcPr>
          <w:p w:rsidR="00480D11" w:rsidRPr="00480D11" w:rsidRDefault="00480D11">
            <w:pPr>
              <w:jc w:val="center"/>
              <w:rPr>
                <w:rFonts w:asciiTheme="minorEastAsia" w:eastAsiaTheme="minorEastAsia" w:hAnsiTheme="minorEastAsia"/>
                <w:sz w:val="24"/>
                <w:szCs w:val="28"/>
              </w:rPr>
            </w:pPr>
            <w:r w:rsidRPr="00ED04E4">
              <w:rPr>
                <w:rFonts w:asciiTheme="minorEastAsia" w:eastAsiaTheme="minorEastAsia" w:hAnsiTheme="minorEastAsia"/>
                <w:sz w:val="24"/>
                <w:szCs w:val="28"/>
              </w:rPr>
              <w:t>012462</w:t>
            </w:r>
          </w:p>
        </w:tc>
        <w:tc>
          <w:tcPr>
            <w:tcW w:w="4111" w:type="dxa"/>
          </w:tcPr>
          <w:p w:rsidR="00480D11" w:rsidRPr="00ED04E4" w:rsidRDefault="00480D11" w:rsidP="00480D11">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西藏东财国证龙头家电指数型发起式证券投资基金</w:t>
            </w:r>
            <w:r w:rsidRPr="00ED04E4">
              <w:rPr>
                <w:rFonts w:asciiTheme="minorEastAsia" w:eastAsiaTheme="minorEastAsia" w:hAnsiTheme="minorEastAsia"/>
                <w:sz w:val="24"/>
                <w:szCs w:val="28"/>
              </w:rPr>
              <w:t>C</w:t>
            </w:r>
          </w:p>
        </w:tc>
        <w:tc>
          <w:tcPr>
            <w:tcW w:w="1843" w:type="dxa"/>
            <w:vAlign w:val="center"/>
          </w:tcPr>
          <w:p w:rsidR="00480D11" w:rsidRPr="00480D11" w:rsidRDefault="00480D11">
            <w:pPr>
              <w:jc w:val="center"/>
              <w:rPr>
                <w:rFonts w:asciiTheme="minorEastAsia" w:eastAsiaTheme="minorEastAsia" w:hAnsiTheme="minorEastAsia"/>
                <w:sz w:val="24"/>
                <w:szCs w:val="28"/>
              </w:rPr>
            </w:pPr>
            <w:r w:rsidRPr="00480D11">
              <w:rPr>
                <w:rFonts w:asciiTheme="minorEastAsia" w:eastAsiaTheme="minorEastAsia" w:hAnsiTheme="minorEastAsia" w:hint="eastAsia"/>
                <w:sz w:val="24"/>
                <w:szCs w:val="28"/>
              </w:rPr>
              <w:t>股票型</w:t>
            </w:r>
          </w:p>
        </w:tc>
        <w:tc>
          <w:tcPr>
            <w:tcW w:w="1275" w:type="dxa"/>
            <w:vAlign w:val="center"/>
          </w:tcPr>
          <w:p w:rsidR="00480D11" w:rsidRPr="0017425A" w:rsidRDefault="00480D11" w:rsidP="00480D1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480D11" w:rsidRPr="00C575FF" w:rsidTr="00D6319A">
        <w:trPr>
          <w:jc w:val="center"/>
        </w:trPr>
        <w:tc>
          <w:tcPr>
            <w:tcW w:w="1271" w:type="dxa"/>
            <w:vAlign w:val="center"/>
          </w:tcPr>
          <w:p w:rsidR="00480D11" w:rsidRPr="00480D11" w:rsidRDefault="00480D11">
            <w:pPr>
              <w:jc w:val="center"/>
              <w:rPr>
                <w:rFonts w:asciiTheme="minorEastAsia" w:eastAsiaTheme="minorEastAsia" w:hAnsiTheme="minorEastAsia"/>
                <w:sz w:val="24"/>
                <w:szCs w:val="28"/>
              </w:rPr>
            </w:pPr>
            <w:r w:rsidRPr="00ED04E4">
              <w:rPr>
                <w:rFonts w:asciiTheme="minorEastAsia" w:eastAsiaTheme="minorEastAsia" w:hAnsiTheme="minorEastAsia"/>
                <w:sz w:val="24"/>
                <w:szCs w:val="28"/>
              </w:rPr>
              <w:t>012605</w:t>
            </w:r>
          </w:p>
        </w:tc>
        <w:tc>
          <w:tcPr>
            <w:tcW w:w="4111" w:type="dxa"/>
          </w:tcPr>
          <w:p w:rsidR="00480D11" w:rsidRPr="00ED04E4" w:rsidRDefault="00480D11" w:rsidP="00480D11">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西藏东财中证证券保险领先指数型发起式证券投资基金</w:t>
            </w:r>
            <w:r w:rsidRPr="00ED04E4">
              <w:rPr>
                <w:rFonts w:asciiTheme="minorEastAsia" w:eastAsiaTheme="minorEastAsia" w:hAnsiTheme="minorEastAsia"/>
                <w:sz w:val="24"/>
                <w:szCs w:val="28"/>
              </w:rPr>
              <w:t>A</w:t>
            </w:r>
          </w:p>
        </w:tc>
        <w:tc>
          <w:tcPr>
            <w:tcW w:w="1843" w:type="dxa"/>
            <w:vAlign w:val="center"/>
          </w:tcPr>
          <w:p w:rsidR="00480D11" w:rsidRPr="00480D11" w:rsidRDefault="00480D11">
            <w:pPr>
              <w:jc w:val="center"/>
              <w:rPr>
                <w:rFonts w:asciiTheme="minorEastAsia" w:eastAsiaTheme="minorEastAsia" w:hAnsiTheme="minorEastAsia"/>
                <w:sz w:val="24"/>
                <w:szCs w:val="28"/>
              </w:rPr>
            </w:pPr>
            <w:r w:rsidRPr="00480D11">
              <w:rPr>
                <w:rFonts w:asciiTheme="minorEastAsia" w:eastAsiaTheme="minorEastAsia" w:hAnsiTheme="minorEastAsia" w:hint="eastAsia"/>
                <w:sz w:val="24"/>
                <w:szCs w:val="28"/>
              </w:rPr>
              <w:t>股票型</w:t>
            </w:r>
          </w:p>
        </w:tc>
        <w:tc>
          <w:tcPr>
            <w:tcW w:w="1275" w:type="dxa"/>
            <w:vAlign w:val="center"/>
          </w:tcPr>
          <w:p w:rsidR="00480D11" w:rsidRPr="0017425A" w:rsidRDefault="00480D11" w:rsidP="00480D1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480D11" w:rsidRPr="00C575FF" w:rsidTr="00D6319A">
        <w:trPr>
          <w:jc w:val="center"/>
        </w:trPr>
        <w:tc>
          <w:tcPr>
            <w:tcW w:w="1271" w:type="dxa"/>
            <w:vAlign w:val="center"/>
          </w:tcPr>
          <w:p w:rsidR="00480D11" w:rsidRPr="00480D11" w:rsidRDefault="00480D11">
            <w:pPr>
              <w:jc w:val="center"/>
              <w:rPr>
                <w:rFonts w:asciiTheme="minorEastAsia" w:eastAsiaTheme="minorEastAsia" w:hAnsiTheme="minorEastAsia"/>
                <w:sz w:val="24"/>
                <w:szCs w:val="28"/>
              </w:rPr>
            </w:pPr>
            <w:r w:rsidRPr="00ED04E4">
              <w:rPr>
                <w:rFonts w:asciiTheme="minorEastAsia" w:eastAsiaTheme="minorEastAsia" w:hAnsiTheme="minorEastAsia"/>
                <w:sz w:val="24"/>
                <w:szCs w:val="28"/>
              </w:rPr>
              <w:t>012606</w:t>
            </w:r>
          </w:p>
        </w:tc>
        <w:tc>
          <w:tcPr>
            <w:tcW w:w="4111" w:type="dxa"/>
          </w:tcPr>
          <w:p w:rsidR="00480D11" w:rsidRPr="00ED04E4" w:rsidRDefault="00480D11" w:rsidP="00480D11">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西藏东财中证证券保险领先指数型发起式证券投资基金</w:t>
            </w:r>
            <w:r w:rsidRPr="00ED04E4">
              <w:rPr>
                <w:rFonts w:asciiTheme="minorEastAsia" w:eastAsiaTheme="minorEastAsia" w:hAnsiTheme="minorEastAsia"/>
                <w:sz w:val="24"/>
                <w:szCs w:val="28"/>
              </w:rPr>
              <w:t>C</w:t>
            </w:r>
          </w:p>
        </w:tc>
        <w:tc>
          <w:tcPr>
            <w:tcW w:w="1843" w:type="dxa"/>
            <w:vAlign w:val="center"/>
          </w:tcPr>
          <w:p w:rsidR="00480D11" w:rsidRPr="00480D11" w:rsidRDefault="00480D11">
            <w:pPr>
              <w:jc w:val="center"/>
              <w:rPr>
                <w:rFonts w:asciiTheme="minorEastAsia" w:eastAsiaTheme="minorEastAsia" w:hAnsiTheme="minorEastAsia"/>
                <w:sz w:val="24"/>
                <w:szCs w:val="28"/>
              </w:rPr>
            </w:pPr>
            <w:r w:rsidRPr="00480D11">
              <w:rPr>
                <w:rFonts w:asciiTheme="minorEastAsia" w:eastAsiaTheme="minorEastAsia" w:hAnsiTheme="minorEastAsia" w:hint="eastAsia"/>
                <w:sz w:val="24"/>
                <w:szCs w:val="28"/>
              </w:rPr>
              <w:t>股票型</w:t>
            </w:r>
          </w:p>
        </w:tc>
        <w:tc>
          <w:tcPr>
            <w:tcW w:w="1275" w:type="dxa"/>
            <w:vAlign w:val="center"/>
          </w:tcPr>
          <w:p w:rsidR="00480D11" w:rsidRPr="0017425A" w:rsidRDefault="00480D11" w:rsidP="00480D1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480D11" w:rsidRPr="00C575FF" w:rsidTr="00D6319A">
        <w:trPr>
          <w:jc w:val="center"/>
        </w:trPr>
        <w:tc>
          <w:tcPr>
            <w:tcW w:w="1271" w:type="dxa"/>
            <w:vAlign w:val="center"/>
          </w:tcPr>
          <w:p w:rsidR="00480D11" w:rsidRPr="00480D11" w:rsidRDefault="00480D11">
            <w:pPr>
              <w:jc w:val="center"/>
              <w:rPr>
                <w:rFonts w:asciiTheme="minorEastAsia" w:eastAsiaTheme="minorEastAsia" w:hAnsiTheme="minorEastAsia"/>
                <w:sz w:val="24"/>
                <w:szCs w:val="28"/>
              </w:rPr>
            </w:pPr>
            <w:r w:rsidRPr="00ED04E4">
              <w:rPr>
                <w:rFonts w:asciiTheme="minorEastAsia" w:eastAsiaTheme="minorEastAsia" w:hAnsiTheme="minorEastAsia"/>
                <w:sz w:val="24"/>
                <w:szCs w:val="28"/>
              </w:rPr>
              <w:t>012321</w:t>
            </w:r>
          </w:p>
        </w:tc>
        <w:tc>
          <w:tcPr>
            <w:tcW w:w="4111" w:type="dxa"/>
          </w:tcPr>
          <w:p w:rsidR="00480D11" w:rsidRPr="00ED04E4" w:rsidRDefault="00480D11" w:rsidP="00480D11">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西藏东财中证云计算与大数据主题指数增强型发起式证券投资基金</w:t>
            </w:r>
            <w:r w:rsidRPr="00ED04E4">
              <w:rPr>
                <w:rFonts w:asciiTheme="minorEastAsia" w:eastAsiaTheme="minorEastAsia" w:hAnsiTheme="minorEastAsia"/>
                <w:sz w:val="24"/>
                <w:szCs w:val="28"/>
              </w:rPr>
              <w:t>A</w:t>
            </w:r>
          </w:p>
        </w:tc>
        <w:tc>
          <w:tcPr>
            <w:tcW w:w="1843" w:type="dxa"/>
            <w:vAlign w:val="center"/>
          </w:tcPr>
          <w:p w:rsidR="00480D11" w:rsidRPr="00480D11" w:rsidRDefault="00480D11">
            <w:pPr>
              <w:jc w:val="center"/>
              <w:rPr>
                <w:rFonts w:asciiTheme="minorEastAsia" w:eastAsiaTheme="minorEastAsia" w:hAnsiTheme="minorEastAsia"/>
                <w:sz w:val="24"/>
                <w:szCs w:val="28"/>
              </w:rPr>
            </w:pPr>
            <w:r w:rsidRPr="00480D11">
              <w:rPr>
                <w:rFonts w:asciiTheme="minorEastAsia" w:eastAsiaTheme="minorEastAsia" w:hAnsiTheme="minorEastAsia" w:hint="eastAsia"/>
                <w:sz w:val="24"/>
                <w:szCs w:val="28"/>
              </w:rPr>
              <w:t>股票型</w:t>
            </w:r>
          </w:p>
        </w:tc>
        <w:tc>
          <w:tcPr>
            <w:tcW w:w="1275" w:type="dxa"/>
            <w:vAlign w:val="center"/>
          </w:tcPr>
          <w:p w:rsidR="00480D11" w:rsidRPr="0017425A" w:rsidRDefault="00480D11" w:rsidP="00480D1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480D11" w:rsidRPr="00C575FF" w:rsidTr="00D6319A">
        <w:trPr>
          <w:jc w:val="center"/>
        </w:trPr>
        <w:tc>
          <w:tcPr>
            <w:tcW w:w="1271" w:type="dxa"/>
            <w:vAlign w:val="center"/>
          </w:tcPr>
          <w:p w:rsidR="00480D11" w:rsidRPr="00480D11" w:rsidRDefault="00480D11">
            <w:pPr>
              <w:jc w:val="center"/>
              <w:rPr>
                <w:rFonts w:asciiTheme="minorEastAsia" w:eastAsiaTheme="minorEastAsia" w:hAnsiTheme="minorEastAsia"/>
                <w:sz w:val="24"/>
                <w:szCs w:val="28"/>
              </w:rPr>
            </w:pPr>
            <w:r w:rsidRPr="00ED04E4">
              <w:rPr>
                <w:rFonts w:asciiTheme="minorEastAsia" w:eastAsiaTheme="minorEastAsia" w:hAnsiTheme="minorEastAsia"/>
                <w:sz w:val="24"/>
                <w:szCs w:val="28"/>
              </w:rPr>
              <w:t>012322</w:t>
            </w:r>
          </w:p>
        </w:tc>
        <w:tc>
          <w:tcPr>
            <w:tcW w:w="4111" w:type="dxa"/>
          </w:tcPr>
          <w:p w:rsidR="00480D11" w:rsidRPr="00ED04E4" w:rsidRDefault="00480D11" w:rsidP="00480D11">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西藏东财中证云计算与大数据主题指数增强型发起式证券投资基金</w:t>
            </w:r>
            <w:r w:rsidRPr="00ED04E4">
              <w:rPr>
                <w:rFonts w:asciiTheme="minorEastAsia" w:eastAsiaTheme="minorEastAsia" w:hAnsiTheme="minorEastAsia"/>
                <w:sz w:val="24"/>
                <w:szCs w:val="28"/>
              </w:rPr>
              <w:t>C</w:t>
            </w:r>
          </w:p>
        </w:tc>
        <w:tc>
          <w:tcPr>
            <w:tcW w:w="1843" w:type="dxa"/>
            <w:vAlign w:val="center"/>
          </w:tcPr>
          <w:p w:rsidR="00480D11" w:rsidRPr="00480D11" w:rsidRDefault="00480D11">
            <w:pPr>
              <w:jc w:val="center"/>
              <w:rPr>
                <w:rFonts w:asciiTheme="minorEastAsia" w:eastAsiaTheme="minorEastAsia" w:hAnsiTheme="minorEastAsia"/>
                <w:sz w:val="24"/>
                <w:szCs w:val="28"/>
              </w:rPr>
            </w:pPr>
            <w:r w:rsidRPr="00480D11">
              <w:rPr>
                <w:rFonts w:asciiTheme="minorEastAsia" w:eastAsiaTheme="minorEastAsia" w:hAnsiTheme="minorEastAsia" w:hint="eastAsia"/>
                <w:sz w:val="24"/>
                <w:szCs w:val="28"/>
              </w:rPr>
              <w:t>股票型</w:t>
            </w:r>
          </w:p>
        </w:tc>
        <w:tc>
          <w:tcPr>
            <w:tcW w:w="1275" w:type="dxa"/>
            <w:vAlign w:val="center"/>
          </w:tcPr>
          <w:p w:rsidR="00480D11" w:rsidRPr="0017425A" w:rsidRDefault="00480D11" w:rsidP="00480D1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480D11" w:rsidRPr="00C575FF" w:rsidTr="00D6319A">
        <w:trPr>
          <w:jc w:val="center"/>
        </w:trPr>
        <w:tc>
          <w:tcPr>
            <w:tcW w:w="1271" w:type="dxa"/>
            <w:vAlign w:val="center"/>
          </w:tcPr>
          <w:p w:rsidR="00480D11" w:rsidRPr="00ED04E4" w:rsidRDefault="00480D11" w:rsidP="00ED04E4">
            <w:pPr>
              <w:jc w:val="center"/>
              <w:rPr>
                <w:rFonts w:asciiTheme="minorEastAsia" w:eastAsiaTheme="minorEastAsia" w:hAnsiTheme="minorEastAsia"/>
                <w:szCs w:val="28"/>
              </w:rPr>
            </w:pPr>
            <w:r w:rsidRPr="00ED04E4">
              <w:rPr>
                <w:rFonts w:asciiTheme="minorEastAsia" w:eastAsiaTheme="minorEastAsia" w:hAnsiTheme="minorEastAsia"/>
                <w:sz w:val="24"/>
                <w:szCs w:val="28"/>
              </w:rPr>
              <w:t>013441</w:t>
            </w:r>
          </w:p>
        </w:tc>
        <w:tc>
          <w:tcPr>
            <w:tcW w:w="4111" w:type="dxa"/>
          </w:tcPr>
          <w:p w:rsidR="00480D11" w:rsidRPr="00ED04E4" w:rsidRDefault="00480D11" w:rsidP="00480D11">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西藏东财创新医疗六个月定期开放混合型发起式证券投资基金</w:t>
            </w:r>
          </w:p>
        </w:tc>
        <w:tc>
          <w:tcPr>
            <w:tcW w:w="1843" w:type="dxa"/>
            <w:vAlign w:val="center"/>
          </w:tcPr>
          <w:p w:rsidR="00480D11" w:rsidRPr="00480D11" w:rsidRDefault="00480D11">
            <w:pPr>
              <w:jc w:val="center"/>
              <w:rPr>
                <w:rFonts w:asciiTheme="minorEastAsia" w:eastAsiaTheme="minorEastAsia" w:hAnsiTheme="minorEastAsia"/>
                <w:sz w:val="24"/>
                <w:szCs w:val="28"/>
              </w:rPr>
            </w:pPr>
            <w:r w:rsidRPr="00480D11">
              <w:rPr>
                <w:rFonts w:asciiTheme="minorEastAsia" w:eastAsiaTheme="minorEastAsia" w:hAnsiTheme="minorEastAsia" w:hint="eastAsia"/>
                <w:sz w:val="24"/>
                <w:szCs w:val="28"/>
              </w:rPr>
              <w:t>混合型</w:t>
            </w:r>
          </w:p>
        </w:tc>
        <w:tc>
          <w:tcPr>
            <w:tcW w:w="1275" w:type="dxa"/>
            <w:vAlign w:val="center"/>
          </w:tcPr>
          <w:p w:rsidR="00480D11" w:rsidRPr="0017425A" w:rsidRDefault="00480D11" w:rsidP="00480D1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480D11" w:rsidRPr="00C575FF" w:rsidTr="00D6319A">
        <w:trPr>
          <w:jc w:val="center"/>
        </w:trPr>
        <w:tc>
          <w:tcPr>
            <w:tcW w:w="1271" w:type="dxa"/>
            <w:vAlign w:val="center"/>
          </w:tcPr>
          <w:p w:rsidR="00480D11" w:rsidRPr="00480D11" w:rsidRDefault="00480D11">
            <w:pPr>
              <w:jc w:val="center"/>
              <w:rPr>
                <w:rFonts w:asciiTheme="minorEastAsia" w:eastAsiaTheme="minorEastAsia" w:hAnsiTheme="minorEastAsia"/>
                <w:sz w:val="24"/>
                <w:szCs w:val="28"/>
              </w:rPr>
            </w:pPr>
            <w:r w:rsidRPr="00ED04E4">
              <w:rPr>
                <w:rFonts w:asciiTheme="minorEastAsia" w:eastAsiaTheme="minorEastAsia" w:hAnsiTheme="minorEastAsia"/>
                <w:sz w:val="24"/>
                <w:szCs w:val="28"/>
              </w:rPr>
              <w:lastRenderedPageBreak/>
              <w:t>013445</w:t>
            </w:r>
          </w:p>
        </w:tc>
        <w:tc>
          <w:tcPr>
            <w:tcW w:w="4111" w:type="dxa"/>
          </w:tcPr>
          <w:p w:rsidR="00480D11" w:rsidRPr="00ED04E4" w:rsidRDefault="00480D11" w:rsidP="00480D11">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西藏东财中证芯片产业指数型发起式证券投资基金</w:t>
            </w:r>
            <w:r w:rsidRPr="00ED04E4">
              <w:rPr>
                <w:rFonts w:asciiTheme="minorEastAsia" w:eastAsiaTheme="minorEastAsia" w:hAnsiTheme="minorEastAsia"/>
                <w:sz w:val="24"/>
                <w:szCs w:val="28"/>
              </w:rPr>
              <w:t>A</w:t>
            </w:r>
          </w:p>
        </w:tc>
        <w:tc>
          <w:tcPr>
            <w:tcW w:w="1843" w:type="dxa"/>
            <w:vAlign w:val="center"/>
          </w:tcPr>
          <w:p w:rsidR="00480D11" w:rsidRPr="00480D11" w:rsidRDefault="00480D11">
            <w:pPr>
              <w:jc w:val="center"/>
              <w:rPr>
                <w:rFonts w:asciiTheme="minorEastAsia" w:eastAsiaTheme="minorEastAsia" w:hAnsiTheme="minorEastAsia"/>
                <w:sz w:val="24"/>
                <w:szCs w:val="28"/>
              </w:rPr>
            </w:pPr>
            <w:r w:rsidRPr="00480D11">
              <w:rPr>
                <w:rFonts w:asciiTheme="minorEastAsia" w:eastAsiaTheme="minorEastAsia" w:hAnsiTheme="minorEastAsia" w:hint="eastAsia"/>
                <w:sz w:val="24"/>
                <w:szCs w:val="28"/>
              </w:rPr>
              <w:t>股票型</w:t>
            </w:r>
          </w:p>
        </w:tc>
        <w:tc>
          <w:tcPr>
            <w:tcW w:w="1275" w:type="dxa"/>
            <w:vAlign w:val="center"/>
          </w:tcPr>
          <w:p w:rsidR="00480D11" w:rsidRPr="0017425A" w:rsidRDefault="00480D11" w:rsidP="00480D1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480D11" w:rsidRPr="00C575FF" w:rsidTr="00D6319A">
        <w:trPr>
          <w:jc w:val="center"/>
        </w:trPr>
        <w:tc>
          <w:tcPr>
            <w:tcW w:w="1271" w:type="dxa"/>
            <w:vAlign w:val="center"/>
          </w:tcPr>
          <w:p w:rsidR="00480D11" w:rsidRPr="00480D11" w:rsidRDefault="00480D11">
            <w:pPr>
              <w:jc w:val="center"/>
              <w:rPr>
                <w:rFonts w:asciiTheme="minorEastAsia" w:eastAsiaTheme="minorEastAsia" w:hAnsiTheme="minorEastAsia"/>
                <w:sz w:val="24"/>
                <w:szCs w:val="28"/>
              </w:rPr>
            </w:pPr>
            <w:r w:rsidRPr="00ED04E4">
              <w:rPr>
                <w:rFonts w:asciiTheme="minorEastAsia" w:eastAsiaTheme="minorEastAsia" w:hAnsiTheme="minorEastAsia"/>
                <w:sz w:val="24"/>
                <w:szCs w:val="28"/>
              </w:rPr>
              <w:t>013446</w:t>
            </w:r>
          </w:p>
        </w:tc>
        <w:tc>
          <w:tcPr>
            <w:tcW w:w="4111" w:type="dxa"/>
          </w:tcPr>
          <w:p w:rsidR="00480D11" w:rsidRPr="00ED04E4" w:rsidRDefault="00480D11" w:rsidP="00480D11">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西藏东财中证芯片产业指数型发起式证券投资基金</w:t>
            </w:r>
            <w:r w:rsidRPr="00ED04E4">
              <w:rPr>
                <w:rFonts w:asciiTheme="minorEastAsia" w:eastAsiaTheme="minorEastAsia" w:hAnsiTheme="minorEastAsia"/>
                <w:sz w:val="24"/>
                <w:szCs w:val="28"/>
              </w:rPr>
              <w:t>C</w:t>
            </w:r>
          </w:p>
        </w:tc>
        <w:tc>
          <w:tcPr>
            <w:tcW w:w="1843" w:type="dxa"/>
            <w:vAlign w:val="center"/>
          </w:tcPr>
          <w:p w:rsidR="00480D11" w:rsidRPr="00480D11" w:rsidRDefault="00480D11">
            <w:pPr>
              <w:jc w:val="center"/>
              <w:rPr>
                <w:rFonts w:asciiTheme="minorEastAsia" w:eastAsiaTheme="minorEastAsia" w:hAnsiTheme="minorEastAsia"/>
                <w:sz w:val="24"/>
                <w:szCs w:val="28"/>
              </w:rPr>
            </w:pPr>
            <w:r w:rsidRPr="00480D11">
              <w:rPr>
                <w:rFonts w:asciiTheme="minorEastAsia" w:eastAsiaTheme="minorEastAsia" w:hAnsiTheme="minorEastAsia" w:hint="eastAsia"/>
                <w:sz w:val="24"/>
                <w:szCs w:val="28"/>
              </w:rPr>
              <w:t>股票型</w:t>
            </w:r>
          </w:p>
        </w:tc>
        <w:tc>
          <w:tcPr>
            <w:tcW w:w="1275" w:type="dxa"/>
            <w:vAlign w:val="center"/>
          </w:tcPr>
          <w:p w:rsidR="00480D11" w:rsidRPr="0017425A" w:rsidRDefault="00480D11" w:rsidP="00480D1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480D11" w:rsidRPr="00C575FF" w:rsidTr="00D6319A">
        <w:trPr>
          <w:jc w:val="center"/>
        </w:trPr>
        <w:tc>
          <w:tcPr>
            <w:tcW w:w="1271" w:type="dxa"/>
            <w:vAlign w:val="center"/>
          </w:tcPr>
          <w:p w:rsidR="00480D11" w:rsidRPr="00480D11" w:rsidRDefault="00480D11">
            <w:pPr>
              <w:jc w:val="center"/>
              <w:rPr>
                <w:rFonts w:asciiTheme="minorEastAsia" w:eastAsiaTheme="minorEastAsia" w:hAnsiTheme="minorEastAsia"/>
                <w:sz w:val="24"/>
                <w:szCs w:val="28"/>
              </w:rPr>
            </w:pPr>
            <w:r w:rsidRPr="00ED04E4">
              <w:rPr>
                <w:rFonts w:asciiTheme="minorEastAsia" w:eastAsiaTheme="minorEastAsia" w:hAnsiTheme="minorEastAsia"/>
                <w:sz w:val="24"/>
                <w:szCs w:val="28"/>
              </w:rPr>
              <w:t>012319</w:t>
            </w:r>
          </w:p>
        </w:tc>
        <w:tc>
          <w:tcPr>
            <w:tcW w:w="4111" w:type="dxa"/>
          </w:tcPr>
          <w:p w:rsidR="00480D11" w:rsidRPr="00ED04E4" w:rsidRDefault="00480D11" w:rsidP="00480D11">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西藏东财国证消费电子主题指数增强型发起式证券投资基金</w:t>
            </w:r>
            <w:r w:rsidRPr="00ED04E4">
              <w:rPr>
                <w:rFonts w:asciiTheme="minorEastAsia" w:eastAsiaTheme="minorEastAsia" w:hAnsiTheme="minorEastAsia"/>
                <w:sz w:val="24"/>
                <w:szCs w:val="28"/>
              </w:rPr>
              <w:t>A</w:t>
            </w:r>
          </w:p>
        </w:tc>
        <w:tc>
          <w:tcPr>
            <w:tcW w:w="1843" w:type="dxa"/>
            <w:vAlign w:val="center"/>
          </w:tcPr>
          <w:p w:rsidR="00480D11" w:rsidRPr="00480D11" w:rsidRDefault="00480D11">
            <w:pPr>
              <w:jc w:val="center"/>
              <w:rPr>
                <w:rFonts w:asciiTheme="minorEastAsia" w:eastAsiaTheme="minorEastAsia" w:hAnsiTheme="minorEastAsia"/>
                <w:sz w:val="24"/>
                <w:szCs w:val="28"/>
              </w:rPr>
            </w:pPr>
            <w:r w:rsidRPr="00480D11">
              <w:rPr>
                <w:rFonts w:asciiTheme="minorEastAsia" w:eastAsiaTheme="minorEastAsia" w:hAnsiTheme="minorEastAsia" w:hint="eastAsia"/>
                <w:sz w:val="24"/>
                <w:szCs w:val="28"/>
              </w:rPr>
              <w:t>股票型</w:t>
            </w:r>
          </w:p>
        </w:tc>
        <w:tc>
          <w:tcPr>
            <w:tcW w:w="1275" w:type="dxa"/>
            <w:vAlign w:val="center"/>
          </w:tcPr>
          <w:p w:rsidR="00480D11" w:rsidRPr="0017425A" w:rsidRDefault="00480D11" w:rsidP="00480D1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480D11" w:rsidRPr="00C575FF" w:rsidTr="00D6319A">
        <w:trPr>
          <w:jc w:val="center"/>
        </w:trPr>
        <w:tc>
          <w:tcPr>
            <w:tcW w:w="1271" w:type="dxa"/>
            <w:vAlign w:val="center"/>
          </w:tcPr>
          <w:p w:rsidR="00480D11" w:rsidRPr="00480D11" w:rsidRDefault="00480D11">
            <w:pPr>
              <w:jc w:val="center"/>
              <w:rPr>
                <w:rFonts w:asciiTheme="minorEastAsia" w:eastAsiaTheme="minorEastAsia" w:hAnsiTheme="minorEastAsia"/>
                <w:sz w:val="24"/>
                <w:szCs w:val="28"/>
              </w:rPr>
            </w:pPr>
            <w:r w:rsidRPr="00ED04E4">
              <w:rPr>
                <w:rFonts w:asciiTheme="minorEastAsia" w:eastAsiaTheme="minorEastAsia" w:hAnsiTheme="minorEastAsia"/>
                <w:sz w:val="24"/>
                <w:szCs w:val="28"/>
              </w:rPr>
              <w:t>012320</w:t>
            </w:r>
          </w:p>
        </w:tc>
        <w:tc>
          <w:tcPr>
            <w:tcW w:w="4111" w:type="dxa"/>
          </w:tcPr>
          <w:p w:rsidR="00480D11" w:rsidRPr="00ED04E4" w:rsidRDefault="00480D11" w:rsidP="00480D11">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西藏东财国证消费电子主题指数增强型发起式证券投资基金</w:t>
            </w:r>
            <w:r w:rsidRPr="00ED04E4">
              <w:rPr>
                <w:rFonts w:asciiTheme="minorEastAsia" w:eastAsiaTheme="minorEastAsia" w:hAnsiTheme="minorEastAsia"/>
                <w:sz w:val="24"/>
                <w:szCs w:val="28"/>
              </w:rPr>
              <w:t>C</w:t>
            </w:r>
          </w:p>
        </w:tc>
        <w:tc>
          <w:tcPr>
            <w:tcW w:w="1843" w:type="dxa"/>
            <w:vAlign w:val="center"/>
          </w:tcPr>
          <w:p w:rsidR="00480D11" w:rsidRPr="00480D11" w:rsidRDefault="00480D11">
            <w:pPr>
              <w:jc w:val="center"/>
              <w:rPr>
                <w:rFonts w:asciiTheme="minorEastAsia" w:eastAsiaTheme="minorEastAsia" w:hAnsiTheme="minorEastAsia"/>
                <w:sz w:val="24"/>
                <w:szCs w:val="28"/>
              </w:rPr>
            </w:pPr>
            <w:r w:rsidRPr="00480D11">
              <w:rPr>
                <w:rFonts w:asciiTheme="minorEastAsia" w:eastAsiaTheme="minorEastAsia" w:hAnsiTheme="minorEastAsia" w:hint="eastAsia"/>
                <w:sz w:val="24"/>
                <w:szCs w:val="28"/>
              </w:rPr>
              <w:t>股票型</w:t>
            </w:r>
          </w:p>
        </w:tc>
        <w:tc>
          <w:tcPr>
            <w:tcW w:w="1275" w:type="dxa"/>
            <w:vAlign w:val="center"/>
          </w:tcPr>
          <w:p w:rsidR="00480D11" w:rsidRPr="0017425A" w:rsidRDefault="00480D11" w:rsidP="00480D1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480D11" w:rsidRPr="00C575FF" w:rsidTr="00D6319A">
        <w:trPr>
          <w:jc w:val="center"/>
        </w:trPr>
        <w:tc>
          <w:tcPr>
            <w:tcW w:w="1271" w:type="dxa"/>
            <w:vAlign w:val="center"/>
          </w:tcPr>
          <w:p w:rsidR="00480D11" w:rsidRPr="00480D11" w:rsidRDefault="00480D11">
            <w:pPr>
              <w:jc w:val="center"/>
              <w:rPr>
                <w:rFonts w:asciiTheme="minorEastAsia" w:eastAsiaTheme="minorEastAsia" w:hAnsiTheme="minorEastAsia"/>
                <w:sz w:val="24"/>
                <w:szCs w:val="28"/>
              </w:rPr>
            </w:pPr>
            <w:r w:rsidRPr="00ED04E4">
              <w:rPr>
                <w:rFonts w:asciiTheme="minorEastAsia" w:eastAsiaTheme="minorEastAsia" w:hAnsiTheme="minorEastAsia"/>
                <w:sz w:val="24"/>
                <w:szCs w:val="28"/>
              </w:rPr>
              <w:t>012340</w:t>
            </w:r>
          </w:p>
        </w:tc>
        <w:tc>
          <w:tcPr>
            <w:tcW w:w="4111" w:type="dxa"/>
          </w:tcPr>
          <w:p w:rsidR="00480D11" w:rsidRPr="00ED04E4" w:rsidRDefault="00480D11" w:rsidP="00480D11">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西藏东财中证食品饮料指数增强型发起式证券投资基金</w:t>
            </w:r>
            <w:r w:rsidRPr="00ED04E4">
              <w:rPr>
                <w:rFonts w:asciiTheme="minorEastAsia" w:eastAsiaTheme="minorEastAsia" w:hAnsiTheme="minorEastAsia"/>
                <w:sz w:val="24"/>
                <w:szCs w:val="28"/>
              </w:rPr>
              <w:t>A</w:t>
            </w:r>
          </w:p>
        </w:tc>
        <w:tc>
          <w:tcPr>
            <w:tcW w:w="1843" w:type="dxa"/>
            <w:vAlign w:val="center"/>
          </w:tcPr>
          <w:p w:rsidR="00480D11" w:rsidRPr="00480D11" w:rsidRDefault="00480D11">
            <w:pPr>
              <w:jc w:val="center"/>
              <w:rPr>
                <w:rFonts w:asciiTheme="minorEastAsia" w:eastAsiaTheme="minorEastAsia" w:hAnsiTheme="minorEastAsia"/>
                <w:sz w:val="24"/>
                <w:szCs w:val="28"/>
              </w:rPr>
            </w:pPr>
            <w:r w:rsidRPr="00480D11">
              <w:rPr>
                <w:rFonts w:asciiTheme="minorEastAsia" w:eastAsiaTheme="minorEastAsia" w:hAnsiTheme="minorEastAsia" w:hint="eastAsia"/>
                <w:sz w:val="24"/>
                <w:szCs w:val="28"/>
              </w:rPr>
              <w:t>股票型</w:t>
            </w:r>
          </w:p>
        </w:tc>
        <w:tc>
          <w:tcPr>
            <w:tcW w:w="1275" w:type="dxa"/>
            <w:vAlign w:val="center"/>
          </w:tcPr>
          <w:p w:rsidR="00480D11" w:rsidRPr="0017425A" w:rsidRDefault="00480D11" w:rsidP="00480D1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480D11" w:rsidRPr="00C575FF" w:rsidTr="00002990">
        <w:trPr>
          <w:jc w:val="center"/>
        </w:trPr>
        <w:tc>
          <w:tcPr>
            <w:tcW w:w="1271" w:type="dxa"/>
            <w:vAlign w:val="center"/>
          </w:tcPr>
          <w:p w:rsidR="00480D11" w:rsidRPr="00480D11" w:rsidRDefault="00480D11">
            <w:pPr>
              <w:jc w:val="center"/>
              <w:rPr>
                <w:rFonts w:asciiTheme="minorEastAsia" w:eastAsiaTheme="minorEastAsia" w:hAnsiTheme="minorEastAsia"/>
                <w:sz w:val="24"/>
                <w:szCs w:val="28"/>
              </w:rPr>
            </w:pPr>
            <w:r w:rsidRPr="00ED04E4">
              <w:rPr>
                <w:rFonts w:asciiTheme="minorEastAsia" w:eastAsiaTheme="minorEastAsia" w:hAnsiTheme="minorEastAsia"/>
                <w:sz w:val="24"/>
                <w:szCs w:val="28"/>
              </w:rPr>
              <w:t>012341</w:t>
            </w:r>
          </w:p>
        </w:tc>
        <w:tc>
          <w:tcPr>
            <w:tcW w:w="4111" w:type="dxa"/>
          </w:tcPr>
          <w:p w:rsidR="00480D11" w:rsidRPr="00ED04E4" w:rsidRDefault="00480D11" w:rsidP="00480D11">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西藏东财中证食品饮料指数增强型发起式证券投资基金</w:t>
            </w:r>
            <w:r w:rsidRPr="00ED04E4">
              <w:rPr>
                <w:rFonts w:asciiTheme="minorEastAsia" w:eastAsiaTheme="minorEastAsia" w:hAnsiTheme="minorEastAsia"/>
                <w:sz w:val="24"/>
                <w:szCs w:val="28"/>
              </w:rPr>
              <w:t>C</w:t>
            </w:r>
          </w:p>
        </w:tc>
        <w:tc>
          <w:tcPr>
            <w:tcW w:w="1843" w:type="dxa"/>
            <w:vAlign w:val="center"/>
          </w:tcPr>
          <w:p w:rsidR="00480D11" w:rsidRPr="00480D11" w:rsidRDefault="00480D11">
            <w:pPr>
              <w:jc w:val="center"/>
              <w:rPr>
                <w:rFonts w:asciiTheme="minorEastAsia" w:eastAsiaTheme="minorEastAsia" w:hAnsiTheme="minorEastAsia"/>
                <w:sz w:val="24"/>
                <w:szCs w:val="28"/>
              </w:rPr>
            </w:pPr>
            <w:r w:rsidRPr="00480D11">
              <w:rPr>
                <w:rFonts w:asciiTheme="minorEastAsia" w:eastAsiaTheme="minorEastAsia" w:hAnsiTheme="minorEastAsia" w:hint="eastAsia"/>
                <w:sz w:val="24"/>
                <w:szCs w:val="28"/>
              </w:rPr>
              <w:t>股票型</w:t>
            </w:r>
          </w:p>
        </w:tc>
        <w:tc>
          <w:tcPr>
            <w:tcW w:w="1275" w:type="dxa"/>
            <w:vAlign w:val="center"/>
          </w:tcPr>
          <w:p w:rsidR="00480D11" w:rsidRPr="0017425A" w:rsidRDefault="00480D11" w:rsidP="00480D1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480D11" w:rsidRPr="00C575FF" w:rsidTr="00002990">
        <w:trPr>
          <w:jc w:val="center"/>
        </w:trPr>
        <w:tc>
          <w:tcPr>
            <w:tcW w:w="1271" w:type="dxa"/>
            <w:vAlign w:val="center"/>
          </w:tcPr>
          <w:p w:rsidR="00480D11" w:rsidRPr="00ED04E4" w:rsidRDefault="00480D11">
            <w:pPr>
              <w:jc w:val="center"/>
              <w:rPr>
                <w:rFonts w:asciiTheme="minorEastAsia" w:eastAsiaTheme="minorEastAsia" w:hAnsiTheme="minorEastAsia"/>
                <w:sz w:val="24"/>
                <w:szCs w:val="28"/>
              </w:rPr>
            </w:pPr>
            <w:r w:rsidRPr="00ED04E4">
              <w:rPr>
                <w:rFonts w:asciiTheme="minorEastAsia" w:eastAsiaTheme="minorEastAsia" w:hAnsiTheme="minorEastAsia"/>
                <w:sz w:val="24"/>
                <w:szCs w:val="28"/>
              </w:rPr>
              <w:t>014128</w:t>
            </w:r>
          </w:p>
        </w:tc>
        <w:tc>
          <w:tcPr>
            <w:tcW w:w="4111" w:type="dxa"/>
          </w:tcPr>
          <w:p w:rsidR="00480D11" w:rsidRPr="00ED04E4" w:rsidRDefault="00480D11" w:rsidP="00480D11">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西藏东财中证沪港深创新药产业指数型发起式证券投资基金</w:t>
            </w:r>
            <w:r w:rsidRPr="00ED04E4">
              <w:rPr>
                <w:rFonts w:asciiTheme="minorEastAsia" w:eastAsiaTheme="minorEastAsia" w:hAnsiTheme="minorEastAsia"/>
                <w:sz w:val="24"/>
                <w:szCs w:val="28"/>
              </w:rPr>
              <w:t>A</w:t>
            </w:r>
          </w:p>
        </w:tc>
        <w:tc>
          <w:tcPr>
            <w:tcW w:w="1843" w:type="dxa"/>
            <w:vAlign w:val="center"/>
          </w:tcPr>
          <w:p w:rsidR="00480D11" w:rsidRPr="00480D11" w:rsidRDefault="00480D11">
            <w:pPr>
              <w:jc w:val="center"/>
              <w:rPr>
                <w:rFonts w:asciiTheme="minorEastAsia" w:eastAsiaTheme="minorEastAsia" w:hAnsiTheme="minorEastAsia"/>
                <w:sz w:val="24"/>
                <w:szCs w:val="28"/>
              </w:rPr>
            </w:pPr>
            <w:r w:rsidRPr="00480D11">
              <w:rPr>
                <w:rFonts w:asciiTheme="minorEastAsia" w:eastAsiaTheme="minorEastAsia" w:hAnsiTheme="minorEastAsia" w:hint="eastAsia"/>
                <w:sz w:val="24"/>
                <w:szCs w:val="28"/>
              </w:rPr>
              <w:t>股票型</w:t>
            </w:r>
          </w:p>
        </w:tc>
        <w:tc>
          <w:tcPr>
            <w:tcW w:w="1275" w:type="dxa"/>
            <w:vAlign w:val="center"/>
          </w:tcPr>
          <w:p w:rsidR="00480D11" w:rsidRPr="0017425A" w:rsidRDefault="00480D11" w:rsidP="00480D1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480D11" w:rsidRPr="00C575FF" w:rsidTr="00002990">
        <w:trPr>
          <w:jc w:val="center"/>
        </w:trPr>
        <w:tc>
          <w:tcPr>
            <w:tcW w:w="1271" w:type="dxa"/>
            <w:vAlign w:val="center"/>
          </w:tcPr>
          <w:p w:rsidR="00480D11" w:rsidRPr="00ED04E4" w:rsidRDefault="00480D11">
            <w:pPr>
              <w:jc w:val="center"/>
              <w:rPr>
                <w:rFonts w:asciiTheme="minorEastAsia" w:eastAsiaTheme="minorEastAsia" w:hAnsiTheme="minorEastAsia"/>
                <w:sz w:val="24"/>
                <w:szCs w:val="28"/>
              </w:rPr>
            </w:pPr>
            <w:r w:rsidRPr="00ED04E4">
              <w:rPr>
                <w:rFonts w:asciiTheme="minorEastAsia" w:eastAsiaTheme="minorEastAsia" w:hAnsiTheme="minorEastAsia"/>
                <w:sz w:val="24"/>
                <w:szCs w:val="28"/>
              </w:rPr>
              <w:t>014129</w:t>
            </w:r>
          </w:p>
        </w:tc>
        <w:tc>
          <w:tcPr>
            <w:tcW w:w="4111" w:type="dxa"/>
          </w:tcPr>
          <w:p w:rsidR="00480D11" w:rsidRPr="00ED04E4" w:rsidRDefault="00480D11" w:rsidP="00480D11">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西藏东财中证沪港深创新药产业指数型发起式证券投资基金</w:t>
            </w:r>
            <w:r w:rsidRPr="00ED04E4">
              <w:rPr>
                <w:rFonts w:asciiTheme="minorEastAsia" w:eastAsiaTheme="minorEastAsia" w:hAnsiTheme="minorEastAsia"/>
                <w:sz w:val="24"/>
                <w:szCs w:val="28"/>
              </w:rPr>
              <w:t>C</w:t>
            </w:r>
          </w:p>
        </w:tc>
        <w:tc>
          <w:tcPr>
            <w:tcW w:w="1843" w:type="dxa"/>
            <w:vAlign w:val="center"/>
          </w:tcPr>
          <w:p w:rsidR="00480D11" w:rsidRPr="00480D11" w:rsidRDefault="00480D11">
            <w:pPr>
              <w:jc w:val="center"/>
              <w:rPr>
                <w:rFonts w:asciiTheme="minorEastAsia" w:eastAsiaTheme="minorEastAsia" w:hAnsiTheme="minorEastAsia"/>
                <w:sz w:val="24"/>
                <w:szCs w:val="28"/>
              </w:rPr>
            </w:pPr>
            <w:r w:rsidRPr="00480D11">
              <w:rPr>
                <w:rFonts w:asciiTheme="minorEastAsia" w:eastAsiaTheme="minorEastAsia" w:hAnsiTheme="minorEastAsia" w:hint="eastAsia"/>
                <w:sz w:val="24"/>
                <w:szCs w:val="28"/>
              </w:rPr>
              <w:t>股票型</w:t>
            </w:r>
          </w:p>
        </w:tc>
        <w:tc>
          <w:tcPr>
            <w:tcW w:w="1275" w:type="dxa"/>
            <w:vAlign w:val="center"/>
          </w:tcPr>
          <w:p w:rsidR="00480D11" w:rsidRPr="0017425A" w:rsidRDefault="00480D11" w:rsidP="00480D1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480D11" w:rsidRPr="00C575FF" w:rsidTr="00480D11">
        <w:trPr>
          <w:jc w:val="center"/>
        </w:trPr>
        <w:tc>
          <w:tcPr>
            <w:tcW w:w="1271" w:type="dxa"/>
            <w:vAlign w:val="center"/>
          </w:tcPr>
          <w:p w:rsidR="00480D11" w:rsidRPr="00ED04E4" w:rsidRDefault="00480D11">
            <w:pPr>
              <w:jc w:val="center"/>
              <w:rPr>
                <w:rFonts w:asciiTheme="minorEastAsia" w:eastAsiaTheme="minorEastAsia" w:hAnsiTheme="minorEastAsia"/>
                <w:sz w:val="24"/>
                <w:szCs w:val="28"/>
              </w:rPr>
            </w:pPr>
            <w:r w:rsidRPr="00ED04E4">
              <w:rPr>
                <w:rFonts w:asciiTheme="minorEastAsia" w:eastAsiaTheme="minorEastAsia" w:hAnsiTheme="minorEastAsia"/>
                <w:sz w:val="24"/>
                <w:szCs w:val="28"/>
              </w:rPr>
              <w:t>014237</w:t>
            </w:r>
          </w:p>
        </w:tc>
        <w:tc>
          <w:tcPr>
            <w:tcW w:w="4111" w:type="dxa"/>
          </w:tcPr>
          <w:p w:rsidR="00480D11" w:rsidRPr="00ED04E4" w:rsidRDefault="00480D11" w:rsidP="00480D11">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西藏东财中证新能源指数增强型证券投资基金</w:t>
            </w:r>
            <w:r w:rsidRPr="00ED04E4">
              <w:rPr>
                <w:rFonts w:asciiTheme="minorEastAsia" w:eastAsiaTheme="minorEastAsia" w:hAnsiTheme="minorEastAsia"/>
                <w:sz w:val="24"/>
                <w:szCs w:val="28"/>
              </w:rPr>
              <w:t>A</w:t>
            </w:r>
          </w:p>
        </w:tc>
        <w:tc>
          <w:tcPr>
            <w:tcW w:w="1843" w:type="dxa"/>
            <w:vAlign w:val="center"/>
          </w:tcPr>
          <w:p w:rsidR="00480D11" w:rsidRPr="00480D11" w:rsidRDefault="00480D11">
            <w:pPr>
              <w:jc w:val="center"/>
              <w:rPr>
                <w:rFonts w:asciiTheme="minorEastAsia" w:eastAsiaTheme="minorEastAsia" w:hAnsiTheme="minorEastAsia"/>
                <w:sz w:val="24"/>
                <w:szCs w:val="28"/>
              </w:rPr>
            </w:pPr>
            <w:r w:rsidRPr="00480D11">
              <w:rPr>
                <w:rFonts w:asciiTheme="minorEastAsia" w:eastAsiaTheme="minorEastAsia" w:hAnsiTheme="minorEastAsia" w:hint="eastAsia"/>
                <w:sz w:val="24"/>
                <w:szCs w:val="28"/>
              </w:rPr>
              <w:t>股票型</w:t>
            </w:r>
          </w:p>
        </w:tc>
        <w:tc>
          <w:tcPr>
            <w:tcW w:w="1275" w:type="dxa"/>
            <w:vAlign w:val="center"/>
          </w:tcPr>
          <w:p w:rsidR="00480D11" w:rsidRPr="0017425A" w:rsidRDefault="00480D11" w:rsidP="00480D1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480D11" w:rsidRPr="00C575FF" w:rsidTr="00480D11">
        <w:trPr>
          <w:jc w:val="center"/>
        </w:trPr>
        <w:tc>
          <w:tcPr>
            <w:tcW w:w="1271" w:type="dxa"/>
            <w:vAlign w:val="center"/>
          </w:tcPr>
          <w:p w:rsidR="00480D11" w:rsidRPr="00ED04E4" w:rsidRDefault="00480D11">
            <w:pPr>
              <w:jc w:val="center"/>
              <w:rPr>
                <w:rFonts w:asciiTheme="minorEastAsia" w:eastAsiaTheme="minorEastAsia" w:hAnsiTheme="minorEastAsia"/>
                <w:sz w:val="24"/>
                <w:szCs w:val="28"/>
              </w:rPr>
            </w:pPr>
            <w:r w:rsidRPr="00ED04E4">
              <w:rPr>
                <w:rFonts w:asciiTheme="minorEastAsia" w:eastAsiaTheme="minorEastAsia" w:hAnsiTheme="minorEastAsia"/>
                <w:sz w:val="24"/>
                <w:szCs w:val="28"/>
              </w:rPr>
              <w:t>014238</w:t>
            </w:r>
          </w:p>
        </w:tc>
        <w:tc>
          <w:tcPr>
            <w:tcW w:w="4111" w:type="dxa"/>
          </w:tcPr>
          <w:p w:rsidR="00480D11" w:rsidRPr="00ED04E4" w:rsidRDefault="00480D11" w:rsidP="00480D11">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西藏东财中证新能源指数增强型证券投资基金</w:t>
            </w:r>
            <w:r w:rsidRPr="00ED04E4">
              <w:rPr>
                <w:rFonts w:asciiTheme="minorEastAsia" w:eastAsiaTheme="minorEastAsia" w:hAnsiTheme="minorEastAsia"/>
                <w:sz w:val="24"/>
                <w:szCs w:val="28"/>
              </w:rPr>
              <w:t>C</w:t>
            </w:r>
          </w:p>
        </w:tc>
        <w:tc>
          <w:tcPr>
            <w:tcW w:w="1843" w:type="dxa"/>
            <w:vAlign w:val="center"/>
          </w:tcPr>
          <w:p w:rsidR="00480D11" w:rsidRPr="00480D11" w:rsidRDefault="00480D11">
            <w:pPr>
              <w:jc w:val="center"/>
              <w:rPr>
                <w:rFonts w:asciiTheme="minorEastAsia" w:eastAsiaTheme="minorEastAsia" w:hAnsiTheme="minorEastAsia"/>
                <w:sz w:val="24"/>
                <w:szCs w:val="28"/>
              </w:rPr>
            </w:pPr>
            <w:r w:rsidRPr="00480D11">
              <w:rPr>
                <w:rFonts w:asciiTheme="minorEastAsia" w:eastAsiaTheme="minorEastAsia" w:hAnsiTheme="minorEastAsia" w:hint="eastAsia"/>
                <w:sz w:val="24"/>
                <w:szCs w:val="28"/>
              </w:rPr>
              <w:t>股票型</w:t>
            </w:r>
          </w:p>
        </w:tc>
        <w:tc>
          <w:tcPr>
            <w:tcW w:w="1275" w:type="dxa"/>
            <w:vAlign w:val="center"/>
          </w:tcPr>
          <w:p w:rsidR="00480D11" w:rsidRPr="0017425A" w:rsidRDefault="00480D11" w:rsidP="00480D1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5B57A4" w:rsidRPr="00101B0C" w:rsidTr="00101B0C">
        <w:trPr>
          <w:jc w:val="center"/>
        </w:trPr>
        <w:tc>
          <w:tcPr>
            <w:tcW w:w="1271" w:type="dxa"/>
            <w:vAlign w:val="center"/>
          </w:tcPr>
          <w:p w:rsidR="005B57A4" w:rsidRPr="00101B0C" w:rsidRDefault="005B57A4">
            <w:pPr>
              <w:jc w:val="center"/>
              <w:rPr>
                <w:rFonts w:asciiTheme="minorEastAsia" w:eastAsiaTheme="minorEastAsia" w:hAnsiTheme="minorEastAsia"/>
                <w:sz w:val="24"/>
                <w:szCs w:val="24"/>
              </w:rPr>
            </w:pPr>
            <w:r w:rsidRPr="00101B0C">
              <w:rPr>
                <w:sz w:val="24"/>
                <w:szCs w:val="24"/>
              </w:rPr>
              <w:t>015096</w:t>
            </w:r>
          </w:p>
        </w:tc>
        <w:tc>
          <w:tcPr>
            <w:tcW w:w="4111" w:type="dxa"/>
          </w:tcPr>
          <w:p w:rsidR="005B57A4" w:rsidRPr="00101B0C" w:rsidRDefault="005B57A4" w:rsidP="005B57A4">
            <w:pPr>
              <w:jc w:val="both"/>
              <w:rPr>
                <w:rFonts w:asciiTheme="minorEastAsia" w:eastAsiaTheme="minorEastAsia" w:hAnsiTheme="minorEastAsia"/>
                <w:sz w:val="24"/>
                <w:szCs w:val="24"/>
              </w:rPr>
            </w:pPr>
            <w:r w:rsidRPr="00101B0C">
              <w:rPr>
                <w:rFonts w:hint="eastAsia"/>
                <w:sz w:val="24"/>
                <w:szCs w:val="24"/>
              </w:rPr>
              <w:t>西藏东财数字经济优选混合型发起式证券投资基金</w:t>
            </w:r>
            <w:r w:rsidRPr="00101B0C">
              <w:rPr>
                <w:rFonts w:asciiTheme="minorEastAsia" w:eastAsiaTheme="minorEastAsia" w:hAnsiTheme="minorEastAsia"/>
                <w:sz w:val="24"/>
                <w:szCs w:val="24"/>
              </w:rPr>
              <w:t>A</w:t>
            </w:r>
          </w:p>
        </w:tc>
        <w:tc>
          <w:tcPr>
            <w:tcW w:w="1843" w:type="dxa"/>
            <w:vAlign w:val="center"/>
          </w:tcPr>
          <w:p w:rsidR="005B57A4" w:rsidRPr="00101B0C" w:rsidRDefault="005B57A4" w:rsidP="005B57A4">
            <w:pPr>
              <w:jc w:val="center"/>
              <w:rPr>
                <w:rFonts w:asciiTheme="minorEastAsia" w:eastAsiaTheme="minorEastAsia" w:hAnsiTheme="minorEastAsia"/>
                <w:sz w:val="24"/>
                <w:szCs w:val="24"/>
              </w:rPr>
            </w:pPr>
            <w:r w:rsidRPr="00101B0C">
              <w:rPr>
                <w:rFonts w:asciiTheme="minorEastAsia" w:eastAsiaTheme="minorEastAsia" w:hAnsiTheme="minorEastAsia" w:hint="eastAsia"/>
                <w:sz w:val="24"/>
                <w:szCs w:val="24"/>
              </w:rPr>
              <w:t>混合型</w:t>
            </w:r>
          </w:p>
        </w:tc>
        <w:tc>
          <w:tcPr>
            <w:tcW w:w="1275" w:type="dxa"/>
            <w:vAlign w:val="center"/>
          </w:tcPr>
          <w:p w:rsidR="005B57A4" w:rsidRPr="00101B0C" w:rsidRDefault="005B57A4" w:rsidP="005B57A4">
            <w:pPr>
              <w:spacing w:line="360" w:lineRule="auto"/>
              <w:jc w:val="center"/>
              <w:rPr>
                <w:rFonts w:asciiTheme="minorEastAsia" w:eastAsiaTheme="minorEastAsia" w:hAnsiTheme="minorEastAsia"/>
                <w:sz w:val="24"/>
                <w:szCs w:val="24"/>
              </w:rPr>
            </w:pPr>
            <w:r w:rsidRPr="00101B0C">
              <w:rPr>
                <w:rFonts w:asciiTheme="minorEastAsia" w:eastAsiaTheme="minorEastAsia" w:hAnsiTheme="minorEastAsia"/>
                <w:sz w:val="24"/>
                <w:szCs w:val="24"/>
              </w:rPr>
              <w:t>R3</w:t>
            </w:r>
          </w:p>
        </w:tc>
      </w:tr>
      <w:tr w:rsidR="005B57A4" w:rsidRPr="00101B0C" w:rsidTr="00101B0C">
        <w:trPr>
          <w:jc w:val="center"/>
        </w:trPr>
        <w:tc>
          <w:tcPr>
            <w:tcW w:w="1271" w:type="dxa"/>
            <w:vAlign w:val="center"/>
          </w:tcPr>
          <w:p w:rsidR="005B57A4" w:rsidRPr="00101B0C" w:rsidRDefault="005B57A4">
            <w:pPr>
              <w:jc w:val="center"/>
              <w:rPr>
                <w:rFonts w:asciiTheme="minorEastAsia" w:eastAsiaTheme="minorEastAsia" w:hAnsiTheme="minorEastAsia"/>
                <w:sz w:val="24"/>
                <w:szCs w:val="24"/>
              </w:rPr>
            </w:pPr>
            <w:r w:rsidRPr="00101B0C">
              <w:rPr>
                <w:sz w:val="24"/>
                <w:szCs w:val="24"/>
              </w:rPr>
              <w:t>015097</w:t>
            </w:r>
          </w:p>
        </w:tc>
        <w:tc>
          <w:tcPr>
            <w:tcW w:w="4111" w:type="dxa"/>
          </w:tcPr>
          <w:p w:rsidR="005B57A4" w:rsidRPr="00101B0C" w:rsidRDefault="005B57A4" w:rsidP="005B57A4">
            <w:pPr>
              <w:jc w:val="both"/>
              <w:rPr>
                <w:rFonts w:asciiTheme="minorEastAsia" w:eastAsiaTheme="minorEastAsia" w:hAnsiTheme="minorEastAsia"/>
                <w:sz w:val="24"/>
                <w:szCs w:val="24"/>
              </w:rPr>
            </w:pPr>
            <w:r w:rsidRPr="00101B0C">
              <w:rPr>
                <w:rFonts w:hint="eastAsia"/>
                <w:sz w:val="24"/>
                <w:szCs w:val="24"/>
              </w:rPr>
              <w:t>西藏东财数字经济优选混合型发起式证券投资基金</w:t>
            </w:r>
            <w:r w:rsidRPr="00101B0C">
              <w:rPr>
                <w:rFonts w:asciiTheme="minorEastAsia" w:eastAsiaTheme="minorEastAsia" w:hAnsiTheme="minorEastAsia"/>
                <w:sz w:val="24"/>
                <w:szCs w:val="24"/>
              </w:rPr>
              <w:t>C</w:t>
            </w:r>
          </w:p>
        </w:tc>
        <w:tc>
          <w:tcPr>
            <w:tcW w:w="1843" w:type="dxa"/>
            <w:vAlign w:val="center"/>
          </w:tcPr>
          <w:p w:rsidR="005B57A4" w:rsidRPr="00101B0C" w:rsidRDefault="005B57A4" w:rsidP="005B57A4">
            <w:pPr>
              <w:jc w:val="center"/>
              <w:rPr>
                <w:rFonts w:asciiTheme="minorEastAsia" w:eastAsiaTheme="minorEastAsia" w:hAnsiTheme="minorEastAsia"/>
                <w:sz w:val="24"/>
                <w:szCs w:val="24"/>
              </w:rPr>
            </w:pPr>
            <w:r w:rsidRPr="00101B0C">
              <w:rPr>
                <w:rFonts w:asciiTheme="minorEastAsia" w:eastAsiaTheme="minorEastAsia" w:hAnsiTheme="minorEastAsia" w:hint="eastAsia"/>
                <w:sz w:val="24"/>
                <w:szCs w:val="24"/>
              </w:rPr>
              <w:t>混合型</w:t>
            </w:r>
          </w:p>
        </w:tc>
        <w:tc>
          <w:tcPr>
            <w:tcW w:w="1275" w:type="dxa"/>
            <w:vAlign w:val="center"/>
          </w:tcPr>
          <w:p w:rsidR="005B57A4" w:rsidRPr="00101B0C" w:rsidRDefault="005B57A4" w:rsidP="005B57A4">
            <w:pPr>
              <w:spacing w:line="360" w:lineRule="auto"/>
              <w:jc w:val="center"/>
              <w:rPr>
                <w:rFonts w:asciiTheme="minorEastAsia" w:eastAsiaTheme="minorEastAsia" w:hAnsiTheme="minorEastAsia"/>
                <w:sz w:val="24"/>
                <w:szCs w:val="24"/>
              </w:rPr>
            </w:pPr>
            <w:r w:rsidRPr="00101B0C">
              <w:rPr>
                <w:rFonts w:asciiTheme="minorEastAsia" w:eastAsiaTheme="minorEastAsia" w:hAnsiTheme="minorEastAsia"/>
                <w:sz w:val="24"/>
                <w:szCs w:val="24"/>
              </w:rPr>
              <w:t>R3</w:t>
            </w:r>
          </w:p>
        </w:tc>
      </w:tr>
      <w:tr w:rsidR="005B57A4" w:rsidRPr="00101B0C" w:rsidTr="00101B0C">
        <w:trPr>
          <w:jc w:val="center"/>
        </w:trPr>
        <w:tc>
          <w:tcPr>
            <w:tcW w:w="1271" w:type="dxa"/>
            <w:vAlign w:val="center"/>
          </w:tcPr>
          <w:p w:rsidR="005B57A4" w:rsidRPr="00101B0C" w:rsidRDefault="005B57A4">
            <w:pPr>
              <w:jc w:val="center"/>
              <w:rPr>
                <w:rFonts w:asciiTheme="minorEastAsia" w:eastAsiaTheme="minorEastAsia" w:hAnsiTheme="minorEastAsia"/>
                <w:sz w:val="24"/>
                <w:szCs w:val="24"/>
              </w:rPr>
            </w:pPr>
            <w:r w:rsidRPr="00101B0C">
              <w:rPr>
                <w:sz w:val="24"/>
                <w:szCs w:val="24"/>
              </w:rPr>
              <w:t>015278</w:t>
            </w:r>
          </w:p>
        </w:tc>
        <w:tc>
          <w:tcPr>
            <w:tcW w:w="4111" w:type="dxa"/>
          </w:tcPr>
          <w:p w:rsidR="005B57A4" w:rsidRPr="00101B0C" w:rsidRDefault="005B57A4" w:rsidP="005B57A4">
            <w:pPr>
              <w:jc w:val="both"/>
              <w:rPr>
                <w:rFonts w:asciiTheme="minorEastAsia" w:eastAsiaTheme="minorEastAsia" w:hAnsiTheme="minorEastAsia"/>
                <w:sz w:val="24"/>
                <w:szCs w:val="24"/>
              </w:rPr>
            </w:pPr>
            <w:r w:rsidRPr="00101B0C">
              <w:rPr>
                <w:rFonts w:hint="eastAsia"/>
                <w:sz w:val="24"/>
                <w:szCs w:val="24"/>
              </w:rPr>
              <w:t>西藏东财沪深</w:t>
            </w:r>
            <w:r w:rsidRPr="00101B0C">
              <w:rPr>
                <w:sz w:val="24"/>
                <w:szCs w:val="24"/>
              </w:rPr>
              <w:t>300指数型发起式证券投资基金</w:t>
            </w:r>
            <w:r w:rsidRPr="00101B0C">
              <w:rPr>
                <w:rFonts w:asciiTheme="minorEastAsia" w:eastAsiaTheme="minorEastAsia" w:hAnsiTheme="minorEastAsia"/>
                <w:sz w:val="24"/>
                <w:szCs w:val="24"/>
              </w:rPr>
              <w:t>A</w:t>
            </w:r>
          </w:p>
        </w:tc>
        <w:tc>
          <w:tcPr>
            <w:tcW w:w="1843" w:type="dxa"/>
            <w:vAlign w:val="center"/>
          </w:tcPr>
          <w:p w:rsidR="005B57A4" w:rsidRPr="00101B0C" w:rsidRDefault="005B57A4" w:rsidP="005B57A4">
            <w:pPr>
              <w:jc w:val="center"/>
              <w:rPr>
                <w:rFonts w:asciiTheme="minorEastAsia" w:eastAsiaTheme="minorEastAsia" w:hAnsiTheme="minorEastAsia"/>
                <w:sz w:val="24"/>
                <w:szCs w:val="24"/>
              </w:rPr>
            </w:pPr>
            <w:r w:rsidRPr="00101B0C">
              <w:rPr>
                <w:rFonts w:asciiTheme="minorEastAsia" w:eastAsiaTheme="minorEastAsia" w:hAnsiTheme="minorEastAsia" w:hint="eastAsia"/>
                <w:sz w:val="24"/>
                <w:szCs w:val="24"/>
              </w:rPr>
              <w:t>股票型</w:t>
            </w:r>
          </w:p>
        </w:tc>
        <w:tc>
          <w:tcPr>
            <w:tcW w:w="1275" w:type="dxa"/>
            <w:vAlign w:val="center"/>
          </w:tcPr>
          <w:p w:rsidR="005B57A4" w:rsidRPr="00101B0C" w:rsidRDefault="005B57A4" w:rsidP="005B57A4">
            <w:pPr>
              <w:spacing w:line="360" w:lineRule="auto"/>
              <w:jc w:val="center"/>
              <w:rPr>
                <w:rFonts w:asciiTheme="minorEastAsia" w:eastAsiaTheme="minorEastAsia" w:hAnsiTheme="minorEastAsia"/>
                <w:sz w:val="24"/>
                <w:szCs w:val="24"/>
              </w:rPr>
            </w:pPr>
            <w:r w:rsidRPr="00101B0C">
              <w:rPr>
                <w:rFonts w:asciiTheme="minorEastAsia" w:eastAsiaTheme="minorEastAsia" w:hAnsiTheme="minorEastAsia"/>
                <w:sz w:val="24"/>
                <w:szCs w:val="24"/>
              </w:rPr>
              <w:t>R3</w:t>
            </w:r>
          </w:p>
        </w:tc>
      </w:tr>
      <w:tr w:rsidR="005B57A4" w:rsidRPr="00101B0C" w:rsidTr="00101B0C">
        <w:trPr>
          <w:jc w:val="center"/>
        </w:trPr>
        <w:tc>
          <w:tcPr>
            <w:tcW w:w="1271" w:type="dxa"/>
            <w:vAlign w:val="center"/>
          </w:tcPr>
          <w:p w:rsidR="005B57A4" w:rsidRPr="00101B0C" w:rsidRDefault="005B57A4">
            <w:pPr>
              <w:jc w:val="center"/>
              <w:rPr>
                <w:rFonts w:asciiTheme="minorEastAsia" w:eastAsiaTheme="minorEastAsia" w:hAnsiTheme="minorEastAsia"/>
                <w:sz w:val="24"/>
                <w:szCs w:val="24"/>
              </w:rPr>
            </w:pPr>
            <w:r w:rsidRPr="00101B0C">
              <w:rPr>
                <w:sz w:val="24"/>
                <w:szCs w:val="24"/>
              </w:rPr>
              <w:t>015279</w:t>
            </w:r>
          </w:p>
        </w:tc>
        <w:tc>
          <w:tcPr>
            <w:tcW w:w="4111" w:type="dxa"/>
          </w:tcPr>
          <w:p w:rsidR="005B57A4" w:rsidRPr="00101B0C" w:rsidRDefault="005B57A4" w:rsidP="005B57A4">
            <w:pPr>
              <w:jc w:val="both"/>
              <w:rPr>
                <w:rFonts w:asciiTheme="minorEastAsia" w:eastAsiaTheme="minorEastAsia" w:hAnsiTheme="minorEastAsia"/>
                <w:sz w:val="24"/>
                <w:szCs w:val="24"/>
              </w:rPr>
            </w:pPr>
            <w:r w:rsidRPr="00101B0C">
              <w:rPr>
                <w:rFonts w:hint="eastAsia"/>
                <w:sz w:val="24"/>
                <w:szCs w:val="24"/>
              </w:rPr>
              <w:t>西藏东财沪深</w:t>
            </w:r>
            <w:r w:rsidRPr="00101B0C">
              <w:rPr>
                <w:sz w:val="24"/>
                <w:szCs w:val="24"/>
              </w:rPr>
              <w:t>300指数型发起式证券投资基金</w:t>
            </w:r>
            <w:r w:rsidRPr="00101B0C">
              <w:rPr>
                <w:rFonts w:asciiTheme="minorEastAsia" w:eastAsiaTheme="minorEastAsia" w:hAnsiTheme="minorEastAsia"/>
                <w:sz w:val="24"/>
                <w:szCs w:val="24"/>
              </w:rPr>
              <w:t>C</w:t>
            </w:r>
          </w:p>
        </w:tc>
        <w:tc>
          <w:tcPr>
            <w:tcW w:w="1843" w:type="dxa"/>
            <w:vAlign w:val="center"/>
          </w:tcPr>
          <w:p w:rsidR="005B57A4" w:rsidRPr="00101B0C" w:rsidRDefault="005B57A4" w:rsidP="005B57A4">
            <w:pPr>
              <w:jc w:val="center"/>
              <w:rPr>
                <w:rFonts w:asciiTheme="minorEastAsia" w:eastAsiaTheme="minorEastAsia" w:hAnsiTheme="minorEastAsia"/>
                <w:sz w:val="24"/>
                <w:szCs w:val="24"/>
              </w:rPr>
            </w:pPr>
            <w:r w:rsidRPr="00101B0C">
              <w:rPr>
                <w:rFonts w:asciiTheme="minorEastAsia" w:eastAsiaTheme="minorEastAsia" w:hAnsiTheme="minorEastAsia" w:hint="eastAsia"/>
                <w:sz w:val="24"/>
                <w:szCs w:val="24"/>
              </w:rPr>
              <w:t>股票型</w:t>
            </w:r>
          </w:p>
        </w:tc>
        <w:tc>
          <w:tcPr>
            <w:tcW w:w="1275" w:type="dxa"/>
            <w:vAlign w:val="center"/>
          </w:tcPr>
          <w:p w:rsidR="005B57A4" w:rsidRPr="00101B0C" w:rsidRDefault="005B57A4" w:rsidP="005B57A4">
            <w:pPr>
              <w:spacing w:line="360" w:lineRule="auto"/>
              <w:jc w:val="center"/>
              <w:rPr>
                <w:rFonts w:asciiTheme="minorEastAsia" w:eastAsiaTheme="minorEastAsia" w:hAnsiTheme="minorEastAsia"/>
                <w:sz w:val="24"/>
                <w:szCs w:val="24"/>
              </w:rPr>
            </w:pPr>
            <w:r w:rsidRPr="00101B0C">
              <w:rPr>
                <w:rFonts w:asciiTheme="minorEastAsia" w:eastAsiaTheme="minorEastAsia" w:hAnsiTheme="minorEastAsia"/>
                <w:sz w:val="24"/>
                <w:szCs w:val="24"/>
              </w:rPr>
              <w:t>R3</w:t>
            </w:r>
          </w:p>
        </w:tc>
      </w:tr>
      <w:tr w:rsidR="005B57A4" w:rsidRPr="00101B0C" w:rsidTr="00101B0C">
        <w:trPr>
          <w:jc w:val="center"/>
        </w:trPr>
        <w:tc>
          <w:tcPr>
            <w:tcW w:w="1271" w:type="dxa"/>
            <w:vAlign w:val="center"/>
          </w:tcPr>
          <w:p w:rsidR="005B57A4" w:rsidRPr="00101B0C" w:rsidRDefault="005B57A4">
            <w:pPr>
              <w:jc w:val="center"/>
              <w:rPr>
                <w:rFonts w:asciiTheme="minorEastAsia" w:eastAsiaTheme="minorEastAsia" w:hAnsiTheme="minorEastAsia"/>
                <w:sz w:val="24"/>
                <w:szCs w:val="24"/>
              </w:rPr>
            </w:pPr>
            <w:r w:rsidRPr="00101B0C">
              <w:rPr>
                <w:sz w:val="24"/>
                <w:szCs w:val="24"/>
              </w:rPr>
              <w:t>015237</w:t>
            </w:r>
          </w:p>
        </w:tc>
        <w:tc>
          <w:tcPr>
            <w:tcW w:w="4111" w:type="dxa"/>
          </w:tcPr>
          <w:p w:rsidR="005B57A4" w:rsidRPr="00101B0C" w:rsidRDefault="005B57A4" w:rsidP="005B57A4">
            <w:pPr>
              <w:jc w:val="both"/>
              <w:rPr>
                <w:rFonts w:asciiTheme="minorEastAsia" w:eastAsiaTheme="minorEastAsia" w:hAnsiTheme="minorEastAsia"/>
                <w:sz w:val="24"/>
                <w:szCs w:val="24"/>
              </w:rPr>
            </w:pPr>
            <w:r w:rsidRPr="00101B0C">
              <w:rPr>
                <w:rFonts w:hint="eastAsia"/>
                <w:sz w:val="24"/>
                <w:szCs w:val="24"/>
              </w:rPr>
              <w:t>西藏东财均衡配置三个月持有期混合型发起式基金中基金</w:t>
            </w:r>
            <w:r w:rsidRPr="00101B0C">
              <w:rPr>
                <w:sz w:val="24"/>
                <w:szCs w:val="24"/>
              </w:rPr>
              <w:t>(FOF)</w:t>
            </w:r>
            <w:r w:rsidRPr="00101B0C">
              <w:rPr>
                <w:rFonts w:asciiTheme="minorEastAsia" w:eastAsiaTheme="minorEastAsia" w:hAnsiTheme="minorEastAsia"/>
                <w:sz w:val="24"/>
                <w:szCs w:val="24"/>
              </w:rPr>
              <w:t xml:space="preserve"> A</w:t>
            </w:r>
          </w:p>
        </w:tc>
        <w:tc>
          <w:tcPr>
            <w:tcW w:w="1843" w:type="dxa"/>
            <w:vAlign w:val="center"/>
          </w:tcPr>
          <w:p w:rsidR="005B57A4" w:rsidRPr="00101B0C" w:rsidRDefault="005B57A4" w:rsidP="005B57A4">
            <w:pPr>
              <w:jc w:val="center"/>
              <w:rPr>
                <w:rFonts w:asciiTheme="minorEastAsia" w:eastAsiaTheme="minorEastAsia" w:hAnsiTheme="minorEastAsia"/>
                <w:sz w:val="24"/>
                <w:szCs w:val="24"/>
              </w:rPr>
            </w:pPr>
            <w:r w:rsidRPr="00101B0C">
              <w:rPr>
                <w:rFonts w:asciiTheme="minorEastAsia" w:eastAsiaTheme="minorEastAsia" w:hAnsiTheme="minorEastAsia" w:hint="eastAsia"/>
                <w:sz w:val="24"/>
                <w:szCs w:val="24"/>
              </w:rPr>
              <w:t>混合型</w:t>
            </w:r>
          </w:p>
        </w:tc>
        <w:tc>
          <w:tcPr>
            <w:tcW w:w="1275" w:type="dxa"/>
            <w:vAlign w:val="center"/>
          </w:tcPr>
          <w:p w:rsidR="005B57A4" w:rsidRPr="00101B0C" w:rsidRDefault="005B57A4" w:rsidP="005B57A4">
            <w:pPr>
              <w:spacing w:line="360" w:lineRule="auto"/>
              <w:jc w:val="center"/>
              <w:rPr>
                <w:rFonts w:asciiTheme="minorEastAsia" w:eastAsiaTheme="minorEastAsia" w:hAnsiTheme="minorEastAsia"/>
                <w:sz w:val="24"/>
                <w:szCs w:val="24"/>
              </w:rPr>
            </w:pPr>
            <w:r w:rsidRPr="00101B0C">
              <w:rPr>
                <w:rFonts w:asciiTheme="minorEastAsia" w:eastAsiaTheme="minorEastAsia" w:hAnsiTheme="minorEastAsia"/>
                <w:sz w:val="24"/>
                <w:szCs w:val="24"/>
              </w:rPr>
              <w:t>R3</w:t>
            </w:r>
          </w:p>
        </w:tc>
      </w:tr>
      <w:tr w:rsidR="005B57A4" w:rsidRPr="00101B0C" w:rsidTr="00101B0C">
        <w:trPr>
          <w:jc w:val="center"/>
        </w:trPr>
        <w:tc>
          <w:tcPr>
            <w:tcW w:w="1271" w:type="dxa"/>
            <w:vAlign w:val="center"/>
          </w:tcPr>
          <w:p w:rsidR="005B57A4" w:rsidRPr="00101B0C" w:rsidRDefault="005B57A4">
            <w:pPr>
              <w:jc w:val="center"/>
              <w:rPr>
                <w:rFonts w:asciiTheme="minorEastAsia" w:eastAsiaTheme="minorEastAsia" w:hAnsiTheme="minorEastAsia"/>
                <w:sz w:val="24"/>
                <w:szCs w:val="24"/>
              </w:rPr>
            </w:pPr>
            <w:r w:rsidRPr="00101B0C">
              <w:rPr>
                <w:sz w:val="24"/>
                <w:szCs w:val="24"/>
              </w:rPr>
              <w:t>015238</w:t>
            </w:r>
          </w:p>
        </w:tc>
        <w:tc>
          <w:tcPr>
            <w:tcW w:w="4111" w:type="dxa"/>
          </w:tcPr>
          <w:p w:rsidR="005B57A4" w:rsidRPr="00101B0C" w:rsidRDefault="005B57A4" w:rsidP="005B57A4">
            <w:pPr>
              <w:jc w:val="both"/>
              <w:rPr>
                <w:rFonts w:asciiTheme="minorEastAsia" w:eastAsiaTheme="minorEastAsia" w:hAnsiTheme="minorEastAsia"/>
                <w:sz w:val="24"/>
                <w:szCs w:val="24"/>
              </w:rPr>
            </w:pPr>
            <w:r w:rsidRPr="00101B0C">
              <w:rPr>
                <w:rFonts w:hint="eastAsia"/>
                <w:sz w:val="24"/>
                <w:szCs w:val="24"/>
              </w:rPr>
              <w:t>西藏东财均衡配置三个月持有期混合型发起式基金中基金</w:t>
            </w:r>
            <w:r w:rsidRPr="00101B0C">
              <w:rPr>
                <w:sz w:val="24"/>
                <w:szCs w:val="24"/>
              </w:rPr>
              <w:t>(FOF)</w:t>
            </w:r>
            <w:r w:rsidRPr="00101B0C">
              <w:rPr>
                <w:rFonts w:asciiTheme="minorEastAsia" w:eastAsiaTheme="minorEastAsia" w:hAnsiTheme="minorEastAsia"/>
                <w:sz w:val="24"/>
                <w:szCs w:val="24"/>
              </w:rPr>
              <w:t xml:space="preserve"> C</w:t>
            </w:r>
          </w:p>
        </w:tc>
        <w:tc>
          <w:tcPr>
            <w:tcW w:w="1843" w:type="dxa"/>
            <w:vAlign w:val="center"/>
          </w:tcPr>
          <w:p w:rsidR="005B57A4" w:rsidRPr="00101B0C" w:rsidRDefault="005B57A4" w:rsidP="005B57A4">
            <w:pPr>
              <w:jc w:val="center"/>
              <w:rPr>
                <w:rFonts w:asciiTheme="minorEastAsia" w:eastAsiaTheme="minorEastAsia" w:hAnsiTheme="minorEastAsia"/>
                <w:sz w:val="24"/>
                <w:szCs w:val="24"/>
              </w:rPr>
            </w:pPr>
            <w:r w:rsidRPr="00101B0C">
              <w:rPr>
                <w:rFonts w:asciiTheme="minorEastAsia" w:eastAsiaTheme="minorEastAsia" w:hAnsiTheme="minorEastAsia" w:hint="eastAsia"/>
                <w:sz w:val="24"/>
                <w:szCs w:val="24"/>
              </w:rPr>
              <w:t>混合型</w:t>
            </w:r>
          </w:p>
        </w:tc>
        <w:tc>
          <w:tcPr>
            <w:tcW w:w="1275" w:type="dxa"/>
            <w:vAlign w:val="center"/>
          </w:tcPr>
          <w:p w:rsidR="005B57A4" w:rsidRPr="00101B0C" w:rsidRDefault="005B57A4" w:rsidP="005B57A4">
            <w:pPr>
              <w:spacing w:line="360" w:lineRule="auto"/>
              <w:jc w:val="center"/>
              <w:rPr>
                <w:rFonts w:asciiTheme="minorEastAsia" w:eastAsiaTheme="minorEastAsia" w:hAnsiTheme="minorEastAsia"/>
                <w:sz w:val="24"/>
                <w:szCs w:val="24"/>
              </w:rPr>
            </w:pPr>
            <w:r w:rsidRPr="00101B0C">
              <w:rPr>
                <w:rFonts w:asciiTheme="minorEastAsia" w:eastAsiaTheme="minorEastAsia" w:hAnsiTheme="minorEastAsia"/>
                <w:sz w:val="24"/>
                <w:szCs w:val="24"/>
              </w:rPr>
              <w:t>R3</w:t>
            </w:r>
          </w:p>
        </w:tc>
      </w:tr>
      <w:tr w:rsidR="005B57A4" w:rsidRPr="00101B0C" w:rsidTr="00101B0C">
        <w:trPr>
          <w:jc w:val="center"/>
        </w:trPr>
        <w:tc>
          <w:tcPr>
            <w:tcW w:w="1271" w:type="dxa"/>
            <w:vAlign w:val="center"/>
          </w:tcPr>
          <w:p w:rsidR="005B57A4" w:rsidRPr="00101B0C" w:rsidRDefault="005B57A4">
            <w:pPr>
              <w:jc w:val="center"/>
              <w:rPr>
                <w:rFonts w:asciiTheme="minorEastAsia" w:eastAsiaTheme="minorEastAsia" w:hAnsiTheme="minorEastAsia"/>
                <w:sz w:val="24"/>
                <w:szCs w:val="24"/>
              </w:rPr>
            </w:pPr>
            <w:r w:rsidRPr="00101B0C">
              <w:rPr>
                <w:sz w:val="24"/>
                <w:szCs w:val="24"/>
              </w:rPr>
              <w:t>015741</w:t>
            </w:r>
          </w:p>
        </w:tc>
        <w:tc>
          <w:tcPr>
            <w:tcW w:w="4111" w:type="dxa"/>
          </w:tcPr>
          <w:p w:rsidR="005B57A4" w:rsidRPr="00101B0C" w:rsidRDefault="005B57A4" w:rsidP="005B57A4">
            <w:pPr>
              <w:jc w:val="both"/>
              <w:rPr>
                <w:rFonts w:asciiTheme="minorEastAsia" w:eastAsiaTheme="minorEastAsia" w:hAnsiTheme="minorEastAsia"/>
                <w:sz w:val="24"/>
                <w:szCs w:val="24"/>
              </w:rPr>
            </w:pPr>
            <w:r w:rsidRPr="00101B0C">
              <w:rPr>
                <w:rFonts w:hint="eastAsia"/>
                <w:sz w:val="24"/>
                <w:szCs w:val="24"/>
              </w:rPr>
              <w:t>西藏东财品质生活优选混合型发起式证券投资基金</w:t>
            </w:r>
            <w:r w:rsidRPr="00101B0C">
              <w:rPr>
                <w:rFonts w:asciiTheme="minorEastAsia" w:eastAsiaTheme="minorEastAsia" w:hAnsiTheme="minorEastAsia"/>
                <w:sz w:val="24"/>
                <w:szCs w:val="24"/>
              </w:rPr>
              <w:t>A</w:t>
            </w:r>
          </w:p>
        </w:tc>
        <w:tc>
          <w:tcPr>
            <w:tcW w:w="1843" w:type="dxa"/>
            <w:vAlign w:val="center"/>
          </w:tcPr>
          <w:p w:rsidR="005B57A4" w:rsidRPr="00101B0C" w:rsidRDefault="005B57A4" w:rsidP="005B57A4">
            <w:pPr>
              <w:jc w:val="center"/>
              <w:rPr>
                <w:rFonts w:asciiTheme="minorEastAsia" w:eastAsiaTheme="minorEastAsia" w:hAnsiTheme="minorEastAsia"/>
                <w:sz w:val="24"/>
                <w:szCs w:val="24"/>
              </w:rPr>
            </w:pPr>
            <w:r w:rsidRPr="00101B0C">
              <w:rPr>
                <w:rFonts w:asciiTheme="minorEastAsia" w:eastAsiaTheme="minorEastAsia" w:hAnsiTheme="minorEastAsia" w:hint="eastAsia"/>
                <w:sz w:val="24"/>
                <w:szCs w:val="24"/>
              </w:rPr>
              <w:t>混合型</w:t>
            </w:r>
          </w:p>
        </w:tc>
        <w:tc>
          <w:tcPr>
            <w:tcW w:w="1275" w:type="dxa"/>
            <w:vAlign w:val="center"/>
          </w:tcPr>
          <w:p w:rsidR="005B57A4" w:rsidRPr="00101B0C" w:rsidRDefault="005B57A4" w:rsidP="005B57A4">
            <w:pPr>
              <w:spacing w:line="360" w:lineRule="auto"/>
              <w:jc w:val="center"/>
              <w:rPr>
                <w:rFonts w:asciiTheme="minorEastAsia" w:eastAsiaTheme="minorEastAsia" w:hAnsiTheme="minorEastAsia"/>
                <w:sz w:val="24"/>
                <w:szCs w:val="24"/>
              </w:rPr>
            </w:pPr>
            <w:r w:rsidRPr="00101B0C">
              <w:rPr>
                <w:rFonts w:asciiTheme="minorEastAsia" w:eastAsiaTheme="minorEastAsia" w:hAnsiTheme="minorEastAsia"/>
                <w:sz w:val="24"/>
                <w:szCs w:val="24"/>
              </w:rPr>
              <w:t>R3</w:t>
            </w:r>
          </w:p>
        </w:tc>
      </w:tr>
      <w:tr w:rsidR="005B57A4" w:rsidRPr="00101B0C" w:rsidTr="00101B0C">
        <w:trPr>
          <w:jc w:val="center"/>
        </w:trPr>
        <w:tc>
          <w:tcPr>
            <w:tcW w:w="1271" w:type="dxa"/>
            <w:vAlign w:val="center"/>
          </w:tcPr>
          <w:p w:rsidR="005B57A4" w:rsidRPr="00101B0C" w:rsidRDefault="005B57A4">
            <w:pPr>
              <w:jc w:val="center"/>
              <w:rPr>
                <w:rFonts w:asciiTheme="minorEastAsia" w:eastAsiaTheme="minorEastAsia" w:hAnsiTheme="minorEastAsia"/>
                <w:sz w:val="24"/>
                <w:szCs w:val="24"/>
              </w:rPr>
            </w:pPr>
            <w:r w:rsidRPr="00101B0C">
              <w:rPr>
                <w:sz w:val="24"/>
                <w:szCs w:val="24"/>
              </w:rPr>
              <w:t>015742</w:t>
            </w:r>
          </w:p>
        </w:tc>
        <w:tc>
          <w:tcPr>
            <w:tcW w:w="4111" w:type="dxa"/>
          </w:tcPr>
          <w:p w:rsidR="005B57A4" w:rsidRPr="00101B0C" w:rsidRDefault="005B57A4" w:rsidP="005B57A4">
            <w:pPr>
              <w:jc w:val="both"/>
              <w:rPr>
                <w:rFonts w:asciiTheme="minorEastAsia" w:eastAsiaTheme="minorEastAsia" w:hAnsiTheme="minorEastAsia"/>
                <w:sz w:val="24"/>
                <w:szCs w:val="24"/>
              </w:rPr>
            </w:pPr>
            <w:r w:rsidRPr="00101B0C">
              <w:rPr>
                <w:rFonts w:hint="eastAsia"/>
                <w:sz w:val="24"/>
                <w:szCs w:val="24"/>
              </w:rPr>
              <w:t>西藏东财品质生活优选混合型发起式证券投资基金</w:t>
            </w:r>
            <w:r w:rsidRPr="00101B0C">
              <w:rPr>
                <w:rFonts w:asciiTheme="minorEastAsia" w:eastAsiaTheme="minorEastAsia" w:hAnsiTheme="minorEastAsia"/>
                <w:sz w:val="24"/>
                <w:szCs w:val="24"/>
              </w:rPr>
              <w:t>C</w:t>
            </w:r>
          </w:p>
        </w:tc>
        <w:tc>
          <w:tcPr>
            <w:tcW w:w="1843" w:type="dxa"/>
            <w:vAlign w:val="center"/>
          </w:tcPr>
          <w:p w:rsidR="005B57A4" w:rsidRPr="00101B0C" w:rsidRDefault="005B57A4" w:rsidP="005B57A4">
            <w:pPr>
              <w:jc w:val="center"/>
              <w:rPr>
                <w:rFonts w:asciiTheme="minorEastAsia" w:eastAsiaTheme="minorEastAsia" w:hAnsiTheme="minorEastAsia"/>
                <w:sz w:val="24"/>
                <w:szCs w:val="24"/>
              </w:rPr>
            </w:pPr>
            <w:r w:rsidRPr="00101B0C">
              <w:rPr>
                <w:rFonts w:asciiTheme="minorEastAsia" w:eastAsiaTheme="minorEastAsia" w:hAnsiTheme="minorEastAsia" w:hint="eastAsia"/>
                <w:sz w:val="24"/>
                <w:szCs w:val="24"/>
              </w:rPr>
              <w:t>混合型</w:t>
            </w:r>
          </w:p>
        </w:tc>
        <w:tc>
          <w:tcPr>
            <w:tcW w:w="1275" w:type="dxa"/>
            <w:vAlign w:val="center"/>
          </w:tcPr>
          <w:p w:rsidR="005B57A4" w:rsidRPr="00101B0C" w:rsidRDefault="005B57A4" w:rsidP="005B57A4">
            <w:pPr>
              <w:spacing w:line="360" w:lineRule="auto"/>
              <w:jc w:val="center"/>
              <w:rPr>
                <w:rFonts w:asciiTheme="minorEastAsia" w:eastAsiaTheme="minorEastAsia" w:hAnsiTheme="minorEastAsia"/>
                <w:sz w:val="24"/>
                <w:szCs w:val="24"/>
              </w:rPr>
            </w:pPr>
            <w:r w:rsidRPr="00101B0C">
              <w:rPr>
                <w:rFonts w:asciiTheme="minorEastAsia" w:eastAsiaTheme="minorEastAsia" w:hAnsiTheme="minorEastAsia"/>
                <w:sz w:val="24"/>
                <w:szCs w:val="24"/>
              </w:rPr>
              <w:t>R3</w:t>
            </w:r>
          </w:p>
        </w:tc>
      </w:tr>
      <w:tr w:rsidR="005B57A4" w:rsidRPr="00101B0C" w:rsidTr="00101B0C">
        <w:trPr>
          <w:jc w:val="center"/>
        </w:trPr>
        <w:tc>
          <w:tcPr>
            <w:tcW w:w="1271" w:type="dxa"/>
            <w:vAlign w:val="center"/>
          </w:tcPr>
          <w:p w:rsidR="005B57A4" w:rsidRPr="00101B0C" w:rsidRDefault="005B57A4">
            <w:pPr>
              <w:jc w:val="center"/>
              <w:rPr>
                <w:rFonts w:asciiTheme="minorEastAsia" w:eastAsiaTheme="minorEastAsia" w:hAnsiTheme="minorEastAsia"/>
                <w:sz w:val="24"/>
                <w:szCs w:val="24"/>
              </w:rPr>
            </w:pPr>
            <w:r w:rsidRPr="00101B0C">
              <w:rPr>
                <w:sz w:val="24"/>
                <w:szCs w:val="24"/>
              </w:rPr>
              <w:t>159637</w:t>
            </w:r>
          </w:p>
        </w:tc>
        <w:tc>
          <w:tcPr>
            <w:tcW w:w="4111" w:type="dxa"/>
          </w:tcPr>
          <w:p w:rsidR="005B57A4" w:rsidRPr="00101B0C" w:rsidRDefault="005B57A4" w:rsidP="005B57A4">
            <w:pPr>
              <w:jc w:val="both"/>
              <w:rPr>
                <w:rFonts w:asciiTheme="minorEastAsia" w:eastAsiaTheme="minorEastAsia" w:hAnsiTheme="minorEastAsia"/>
                <w:sz w:val="24"/>
                <w:szCs w:val="24"/>
              </w:rPr>
            </w:pPr>
            <w:r w:rsidRPr="00101B0C">
              <w:rPr>
                <w:rFonts w:hint="eastAsia"/>
                <w:sz w:val="24"/>
                <w:szCs w:val="24"/>
              </w:rPr>
              <w:t>西藏东财中证新能源汽车交易型开放式指数证券投资基金</w:t>
            </w:r>
          </w:p>
        </w:tc>
        <w:tc>
          <w:tcPr>
            <w:tcW w:w="1843" w:type="dxa"/>
            <w:vAlign w:val="center"/>
          </w:tcPr>
          <w:p w:rsidR="005B57A4" w:rsidRPr="00101B0C" w:rsidRDefault="005B57A4" w:rsidP="005B57A4">
            <w:pPr>
              <w:jc w:val="center"/>
              <w:rPr>
                <w:rFonts w:asciiTheme="minorEastAsia" w:eastAsiaTheme="minorEastAsia" w:hAnsiTheme="minorEastAsia"/>
                <w:sz w:val="24"/>
                <w:szCs w:val="24"/>
              </w:rPr>
            </w:pPr>
            <w:r w:rsidRPr="00101B0C">
              <w:rPr>
                <w:rFonts w:asciiTheme="minorEastAsia" w:eastAsiaTheme="minorEastAsia" w:hAnsiTheme="minorEastAsia" w:hint="eastAsia"/>
                <w:sz w:val="24"/>
                <w:szCs w:val="24"/>
              </w:rPr>
              <w:t>股票型</w:t>
            </w:r>
          </w:p>
        </w:tc>
        <w:tc>
          <w:tcPr>
            <w:tcW w:w="1275" w:type="dxa"/>
            <w:vAlign w:val="center"/>
          </w:tcPr>
          <w:p w:rsidR="005B57A4" w:rsidRPr="00101B0C" w:rsidRDefault="005B57A4" w:rsidP="005B57A4">
            <w:pPr>
              <w:spacing w:line="360" w:lineRule="auto"/>
              <w:jc w:val="center"/>
              <w:rPr>
                <w:rFonts w:asciiTheme="minorEastAsia" w:eastAsiaTheme="minorEastAsia" w:hAnsiTheme="minorEastAsia"/>
                <w:sz w:val="24"/>
                <w:szCs w:val="24"/>
              </w:rPr>
            </w:pPr>
            <w:r w:rsidRPr="00101B0C">
              <w:rPr>
                <w:rFonts w:asciiTheme="minorEastAsia" w:eastAsiaTheme="minorEastAsia" w:hAnsiTheme="minorEastAsia"/>
                <w:sz w:val="24"/>
                <w:szCs w:val="24"/>
              </w:rPr>
              <w:t>R3</w:t>
            </w:r>
          </w:p>
        </w:tc>
      </w:tr>
      <w:tr w:rsidR="005B57A4" w:rsidRPr="00101B0C" w:rsidTr="00101B0C">
        <w:trPr>
          <w:jc w:val="center"/>
        </w:trPr>
        <w:tc>
          <w:tcPr>
            <w:tcW w:w="1271" w:type="dxa"/>
            <w:vAlign w:val="center"/>
          </w:tcPr>
          <w:p w:rsidR="005B57A4" w:rsidRPr="00101B0C" w:rsidRDefault="005B57A4">
            <w:pPr>
              <w:jc w:val="center"/>
              <w:rPr>
                <w:rFonts w:asciiTheme="minorEastAsia" w:eastAsiaTheme="minorEastAsia" w:hAnsiTheme="minorEastAsia"/>
                <w:sz w:val="24"/>
                <w:szCs w:val="24"/>
              </w:rPr>
            </w:pPr>
            <w:r w:rsidRPr="00101B0C">
              <w:rPr>
                <w:sz w:val="24"/>
                <w:szCs w:val="24"/>
              </w:rPr>
              <w:t>016177</w:t>
            </w:r>
          </w:p>
        </w:tc>
        <w:tc>
          <w:tcPr>
            <w:tcW w:w="4111" w:type="dxa"/>
          </w:tcPr>
          <w:p w:rsidR="005B57A4" w:rsidRPr="00101B0C" w:rsidRDefault="005B57A4" w:rsidP="005B57A4">
            <w:pPr>
              <w:jc w:val="both"/>
              <w:rPr>
                <w:rFonts w:asciiTheme="minorEastAsia" w:eastAsiaTheme="minorEastAsia" w:hAnsiTheme="minorEastAsia"/>
                <w:sz w:val="24"/>
                <w:szCs w:val="24"/>
              </w:rPr>
            </w:pPr>
            <w:r w:rsidRPr="00101B0C">
              <w:rPr>
                <w:rFonts w:hint="eastAsia"/>
                <w:sz w:val="24"/>
                <w:szCs w:val="24"/>
              </w:rPr>
              <w:t>西藏东财稳健配置六个月持有期混合型发起式基金中基金</w:t>
            </w:r>
            <w:r w:rsidRPr="00101B0C">
              <w:rPr>
                <w:sz w:val="24"/>
                <w:szCs w:val="24"/>
              </w:rPr>
              <w:t>(FOF)</w:t>
            </w:r>
            <w:r w:rsidRPr="00101B0C">
              <w:rPr>
                <w:rFonts w:asciiTheme="minorEastAsia" w:eastAsiaTheme="minorEastAsia" w:hAnsiTheme="minorEastAsia"/>
                <w:sz w:val="24"/>
                <w:szCs w:val="24"/>
              </w:rPr>
              <w:t>A</w:t>
            </w:r>
          </w:p>
        </w:tc>
        <w:tc>
          <w:tcPr>
            <w:tcW w:w="1843" w:type="dxa"/>
            <w:vAlign w:val="center"/>
          </w:tcPr>
          <w:p w:rsidR="005B57A4" w:rsidRPr="00101B0C" w:rsidRDefault="005B57A4" w:rsidP="005B57A4">
            <w:pPr>
              <w:jc w:val="center"/>
              <w:rPr>
                <w:rFonts w:asciiTheme="minorEastAsia" w:eastAsiaTheme="minorEastAsia" w:hAnsiTheme="minorEastAsia"/>
                <w:sz w:val="24"/>
                <w:szCs w:val="24"/>
              </w:rPr>
            </w:pPr>
            <w:r w:rsidRPr="00101B0C">
              <w:rPr>
                <w:rFonts w:asciiTheme="minorEastAsia" w:eastAsiaTheme="minorEastAsia" w:hAnsiTheme="minorEastAsia" w:hint="eastAsia"/>
                <w:sz w:val="24"/>
                <w:szCs w:val="24"/>
              </w:rPr>
              <w:t>混合型</w:t>
            </w:r>
          </w:p>
        </w:tc>
        <w:tc>
          <w:tcPr>
            <w:tcW w:w="1275" w:type="dxa"/>
            <w:vAlign w:val="center"/>
          </w:tcPr>
          <w:p w:rsidR="005B57A4" w:rsidRPr="00101B0C" w:rsidRDefault="005B57A4" w:rsidP="005B57A4">
            <w:pPr>
              <w:spacing w:line="360" w:lineRule="auto"/>
              <w:jc w:val="center"/>
              <w:rPr>
                <w:rFonts w:asciiTheme="minorEastAsia" w:eastAsiaTheme="minorEastAsia" w:hAnsiTheme="minorEastAsia"/>
                <w:sz w:val="24"/>
                <w:szCs w:val="24"/>
              </w:rPr>
            </w:pPr>
            <w:r w:rsidRPr="00101B0C">
              <w:rPr>
                <w:rFonts w:asciiTheme="minorEastAsia" w:eastAsiaTheme="minorEastAsia" w:hAnsiTheme="minorEastAsia"/>
                <w:sz w:val="24"/>
                <w:szCs w:val="24"/>
              </w:rPr>
              <w:t>R3</w:t>
            </w:r>
          </w:p>
        </w:tc>
      </w:tr>
      <w:tr w:rsidR="005B57A4" w:rsidRPr="00101B0C" w:rsidTr="00101B0C">
        <w:trPr>
          <w:jc w:val="center"/>
        </w:trPr>
        <w:tc>
          <w:tcPr>
            <w:tcW w:w="1271" w:type="dxa"/>
            <w:vAlign w:val="center"/>
          </w:tcPr>
          <w:p w:rsidR="005B57A4" w:rsidRPr="00101B0C" w:rsidRDefault="005B57A4">
            <w:pPr>
              <w:jc w:val="center"/>
              <w:rPr>
                <w:rFonts w:asciiTheme="minorEastAsia" w:eastAsiaTheme="minorEastAsia" w:hAnsiTheme="minorEastAsia"/>
                <w:sz w:val="24"/>
                <w:szCs w:val="24"/>
              </w:rPr>
            </w:pPr>
            <w:r w:rsidRPr="00101B0C">
              <w:rPr>
                <w:sz w:val="24"/>
                <w:szCs w:val="24"/>
              </w:rPr>
              <w:t>016178</w:t>
            </w:r>
          </w:p>
        </w:tc>
        <w:tc>
          <w:tcPr>
            <w:tcW w:w="4111" w:type="dxa"/>
          </w:tcPr>
          <w:p w:rsidR="005B57A4" w:rsidRPr="00101B0C" w:rsidRDefault="005B57A4" w:rsidP="005B57A4">
            <w:pPr>
              <w:jc w:val="both"/>
              <w:rPr>
                <w:rFonts w:asciiTheme="minorEastAsia" w:eastAsiaTheme="minorEastAsia" w:hAnsiTheme="minorEastAsia"/>
                <w:sz w:val="24"/>
                <w:szCs w:val="24"/>
              </w:rPr>
            </w:pPr>
            <w:r w:rsidRPr="00101B0C">
              <w:rPr>
                <w:rFonts w:hint="eastAsia"/>
                <w:sz w:val="24"/>
                <w:szCs w:val="24"/>
              </w:rPr>
              <w:t>西藏东财稳健配置六个月持有期混合型发起式基金中基金</w:t>
            </w:r>
            <w:r w:rsidRPr="00101B0C">
              <w:rPr>
                <w:sz w:val="24"/>
                <w:szCs w:val="24"/>
              </w:rPr>
              <w:t>(FOF)</w:t>
            </w:r>
            <w:r w:rsidRPr="00101B0C">
              <w:rPr>
                <w:rFonts w:asciiTheme="minorEastAsia" w:eastAsiaTheme="minorEastAsia" w:hAnsiTheme="minorEastAsia"/>
                <w:sz w:val="24"/>
                <w:szCs w:val="24"/>
              </w:rPr>
              <w:t>C</w:t>
            </w:r>
          </w:p>
        </w:tc>
        <w:tc>
          <w:tcPr>
            <w:tcW w:w="1843" w:type="dxa"/>
            <w:vAlign w:val="center"/>
          </w:tcPr>
          <w:p w:rsidR="005B57A4" w:rsidRPr="00101B0C" w:rsidRDefault="005B57A4" w:rsidP="005B57A4">
            <w:pPr>
              <w:jc w:val="center"/>
              <w:rPr>
                <w:rFonts w:asciiTheme="minorEastAsia" w:eastAsiaTheme="minorEastAsia" w:hAnsiTheme="minorEastAsia"/>
                <w:sz w:val="24"/>
                <w:szCs w:val="24"/>
              </w:rPr>
            </w:pPr>
            <w:r w:rsidRPr="00101B0C">
              <w:rPr>
                <w:rFonts w:asciiTheme="minorEastAsia" w:eastAsiaTheme="minorEastAsia" w:hAnsiTheme="minorEastAsia" w:hint="eastAsia"/>
                <w:sz w:val="24"/>
                <w:szCs w:val="24"/>
              </w:rPr>
              <w:t>混合型</w:t>
            </w:r>
          </w:p>
        </w:tc>
        <w:tc>
          <w:tcPr>
            <w:tcW w:w="1275" w:type="dxa"/>
            <w:vAlign w:val="center"/>
          </w:tcPr>
          <w:p w:rsidR="005B57A4" w:rsidRPr="00101B0C" w:rsidRDefault="005B57A4" w:rsidP="005B57A4">
            <w:pPr>
              <w:spacing w:line="360" w:lineRule="auto"/>
              <w:jc w:val="center"/>
              <w:rPr>
                <w:rFonts w:asciiTheme="minorEastAsia" w:eastAsiaTheme="minorEastAsia" w:hAnsiTheme="minorEastAsia"/>
                <w:sz w:val="24"/>
                <w:szCs w:val="24"/>
              </w:rPr>
            </w:pPr>
            <w:r w:rsidRPr="00101B0C">
              <w:rPr>
                <w:rFonts w:asciiTheme="minorEastAsia" w:eastAsiaTheme="minorEastAsia" w:hAnsiTheme="minorEastAsia"/>
                <w:sz w:val="24"/>
                <w:szCs w:val="24"/>
              </w:rPr>
              <w:t>R3</w:t>
            </w:r>
          </w:p>
        </w:tc>
      </w:tr>
      <w:tr w:rsidR="005B57A4" w:rsidRPr="00101B0C" w:rsidTr="00101B0C">
        <w:trPr>
          <w:jc w:val="center"/>
        </w:trPr>
        <w:tc>
          <w:tcPr>
            <w:tcW w:w="1271" w:type="dxa"/>
            <w:vAlign w:val="center"/>
          </w:tcPr>
          <w:p w:rsidR="005B57A4" w:rsidRPr="00101B0C" w:rsidRDefault="005B57A4">
            <w:pPr>
              <w:jc w:val="center"/>
              <w:rPr>
                <w:rFonts w:asciiTheme="minorEastAsia" w:eastAsiaTheme="minorEastAsia" w:hAnsiTheme="minorEastAsia"/>
                <w:sz w:val="24"/>
                <w:szCs w:val="24"/>
              </w:rPr>
            </w:pPr>
            <w:r w:rsidRPr="00101B0C">
              <w:rPr>
                <w:sz w:val="24"/>
                <w:szCs w:val="24"/>
              </w:rPr>
              <w:t>016043</w:t>
            </w:r>
          </w:p>
        </w:tc>
        <w:tc>
          <w:tcPr>
            <w:tcW w:w="4111" w:type="dxa"/>
          </w:tcPr>
          <w:p w:rsidR="005B57A4" w:rsidRPr="00101B0C" w:rsidRDefault="00737C18" w:rsidP="005B57A4">
            <w:pPr>
              <w:jc w:val="both"/>
              <w:rPr>
                <w:rFonts w:asciiTheme="minorEastAsia" w:eastAsiaTheme="minorEastAsia" w:hAnsiTheme="minorEastAsia"/>
                <w:sz w:val="24"/>
                <w:szCs w:val="24"/>
              </w:rPr>
            </w:pPr>
            <w:r w:rsidRPr="00737C18">
              <w:rPr>
                <w:rFonts w:hint="eastAsia"/>
                <w:sz w:val="24"/>
                <w:szCs w:val="24"/>
              </w:rPr>
              <w:t>西藏东财中证证券公司</w:t>
            </w:r>
            <w:r w:rsidRPr="00737C18">
              <w:rPr>
                <w:sz w:val="24"/>
                <w:szCs w:val="24"/>
              </w:rPr>
              <w:t>30交易型开放式指数证券投资基金发起式联接基金</w:t>
            </w:r>
            <w:r w:rsidR="005B57A4" w:rsidRPr="00101B0C">
              <w:rPr>
                <w:rFonts w:asciiTheme="minorEastAsia" w:eastAsiaTheme="minorEastAsia" w:hAnsiTheme="minorEastAsia"/>
                <w:sz w:val="24"/>
                <w:szCs w:val="24"/>
              </w:rPr>
              <w:t>A</w:t>
            </w:r>
          </w:p>
        </w:tc>
        <w:tc>
          <w:tcPr>
            <w:tcW w:w="1843" w:type="dxa"/>
            <w:vAlign w:val="center"/>
          </w:tcPr>
          <w:p w:rsidR="005B57A4" w:rsidRPr="00101B0C" w:rsidRDefault="005B57A4" w:rsidP="005B57A4">
            <w:pPr>
              <w:jc w:val="center"/>
              <w:rPr>
                <w:rFonts w:asciiTheme="minorEastAsia" w:eastAsiaTheme="minorEastAsia" w:hAnsiTheme="minorEastAsia"/>
                <w:sz w:val="24"/>
                <w:szCs w:val="24"/>
              </w:rPr>
            </w:pPr>
            <w:r w:rsidRPr="00101B0C">
              <w:rPr>
                <w:rFonts w:asciiTheme="minorEastAsia" w:eastAsiaTheme="minorEastAsia" w:hAnsiTheme="minorEastAsia" w:hint="eastAsia"/>
                <w:sz w:val="24"/>
                <w:szCs w:val="24"/>
              </w:rPr>
              <w:t>股票型</w:t>
            </w:r>
          </w:p>
        </w:tc>
        <w:tc>
          <w:tcPr>
            <w:tcW w:w="1275" w:type="dxa"/>
            <w:vAlign w:val="center"/>
          </w:tcPr>
          <w:p w:rsidR="005B57A4" w:rsidRPr="00101B0C" w:rsidRDefault="005B57A4" w:rsidP="005B57A4">
            <w:pPr>
              <w:spacing w:line="360" w:lineRule="auto"/>
              <w:jc w:val="center"/>
              <w:rPr>
                <w:rFonts w:asciiTheme="minorEastAsia" w:eastAsiaTheme="minorEastAsia" w:hAnsiTheme="minorEastAsia"/>
                <w:sz w:val="24"/>
                <w:szCs w:val="24"/>
              </w:rPr>
            </w:pPr>
            <w:r w:rsidRPr="00101B0C">
              <w:rPr>
                <w:rFonts w:asciiTheme="minorEastAsia" w:eastAsiaTheme="minorEastAsia" w:hAnsiTheme="minorEastAsia"/>
                <w:sz w:val="24"/>
                <w:szCs w:val="24"/>
              </w:rPr>
              <w:t>R3</w:t>
            </w:r>
          </w:p>
        </w:tc>
      </w:tr>
      <w:tr w:rsidR="005B57A4" w:rsidRPr="00101B0C" w:rsidTr="00101B0C">
        <w:trPr>
          <w:jc w:val="center"/>
        </w:trPr>
        <w:tc>
          <w:tcPr>
            <w:tcW w:w="1271" w:type="dxa"/>
            <w:vAlign w:val="center"/>
          </w:tcPr>
          <w:p w:rsidR="005B57A4" w:rsidRPr="00101B0C" w:rsidRDefault="005B57A4">
            <w:pPr>
              <w:jc w:val="center"/>
              <w:rPr>
                <w:rFonts w:asciiTheme="minorEastAsia" w:eastAsiaTheme="minorEastAsia" w:hAnsiTheme="minorEastAsia"/>
                <w:sz w:val="24"/>
                <w:szCs w:val="24"/>
              </w:rPr>
            </w:pPr>
            <w:r w:rsidRPr="00101B0C">
              <w:rPr>
                <w:sz w:val="24"/>
                <w:szCs w:val="24"/>
              </w:rPr>
              <w:t>016044</w:t>
            </w:r>
          </w:p>
        </w:tc>
        <w:tc>
          <w:tcPr>
            <w:tcW w:w="4111" w:type="dxa"/>
          </w:tcPr>
          <w:p w:rsidR="005B57A4" w:rsidRPr="00101B0C" w:rsidRDefault="00737C18" w:rsidP="005B57A4">
            <w:pPr>
              <w:jc w:val="both"/>
              <w:rPr>
                <w:rFonts w:asciiTheme="minorEastAsia" w:eastAsiaTheme="minorEastAsia" w:hAnsiTheme="minorEastAsia"/>
                <w:sz w:val="24"/>
                <w:szCs w:val="24"/>
              </w:rPr>
            </w:pPr>
            <w:r w:rsidRPr="00737C18">
              <w:rPr>
                <w:rFonts w:hint="eastAsia"/>
                <w:sz w:val="24"/>
                <w:szCs w:val="24"/>
              </w:rPr>
              <w:t>西藏东财中证证券公司</w:t>
            </w:r>
            <w:r w:rsidRPr="00737C18">
              <w:rPr>
                <w:sz w:val="24"/>
                <w:szCs w:val="24"/>
              </w:rPr>
              <w:t>30交易型开放式指数证券投资基金发起式联接基金</w:t>
            </w:r>
            <w:r w:rsidR="005B57A4" w:rsidRPr="00101B0C">
              <w:rPr>
                <w:rFonts w:asciiTheme="minorEastAsia" w:eastAsiaTheme="minorEastAsia" w:hAnsiTheme="minorEastAsia"/>
                <w:sz w:val="24"/>
                <w:szCs w:val="24"/>
              </w:rPr>
              <w:t>C</w:t>
            </w:r>
          </w:p>
        </w:tc>
        <w:tc>
          <w:tcPr>
            <w:tcW w:w="1843" w:type="dxa"/>
            <w:vAlign w:val="center"/>
          </w:tcPr>
          <w:p w:rsidR="005B57A4" w:rsidRPr="00101B0C" w:rsidRDefault="005B57A4" w:rsidP="005B57A4">
            <w:pPr>
              <w:jc w:val="center"/>
              <w:rPr>
                <w:rFonts w:asciiTheme="minorEastAsia" w:eastAsiaTheme="minorEastAsia" w:hAnsiTheme="minorEastAsia"/>
                <w:sz w:val="24"/>
                <w:szCs w:val="24"/>
              </w:rPr>
            </w:pPr>
            <w:r w:rsidRPr="00101B0C">
              <w:rPr>
                <w:rFonts w:asciiTheme="minorEastAsia" w:eastAsiaTheme="minorEastAsia" w:hAnsiTheme="minorEastAsia" w:hint="eastAsia"/>
                <w:sz w:val="24"/>
                <w:szCs w:val="24"/>
              </w:rPr>
              <w:t>股票型</w:t>
            </w:r>
          </w:p>
        </w:tc>
        <w:tc>
          <w:tcPr>
            <w:tcW w:w="1275" w:type="dxa"/>
            <w:vAlign w:val="center"/>
          </w:tcPr>
          <w:p w:rsidR="005B57A4" w:rsidRPr="00101B0C" w:rsidRDefault="005B57A4" w:rsidP="005B57A4">
            <w:pPr>
              <w:spacing w:line="360" w:lineRule="auto"/>
              <w:jc w:val="center"/>
              <w:rPr>
                <w:rFonts w:asciiTheme="minorEastAsia" w:eastAsiaTheme="minorEastAsia" w:hAnsiTheme="minorEastAsia"/>
                <w:sz w:val="24"/>
                <w:szCs w:val="24"/>
              </w:rPr>
            </w:pPr>
            <w:r w:rsidRPr="00101B0C">
              <w:rPr>
                <w:rFonts w:asciiTheme="minorEastAsia" w:eastAsiaTheme="minorEastAsia" w:hAnsiTheme="minorEastAsia"/>
                <w:sz w:val="24"/>
                <w:szCs w:val="24"/>
              </w:rPr>
              <w:t>R3</w:t>
            </w:r>
          </w:p>
        </w:tc>
      </w:tr>
      <w:tr w:rsidR="005B57A4" w:rsidRPr="00101B0C" w:rsidTr="00101B0C">
        <w:trPr>
          <w:jc w:val="center"/>
        </w:trPr>
        <w:tc>
          <w:tcPr>
            <w:tcW w:w="1271" w:type="dxa"/>
            <w:vAlign w:val="center"/>
          </w:tcPr>
          <w:p w:rsidR="005B57A4" w:rsidRPr="00101B0C" w:rsidRDefault="005B57A4">
            <w:pPr>
              <w:jc w:val="center"/>
              <w:rPr>
                <w:rFonts w:asciiTheme="minorEastAsia" w:eastAsiaTheme="minorEastAsia" w:hAnsiTheme="minorEastAsia"/>
                <w:sz w:val="24"/>
                <w:szCs w:val="24"/>
              </w:rPr>
            </w:pPr>
            <w:r w:rsidRPr="00101B0C">
              <w:rPr>
                <w:sz w:val="24"/>
                <w:szCs w:val="24"/>
              </w:rPr>
              <w:t>016487</w:t>
            </w:r>
          </w:p>
        </w:tc>
        <w:tc>
          <w:tcPr>
            <w:tcW w:w="4111" w:type="dxa"/>
          </w:tcPr>
          <w:p w:rsidR="005B57A4" w:rsidRPr="00101B0C" w:rsidRDefault="005B57A4" w:rsidP="005B57A4">
            <w:pPr>
              <w:jc w:val="both"/>
              <w:rPr>
                <w:rFonts w:asciiTheme="minorEastAsia" w:eastAsiaTheme="minorEastAsia" w:hAnsiTheme="minorEastAsia"/>
                <w:sz w:val="24"/>
                <w:szCs w:val="24"/>
              </w:rPr>
            </w:pPr>
            <w:r w:rsidRPr="00101B0C">
              <w:rPr>
                <w:rFonts w:hint="eastAsia"/>
                <w:sz w:val="24"/>
                <w:szCs w:val="24"/>
              </w:rPr>
              <w:t>西藏东财产业优选混合型发起式证券投资基金</w:t>
            </w:r>
            <w:r w:rsidRPr="00101B0C">
              <w:rPr>
                <w:rFonts w:asciiTheme="minorEastAsia" w:eastAsiaTheme="minorEastAsia" w:hAnsiTheme="minorEastAsia"/>
                <w:sz w:val="24"/>
                <w:szCs w:val="24"/>
              </w:rPr>
              <w:t>A</w:t>
            </w:r>
          </w:p>
        </w:tc>
        <w:tc>
          <w:tcPr>
            <w:tcW w:w="1843" w:type="dxa"/>
            <w:vAlign w:val="center"/>
          </w:tcPr>
          <w:p w:rsidR="005B57A4" w:rsidRPr="00101B0C" w:rsidRDefault="005B57A4" w:rsidP="005B57A4">
            <w:pPr>
              <w:jc w:val="center"/>
              <w:rPr>
                <w:rFonts w:asciiTheme="minorEastAsia" w:eastAsiaTheme="minorEastAsia" w:hAnsiTheme="minorEastAsia"/>
                <w:sz w:val="24"/>
                <w:szCs w:val="24"/>
              </w:rPr>
            </w:pPr>
            <w:r w:rsidRPr="00101B0C">
              <w:rPr>
                <w:rFonts w:asciiTheme="minorEastAsia" w:eastAsiaTheme="minorEastAsia" w:hAnsiTheme="minorEastAsia" w:hint="eastAsia"/>
                <w:sz w:val="24"/>
                <w:szCs w:val="24"/>
              </w:rPr>
              <w:t>混合型</w:t>
            </w:r>
          </w:p>
        </w:tc>
        <w:tc>
          <w:tcPr>
            <w:tcW w:w="1275" w:type="dxa"/>
            <w:vAlign w:val="center"/>
          </w:tcPr>
          <w:p w:rsidR="005B57A4" w:rsidRPr="00101B0C" w:rsidRDefault="005B57A4" w:rsidP="005B57A4">
            <w:pPr>
              <w:spacing w:line="360" w:lineRule="auto"/>
              <w:jc w:val="center"/>
              <w:rPr>
                <w:rFonts w:asciiTheme="minorEastAsia" w:eastAsiaTheme="minorEastAsia" w:hAnsiTheme="minorEastAsia"/>
                <w:sz w:val="24"/>
                <w:szCs w:val="24"/>
              </w:rPr>
            </w:pPr>
            <w:r w:rsidRPr="00101B0C">
              <w:rPr>
                <w:rFonts w:asciiTheme="minorEastAsia" w:eastAsiaTheme="minorEastAsia" w:hAnsiTheme="minorEastAsia"/>
                <w:sz w:val="24"/>
                <w:szCs w:val="24"/>
              </w:rPr>
              <w:t>R3</w:t>
            </w:r>
          </w:p>
        </w:tc>
      </w:tr>
      <w:tr w:rsidR="005B57A4" w:rsidRPr="00101B0C" w:rsidTr="00101B0C">
        <w:trPr>
          <w:jc w:val="center"/>
        </w:trPr>
        <w:tc>
          <w:tcPr>
            <w:tcW w:w="1271" w:type="dxa"/>
            <w:vAlign w:val="center"/>
          </w:tcPr>
          <w:p w:rsidR="005B57A4" w:rsidRPr="00101B0C" w:rsidRDefault="005B57A4">
            <w:pPr>
              <w:jc w:val="center"/>
              <w:rPr>
                <w:rFonts w:asciiTheme="minorEastAsia" w:eastAsiaTheme="minorEastAsia" w:hAnsiTheme="minorEastAsia"/>
                <w:sz w:val="24"/>
                <w:szCs w:val="24"/>
              </w:rPr>
            </w:pPr>
            <w:r w:rsidRPr="00101B0C">
              <w:rPr>
                <w:sz w:val="24"/>
                <w:szCs w:val="24"/>
              </w:rPr>
              <w:t>016488</w:t>
            </w:r>
          </w:p>
        </w:tc>
        <w:tc>
          <w:tcPr>
            <w:tcW w:w="4111" w:type="dxa"/>
          </w:tcPr>
          <w:p w:rsidR="005B57A4" w:rsidRPr="00101B0C" w:rsidRDefault="005B57A4" w:rsidP="005B57A4">
            <w:pPr>
              <w:jc w:val="both"/>
              <w:rPr>
                <w:rFonts w:asciiTheme="minorEastAsia" w:eastAsiaTheme="minorEastAsia" w:hAnsiTheme="minorEastAsia"/>
                <w:sz w:val="24"/>
                <w:szCs w:val="24"/>
              </w:rPr>
            </w:pPr>
            <w:r w:rsidRPr="00101B0C">
              <w:rPr>
                <w:rFonts w:hint="eastAsia"/>
                <w:sz w:val="24"/>
                <w:szCs w:val="24"/>
              </w:rPr>
              <w:t>西藏东财产业优选混合型发起式证券投资基金</w:t>
            </w:r>
            <w:r w:rsidRPr="00101B0C">
              <w:rPr>
                <w:rFonts w:asciiTheme="minorEastAsia" w:eastAsiaTheme="minorEastAsia" w:hAnsiTheme="minorEastAsia"/>
                <w:sz w:val="24"/>
                <w:szCs w:val="24"/>
              </w:rPr>
              <w:t>C</w:t>
            </w:r>
          </w:p>
        </w:tc>
        <w:tc>
          <w:tcPr>
            <w:tcW w:w="1843" w:type="dxa"/>
            <w:vAlign w:val="center"/>
          </w:tcPr>
          <w:p w:rsidR="005B57A4" w:rsidRPr="00101B0C" w:rsidRDefault="005B57A4" w:rsidP="005B57A4">
            <w:pPr>
              <w:jc w:val="center"/>
              <w:rPr>
                <w:rFonts w:asciiTheme="minorEastAsia" w:eastAsiaTheme="minorEastAsia" w:hAnsiTheme="minorEastAsia"/>
                <w:sz w:val="24"/>
                <w:szCs w:val="24"/>
              </w:rPr>
            </w:pPr>
            <w:r w:rsidRPr="00101B0C">
              <w:rPr>
                <w:rFonts w:asciiTheme="minorEastAsia" w:eastAsiaTheme="minorEastAsia" w:hAnsiTheme="minorEastAsia" w:hint="eastAsia"/>
                <w:sz w:val="24"/>
                <w:szCs w:val="24"/>
              </w:rPr>
              <w:t>混合型</w:t>
            </w:r>
          </w:p>
        </w:tc>
        <w:tc>
          <w:tcPr>
            <w:tcW w:w="1275" w:type="dxa"/>
            <w:vAlign w:val="center"/>
          </w:tcPr>
          <w:p w:rsidR="005B57A4" w:rsidRPr="00101B0C" w:rsidRDefault="005B57A4" w:rsidP="005B57A4">
            <w:pPr>
              <w:spacing w:line="360" w:lineRule="auto"/>
              <w:jc w:val="center"/>
              <w:rPr>
                <w:rFonts w:asciiTheme="minorEastAsia" w:eastAsiaTheme="minorEastAsia" w:hAnsiTheme="minorEastAsia"/>
                <w:sz w:val="24"/>
                <w:szCs w:val="24"/>
              </w:rPr>
            </w:pPr>
            <w:r w:rsidRPr="00101B0C">
              <w:rPr>
                <w:rFonts w:asciiTheme="minorEastAsia" w:eastAsiaTheme="minorEastAsia" w:hAnsiTheme="minorEastAsia"/>
                <w:sz w:val="24"/>
                <w:szCs w:val="24"/>
              </w:rPr>
              <w:t>R3</w:t>
            </w:r>
          </w:p>
        </w:tc>
      </w:tr>
      <w:tr w:rsidR="00737C18" w:rsidRPr="00101B0C" w:rsidTr="00625616">
        <w:trPr>
          <w:jc w:val="center"/>
        </w:trPr>
        <w:tc>
          <w:tcPr>
            <w:tcW w:w="1271" w:type="dxa"/>
            <w:vAlign w:val="center"/>
          </w:tcPr>
          <w:p w:rsidR="00737C18" w:rsidRPr="00737C18" w:rsidRDefault="00737C18" w:rsidP="00625616">
            <w:pPr>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017857</w:t>
            </w:r>
          </w:p>
        </w:tc>
        <w:tc>
          <w:tcPr>
            <w:tcW w:w="4111" w:type="dxa"/>
          </w:tcPr>
          <w:p w:rsidR="00737C18" w:rsidRPr="00737C18" w:rsidRDefault="00737C18" w:rsidP="00737C18">
            <w:pPr>
              <w:jc w:val="both"/>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西藏东财时代优选混合型发起式证券投资基金A</w:t>
            </w:r>
          </w:p>
        </w:tc>
        <w:tc>
          <w:tcPr>
            <w:tcW w:w="1843" w:type="dxa"/>
            <w:vAlign w:val="center"/>
          </w:tcPr>
          <w:p w:rsidR="00737C18" w:rsidRPr="00737C18" w:rsidRDefault="00737C18" w:rsidP="00737C18">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混合型</w:t>
            </w:r>
          </w:p>
        </w:tc>
        <w:tc>
          <w:tcPr>
            <w:tcW w:w="1275" w:type="dxa"/>
            <w:vAlign w:val="center"/>
          </w:tcPr>
          <w:p w:rsidR="00737C18" w:rsidRPr="00737C18" w:rsidRDefault="00737C18" w:rsidP="00737C18">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R3</w:t>
            </w:r>
          </w:p>
        </w:tc>
      </w:tr>
      <w:tr w:rsidR="00737C18" w:rsidRPr="00101B0C" w:rsidTr="00625616">
        <w:trPr>
          <w:jc w:val="center"/>
        </w:trPr>
        <w:tc>
          <w:tcPr>
            <w:tcW w:w="1271" w:type="dxa"/>
            <w:vAlign w:val="center"/>
          </w:tcPr>
          <w:p w:rsidR="00737C18" w:rsidRPr="00737C18" w:rsidRDefault="00737C18" w:rsidP="00625616">
            <w:pPr>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017858</w:t>
            </w:r>
          </w:p>
        </w:tc>
        <w:tc>
          <w:tcPr>
            <w:tcW w:w="4111" w:type="dxa"/>
          </w:tcPr>
          <w:p w:rsidR="00737C18" w:rsidRPr="00737C18" w:rsidRDefault="00737C18" w:rsidP="00737C18">
            <w:pPr>
              <w:jc w:val="both"/>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西藏东财时代优选混合型发起式证券投资基金C</w:t>
            </w:r>
          </w:p>
        </w:tc>
        <w:tc>
          <w:tcPr>
            <w:tcW w:w="1843" w:type="dxa"/>
            <w:vAlign w:val="center"/>
          </w:tcPr>
          <w:p w:rsidR="00737C18" w:rsidRPr="00737C18" w:rsidRDefault="00737C18" w:rsidP="00737C18">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混合型</w:t>
            </w:r>
          </w:p>
        </w:tc>
        <w:tc>
          <w:tcPr>
            <w:tcW w:w="1275" w:type="dxa"/>
            <w:vAlign w:val="center"/>
          </w:tcPr>
          <w:p w:rsidR="00737C18" w:rsidRPr="00737C18" w:rsidRDefault="00737C18" w:rsidP="00737C18">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R3</w:t>
            </w:r>
          </w:p>
        </w:tc>
      </w:tr>
      <w:tr w:rsidR="00737C18" w:rsidRPr="00101B0C" w:rsidTr="00625616">
        <w:trPr>
          <w:jc w:val="center"/>
        </w:trPr>
        <w:tc>
          <w:tcPr>
            <w:tcW w:w="1271" w:type="dxa"/>
            <w:vAlign w:val="center"/>
          </w:tcPr>
          <w:p w:rsidR="00737C18" w:rsidRPr="00737C18" w:rsidRDefault="00737C18" w:rsidP="00625616">
            <w:pPr>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017981</w:t>
            </w:r>
          </w:p>
        </w:tc>
        <w:tc>
          <w:tcPr>
            <w:tcW w:w="4111" w:type="dxa"/>
          </w:tcPr>
          <w:p w:rsidR="00737C18" w:rsidRPr="00737C18" w:rsidRDefault="00737C18" w:rsidP="00737C18">
            <w:pPr>
              <w:jc w:val="both"/>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西藏东财成长优选混合型发起式证券投资基金A</w:t>
            </w:r>
          </w:p>
        </w:tc>
        <w:tc>
          <w:tcPr>
            <w:tcW w:w="1843" w:type="dxa"/>
            <w:vAlign w:val="center"/>
          </w:tcPr>
          <w:p w:rsidR="00737C18" w:rsidRPr="00737C18" w:rsidRDefault="00737C18" w:rsidP="00737C18">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混合型</w:t>
            </w:r>
          </w:p>
        </w:tc>
        <w:tc>
          <w:tcPr>
            <w:tcW w:w="1275" w:type="dxa"/>
            <w:vAlign w:val="center"/>
          </w:tcPr>
          <w:p w:rsidR="00737C18" w:rsidRPr="00737C18" w:rsidRDefault="00737C18" w:rsidP="00737C18">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R3</w:t>
            </w:r>
          </w:p>
        </w:tc>
      </w:tr>
      <w:tr w:rsidR="00737C18" w:rsidRPr="00101B0C" w:rsidTr="00625616">
        <w:trPr>
          <w:jc w:val="center"/>
        </w:trPr>
        <w:tc>
          <w:tcPr>
            <w:tcW w:w="1271" w:type="dxa"/>
            <w:vAlign w:val="center"/>
          </w:tcPr>
          <w:p w:rsidR="00737C18" w:rsidRPr="00737C18" w:rsidRDefault="00737C18" w:rsidP="00625616">
            <w:pPr>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017982</w:t>
            </w:r>
          </w:p>
        </w:tc>
        <w:tc>
          <w:tcPr>
            <w:tcW w:w="4111" w:type="dxa"/>
          </w:tcPr>
          <w:p w:rsidR="00737C18" w:rsidRPr="00737C18" w:rsidRDefault="00737C18" w:rsidP="00737C18">
            <w:pPr>
              <w:jc w:val="both"/>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西藏东财成长优选混合型发起式证券投资基金C</w:t>
            </w:r>
          </w:p>
        </w:tc>
        <w:tc>
          <w:tcPr>
            <w:tcW w:w="1843" w:type="dxa"/>
            <w:vAlign w:val="center"/>
          </w:tcPr>
          <w:p w:rsidR="00737C18" w:rsidRPr="00737C18" w:rsidRDefault="00737C18" w:rsidP="00737C18">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混合型</w:t>
            </w:r>
          </w:p>
        </w:tc>
        <w:tc>
          <w:tcPr>
            <w:tcW w:w="1275" w:type="dxa"/>
            <w:vAlign w:val="center"/>
          </w:tcPr>
          <w:p w:rsidR="00737C18" w:rsidRPr="00737C18" w:rsidRDefault="00737C18" w:rsidP="00737C18">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R3</w:t>
            </w:r>
          </w:p>
        </w:tc>
      </w:tr>
      <w:tr w:rsidR="00737C18" w:rsidRPr="00101B0C" w:rsidTr="00625616">
        <w:trPr>
          <w:jc w:val="center"/>
        </w:trPr>
        <w:tc>
          <w:tcPr>
            <w:tcW w:w="1271" w:type="dxa"/>
            <w:vAlign w:val="center"/>
          </w:tcPr>
          <w:p w:rsidR="00737C18" w:rsidRPr="00737C18" w:rsidRDefault="00737C18" w:rsidP="00625616">
            <w:pPr>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018096</w:t>
            </w:r>
          </w:p>
        </w:tc>
        <w:tc>
          <w:tcPr>
            <w:tcW w:w="4111" w:type="dxa"/>
          </w:tcPr>
          <w:p w:rsidR="00737C18" w:rsidRPr="00737C18" w:rsidRDefault="00737C18" w:rsidP="00737C18">
            <w:pPr>
              <w:jc w:val="both"/>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西藏东财价值启航混合型发起式证券投资基金A</w:t>
            </w:r>
          </w:p>
        </w:tc>
        <w:tc>
          <w:tcPr>
            <w:tcW w:w="1843" w:type="dxa"/>
            <w:vAlign w:val="center"/>
          </w:tcPr>
          <w:p w:rsidR="00737C18" w:rsidRPr="00737C18" w:rsidRDefault="00737C18" w:rsidP="00737C18">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混合型</w:t>
            </w:r>
          </w:p>
        </w:tc>
        <w:tc>
          <w:tcPr>
            <w:tcW w:w="1275" w:type="dxa"/>
            <w:vAlign w:val="center"/>
          </w:tcPr>
          <w:p w:rsidR="00737C18" w:rsidRPr="00737C18" w:rsidRDefault="00737C18" w:rsidP="00737C18">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R3</w:t>
            </w:r>
          </w:p>
        </w:tc>
      </w:tr>
      <w:tr w:rsidR="00737C18" w:rsidRPr="00101B0C" w:rsidTr="00625616">
        <w:trPr>
          <w:jc w:val="center"/>
        </w:trPr>
        <w:tc>
          <w:tcPr>
            <w:tcW w:w="1271" w:type="dxa"/>
            <w:vAlign w:val="center"/>
          </w:tcPr>
          <w:p w:rsidR="00737C18" w:rsidRPr="00737C18" w:rsidRDefault="00737C18" w:rsidP="00625616">
            <w:pPr>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018097</w:t>
            </w:r>
          </w:p>
        </w:tc>
        <w:tc>
          <w:tcPr>
            <w:tcW w:w="4111" w:type="dxa"/>
          </w:tcPr>
          <w:p w:rsidR="00737C18" w:rsidRPr="00737C18" w:rsidRDefault="00737C18" w:rsidP="00737C18">
            <w:pPr>
              <w:jc w:val="both"/>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西藏东财价值启航混合型发起式证券投资基金C</w:t>
            </w:r>
          </w:p>
        </w:tc>
        <w:tc>
          <w:tcPr>
            <w:tcW w:w="1843" w:type="dxa"/>
            <w:vAlign w:val="center"/>
          </w:tcPr>
          <w:p w:rsidR="00737C18" w:rsidRPr="00737C18" w:rsidRDefault="00737C18" w:rsidP="00737C18">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混合型</w:t>
            </w:r>
          </w:p>
        </w:tc>
        <w:tc>
          <w:tcPr>
            <w:tcW w:w="1275" w:type="dxa"/>
            <w:vAlign w:val="center"/>
          </w:tcPr>
          <w:p w:rsidR="00737C18" w:rsidRPr="00737C18" w:rsidRDefault="00737C18" w:rsidP="00737C18">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R3</w:t>
            </w:r>
          </w:p>
        </w:tc>
      </w:tr>
      <w:tr w:rsidR="00737C18" w:rsidRPr="00101B0C" w:rsidTr="00625616">
        <w:trPr>
          <w:jc w:val="center"/>
        </w:trPr>
        <w:tc>
          <w:tcPr>
            <w:tcW w:w="1271" w:type="dxa"/>
            <w:vAlign w:val="center"/>
          </w:tcPr>
          <w:p w:rsidR="00737C18" w:rsidRPr="00737C18" w:rsidRDefault="00737C18" w:rsidP="00625616">
            <w:pPr>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018190</w:t>
            </w:r>
          </w:p>
        </w:tc>
        <w:tc>
          <w:tcPr>
            <w:tcW w:w="4111" w:type="dxa"/>
          </w:tcPr>
          <w:p w:rsidR="00737C18" w:rsidRPr="00737C18" w:rsidRDefault="00737C18" w:rsidP="00737C18">
            <w:pPr>
              <w:jc w:val="both"/>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西藏东财产业智选混合型发起式证券投资基金A</w:t>
            </w:r>
          </w:p>
        </w:tc>
        <w:tc>
          <w:tcPr>
            <w:tcW w:w="1843" w:type="dxa"/>
            <w:vAlign w:val="center"/>
          </w:tcPr>
          <w:p w:rsidR="00737C18" w:rsidRPr="00737C18" w:rsidRDefault="00737C18" w:rsidP="00737C18">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混合型</w:t>
            </w:r>
          </w:p>
        </w:tc>
        <w:tc>
          <w:tcPr>
            <w:tcW w:w="1275" w:type="dxa"/>
            <w:vAlign w:val="center"/>
          </w:tcPr>
          <w:p w:rsidR="00737C18" w:rsidRPr="00737C18" w:rsidRDefault="00737C18" w:rsidP="00737C18">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R3</w:t>
            </w:r>
          </w:p>
        </w:tc>
      </w:tr>
      <w:tr w:rsidR="00737C18" w:rsidRPr="00101B0C" w:rsidTr="00625616">
        <w:trPr>
          <w:jc w:val="center"/>
        </w:trPr>
        <w:tc>
          <w:tcPr>
            <w:tcW w:w="1271" w:type="dxa"/>
            <w:vAlign w:val="center"/>
          </w:tcPr>
          <w:p w:rsidR="00737C18" w:rsidRPr="00737C18" w:rsidRDefault="00737C18" w:rsidP="00625616">
            <w:pPr>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018191</w:t>
            </w:r>
          </w:p>
        </w:tc>
        <w:tc>
          <w:tcPr>
            <w:tcW w:w="4111" w:type="dxa"/>
          </w:tcPr>
          <w:p w:rsidR="00737C18" w:rsidRPr="00737C18" w:rsidRDefault="00737C18" w:rsidP="00737C18">
            <w:pPr>
              <w:jc w:val="both"/>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西藏东财产业智选混合型发起式证券投资基金C</w:t>
            </w:r>
          </w:p>
        </w:tc>
        <w:tc>
          <w:tcPr>
            <w:tcW w:w="1843" w:type="dxa"/>
            <w:vAlign w:val="center"/>
          </w:tcPr>
          <w:p w:rsidR="00737C18" w:rsidRPr="00737C18" w:rsidRDefault="00737C18" w:rsidP="00737C18">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混合型</w:t>
            </w:r>
          </w:p>
        </w:tc>
        <w:tc>
          <w:tcPr>
            <w:tcW w:w="1275" w:type="dxa"/>
            <w:vAlign w:val="center"/>
          </w:tcPr>
          <w:p w:rsidR="00737C18" w:rsidRPr="00737C18" w:rsidRDefault="00737C18" w:rsidP="00737C18">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R3</w:t>
            </w:r>
          </w:p>
        </w:tc>
      </w:tr>
      <w:tr w:rsidR="00737C18" w:rsidRPr="00101B0C" w:rsidTr="00625616">
        <w:trPr>
          <w:jc w:val="center"/>
        </w:trPr>
        <w:tc>
          <w:tcPr>
            <w:tcW w:w="1271" w:type="dxa"/>
            <w:vAlign w:val="center"/>
          </w:tcPr>
          <w:p w:rsidR="00737C18" w:rsidRPr="00737C18" w:rsidRDefault="00737C18" w:rsidP="00625616">
            <w:pPr>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018088</w:t>
            </w:r>
          </w:p>
        </w:tc>
        <w:tc>
          <w:tcPr>
            <w:tcW w:w="4111" w:type="dxa"/>
          </w:tcPr>
          <w:p w:rsidR="00737C18" w:rsidRPr="00737C18" w:rsidRDefault="00737C18" w:rsidP="00737C18">
            <w:pPr>
              <w:jc w:val="both"/>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西藏东财远见成长混合型发起式证券投资基金A</w:t>
            </w:r>
          </w:p>
        </w:tc>
        <w:tc>
          <w:tcPr>
            <w:tcW w:w="1843" w:type="dxa"/>
            <w:vAlign w:val="center"/>
          </w:tcPr>
          <w:p w:rsidR="00737C18" w:rsidRPr="00737C18" w:rsidRDefault="00737C18" w:rsidP="00737C18">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混合型</w:t>
            </w:r>
          </w:p>
        </w:tc>
        <w:tc>
          <w:tcPr>
            <w:tcW w:w="1275" w:type="dxa"/>
            <w:vAlign w:val="center"/>
          </w:tcPr>
          <w:p w:rsidR="00737C18" w:rsidRPr="00737C18" w:rsidRDefault="00737C18" w:rsidP="00737C18">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R3</w:t>
            </w:r>
          </w:p>
        </w:tc>
      </w:tr>
      <w:tr w:rsidR="00737C18" w:rsidRPr="00101B0C" w:rsidTr="00625616">
        <w:trPr>
          <w:jc w:val="center"/>
        </w:trPr>
        <w:tc>
          <w:tcPr>
            <w:tcW w:w="1271" w:type="dxa"/>
            <w:vAlign w:val="center"/>
          </w:tcPr>
          <w:p w:rsidR="00737C18" w:rsidRPr="00737C18" w:rsidRDefault="00737C18" w:rsidP="00625616">
            <w:pPr>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018089</w:t>
            </w:r>
          </w:p>
        </w:tc>
        <w:tc>
          <w:tcPr>
            <w:tcW w:w="4111" w:type="dxa"/>
          </w:tcPr>
          <w:p w:rsidR="00737C18" w:rsidRPr="00737C18" w:rsidRDefault="00737C18" w:rsidP="00737C18">
            <w:pPr>
              <w:jc w:val="both"/>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西藏东财远见成长混合型发起式证券投资基金C</w:t>
            </w:r>
          </w:p>
        </w:tc>
        <w:tc>
          <w:tcPr>
            <w:tcW w:w="1843" w:type="dxa"/>
            <w:vAlign w:val="center"/>
          </w:tcPr>
          <w:p w:rsidR="00737C18" w:rsidRPr="00737C18" w:rsidRDefault="00737C18" w:rsidP="00737C18">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混合型</w:t>
            </w:r>
          </w:p>
        </w:tc>
        <w:tc>
          <w:tcPr>
            <w:tcW w:w="1275" w:type="dxa"/>
            <w:vAlign w:val="center"/>
          </w:tcPr>
          <w:p w:rsidR="00737C18" w:rsidRPr="00737C18" w:rsidRDefault="00737C18" w:rsidP="00737C18">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R3</w:t>
            </w:r>
          </w:p>
        </w:tc>
      </w:tr>
      <w:tr w:rsidR="00737C18" w:rsidRPr="00101B0C" w:rsidTr="00625616">
        <w:trPr>
          <w:jc w:val="center"/>
        </w:trPr>
        <w:tc>
          <w:tcPr>
            <w:tcW w:w="1271" w:type="dxa"/>
            <w:vAlign w:val="center"/>
          </w:tcPr>
          <w:p w:rsidR="00737C18" w:rsidRPr="00737C18" w:rsidRDefault="00737C18" w:rsidP="00625616">
            <w:pPr>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018188</w:t>
            </w:r>
          </w:p>
        </w:tc>
        <w:tc>
          <w:tcPr>
            <w:tcW w:w="4111" w:type="dxa"/>
          </w:tcPr>
          <w:p w:rsidR="00737C18" w:rsidRPr="00737C18" w:rsidRDefault="00737C18" w:rsidP="00737C18">
            <w:pPr>
              <w:jc w:val="both"/>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西藏东财景气成长混合型发起式证券投资基金A</w:t>
            </w:r>
          </w:p>
        </w:tc>
        <w:tc>
          <w:tcPr>
            <w:tcW w:w="1843" w:type="dxa"/>
            <w:vAlign w:val="center"/>
          </w:tcPr>
          <w:p w:rsidR="00737C18" w:rsidRPr="00737C18" w:rsidRDefault="00737C18" w:rsidP="00737C18">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混合型</w:t>
            </w:r>
          </w:p>
        </w:tc>
        <w:tc>
          <w:tcPr>
            <w:tcW w:w="1275" w:type="dxa"/>
            <w:vAlign w:val="center"/>
          </w:tcPr>
          <w:p w:rsidR="00737C18" w:rsidRPr="00737C18" w:rsidRDefault="00737C18" w:rsidP="00737C18">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R3</w:t>
            </w:r>
          </w:p>
        </w:tc>
      </w:tr>
      <w:tr w:rsidR="00737C18" w:rsidRPr="00101B0C" w:rsidTr="00625616">
        <w:trPr>
          <w:jc w:val="center"/>
        </w:trPr>
        <w:tc>
          <w:tcPr>
            <w:tcW w:w="1271" w:type="dxa"/>
            <w:vAlign w:val="center"/>
          </w:tcPr>
          <w:p w:rsidR="00737C18" w:rsidRPr="00737C18" w:rsidRDefault="00737C18" w:rsidP="00625616">
            <w:pPr>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018189</w:t>
            </w:r>
          </w:p>
        </w:tc>
        <w:tc>
          <w:tcPr>
            <w:tcW w:w="4111" w:type="dxa"/>
          </w:tcPr>
          <w:p w:rsidR="00737C18" w:rsidRPr="00737C18" w:rsidRDefault="00737C18" w:rsidP="00737C18">
            <w:pPr>
              <w:jc w:val="both"/>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西藏东财景气成长混合型发起式证券投资基金C</w:t>
            </w:r>
          </w:p>
        </w:tc>
        <w:tc>
          <w:tcPr>
            <w:tcW w:w="1843" w:type="dxa"/>
            <w:vAlign w:val="center"/>
          </w:tcPr>
          <w:p w:rsidR="00737C18" w:rsidRPr="00737C18" w:rsidRDefault="00737C18" w:rsidP="00737C18">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混合型</w:t>
            </w:r>
          </w:p>
        </w:tc>
        <w:tc>
          <w:tcPr>
            <w:tcW w:w="1275" w:type="dxa"/>
            <w:vAlign w:val="center"/>
          </w:tcPr>
          <w:p w:rsidR="00737C18" w:rsidRPr="00737C18" w:rsidRDefault="00737C18" w:rsidP="00737C18">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R3</w:t>
            </w:r>
          </w:p>
        </w:tc>
      </w:tr>
      <w:tr w:rsidR="00737C18" w:rsidRPr="00101B0C" w:rsidTr="00625616">
        <w:trPr>
          <w:jc w:val="center"/>
        </w:trPr>
        <w:tc>
          <w:tcPr>
            <w:tcW w:w="1271" w:type="dxa"/>
            <w:vAlign w:val="center"/>
          </w:tcPr>
          <w:p w:rsidR="00737C18" w:rsidRPr="00737C18" w:rsidRDefault="00737C18" w:rsidP="00625616">
            <w:pPr>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159622</w:t>
            </w:r>
          </w:p>
        </w:tc>
        <w:tc>
          <w:tcPr>
            <w:tcW w:w="4111" w:type="dxa"/>
          </w:tcPr>
          <w:p w:rsidR="00737C18" w:rsidRPr="00737C18" w:rsidRDefault="00737C18" w:rsidP="00737C18">
            <w:pPr>
              <w:jc w:val="both"/>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西藏东财中证沪港深创新药产业交易型开放式指数证券投资基金</w:t>
            </w:r>
          </w:p>
        </w:tc>
        <w:tc>
          <w:tcPr>
            <w:tcW w:w="1843" w:type="dxa"/>
            <w:vAlign w:val="center"/>
          </w:tcPr>
          <w:p w:rsidR="00737C18" w:rsidRPr="00737C18" w:rsidRDefault="00737C18" w:rsidP="00737C18">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股票型</w:t>
            </w:r>
          </w:p>
        </w:tc>
        <w:tc>
          <w:tcPr>
            <w:tcW w:w="1275" w:type="dxa"/>
            <w:vAlign w:val="center"/>
          </w:tcPr>
          <w:p w:rsidR="00737C18" w:rsidRPr="00737C18" w:rsidRDefault="00737C18" w:rsidP="00737C18">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R3</w:t>
            </w:r>
          </w:p>
        </w:tc>
      </w:tr>
      <w:tr w:rsidR="00737C18" w:rsidRPr="00101B0C" w:rsidTr="00625616">
        <w:trPr>
          <w:jc w:val="center"/>
        </w:trPr>
        <w:tc>
          <w:tcPr>
            <w:tcW w:w="1271" w:type="dxa"/>
            <w:vAlign w:val="center"/>
          </w:tcPr>
          <w:p w:rsidR="00737C18" w:rsidRPr="00737C18" w:rsidRDefault="00737C18" w:rsidP="00625616">
            <w:pPr>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159692</w:t>
            </w:r>
          </w:p>
        </w:tc>
        <w:tc>
          <w:tcPr>
            <w:tcW w:w="4111" w:type="dxa"/>
          </w:tcPr>
          <w:p w:rsidR="00737C18" w:rsidRPr="00737C18" w:rsidRDefault="00737C18" w:rsidP="00737C18">
            <w:pPr>
              <w:jc w:val="both"/>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西藏东财中证证券公司</w:t>
            </w:r>
            <w:r w:rsidRPr="00737C18">
              <w:rPr>
                <w:rFonts w:asciiTheme="minorEastAsia" w:eastAsiaTheme="minorEastAsia" w:hAnsiTheme="minorEastAsia"/>
                <w:sz w:val="24"/>
                <w:szCs w:val="24"/>
              </w:rPr>
              <w:t>30交易型开放式指数证券投资基金</w:t>
            </w:r>
          </w:p>
        </w:tc>
        <w:tc>
          <w:tcPr>
            <w:tcW w:w="1843" w:type="dxa"/>
            <w:vAlign w:val="center"/>
          </w:tcPr>
          <w:p w:rsidR="00737C18" w:rsidRPr="00737C18" w:rsidRDefault="00737C18" w:rsidP="00737C18">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股票型</w:t>
            </w:r>
          </w:p>
        </w:tc>
        <w:tc>
          <w:tcPr>
            <w:tcW w:w="1275" w:type="dxa"/>
            <w:vAlign w:val="center"/>
          </w:tcPr>
          <w:p w:rsidR="00737C18" w:rsidRPr="00737C18" w:rsidRDefault="00737C18" w:rsidP="00737C18">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R3</w:t>
            </w:r>
          </w:p>
        </w:tc>
      </w:tr>
      <w:tr w:rsidR="00737C18" w:rsidRPr="00101B0C" w:rsidTr="00625616">
        <w:trPr>
          <w:jc w:val="center"/>
        </w:trPr>
        <w:tc>
          <w:tcPr>
            <w:tcW w:w="1271" w:type="dxa"/>
            <w:vAlign w:val="center"/>
          </w:tcPr>
          <w:p w:rsidR="00737C18" w:rsidRPr="00737C18" w:rsidRDefault="00737C18" w:rsidP="00625616">
            <w:pPr>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018444</w:t>
            </w:r>
          </w:p>
        </w:tc>
        <w:tc>
          <w:tcPr>
            <w:tcW w:w="4111" w:type="dxa"/>
          </w:tcPr>
          <w:p w:rsidR="00737C18" w:rsidRPr="00737C18" w:rsidRDefault="00737C18" w:rsidP="00737C18">
            <w:pPr>
              <w:jc w:val="both"/>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西藏东财瑞利债券型证券投资基金A</w:t>
            </w:r>
          </w:p>
        </w:tc>
        <w:tc>
          <w:tcPr>
            <w:tcW w:w="1843" w:type="dxa"/>
            <w:vAlign w:val="center"/>
          </w:tcPr>
          <w:p w:rsidR="00737C18" w:rsidRPr="00737C18" w:rsidRDefault="00737C18" w:rsidP="00737C18">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债券型</w:t>
            </w:r>
          </w:p>
        </w:tc>
        <w:tc>
          <w:tcPr>
            <w:tcW w:w="1275" w:type="dxa"/>
            <w:vAlign w:val="center"/>
          </w:tcPr>
          <w:p w:rsidR="00737C18" w:rsidRPr="00737C18" w:rsidRDefault="00737C18" w:rsidP="00737C18">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R2</w:t>
            </w:r>
          </w:p>
        </w:tc>
      </w:tr>
      <w:tr w:rsidR="00737C18" w:rsidRPr="00101B0C" w:rsidTr="00625616">
        <w:trPr>
          <w:jc w:val="center"/>
        </w:trPr>
        <w:tc>
          <w:tcPr>
            <w:tcW w:w="1271" w:type="dxa"/>
            <w:vAlign w:val="center"/>
          </w:tcPr>
          <w:p w:rsidR="00737C18" w:rsidRPr="00737C18" w:rsidRDefault="00737C18" w:rsidP="00625616">
            <w:pPr>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018445</w:t>
            </w:r>
          </w:p>
        </w:tc>
        <w:tc>
          <w:tcPr>
            <w:tcW w:w="4111" w:type="dxa"/>
          </w:tcPr>
          <w:p w:rsidR="00737C18" w:rsidRPr="00737C18" w:rsidRDefault="00737C18" w:rsidP="00737C18">
            <w:pPr>
              <w:jc w:val="both"/>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西藏东财瑞利债券型证券投资基金C</w:t>
            </w:r>
          </w:p>
        </w:tc>
        <w:tc>
          <w:tcPr>
            <w:tcW w:w="1843" w:type="dxa"/>
            <w:vAlign w:val="center"/>
          </w:tcPr>
          <w:p w:rsidR="00737C18" w:rsidRPr="00737C18" w:rsidRDefault="00737C18" w:rsidP="00737C18">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债券型</w:t>
            </w:r>
          </w:p>
        </w:tc>
        <w:tc>
          <w:tcPr>
            <w:tcW w:w="1275" w:type="dxa"/>
            <w:vAlign w:val="center"/>
          </w:tcPr>
          <w:p w:rsidR="00737C18" w:rsidRPr="00737C18" w:rsidRDefault="00737C18" w:rsidP="00737C18">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R2</w:t>
            </w:r>
          </w:p>
        </w:tc>
      </w:tr>
      <w:tr w:rsidR="00737C18" w:rsidRPr="00101B0C" w:rsidTr="00625616">
        <w:trPr>
          <w:jc w:val="center"/>
        </w:trPr>
        <w:tc>
          <w:tcPr>
            <w:tcW w:w="1271" w:type="dxa"/>
            <w:vAlign w:val="center"/>
          </w:tcPr>
          <w:p w:rsidR="00737C18" w:rsidRPr="00737C18" w:rsidRDefault="00737C18" w:rsidP="00625616">
            <w:pPr>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018502</w:t>
            </w:r>
          </w:p>
        </w:tc>
        <w:tc>
          <w:tcPr>
            <w:tcW w:w="4111" w:type="dxa"/>
          </w:tcPr>
          <w:p w:rsidR="00737C18" w:rsidRPr="00737C18" w:rsidRDefault="00737C18" w:rsidP="00737C18">
            <w:pPr>
              <w:jc w:val="both"/>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西藏东财中证光伏产业指数型发起式证券投资基金A</w:t>
            </w:r>
          </w:p>
        </w:tc>
        <w:tc>
          <w:tcPr>
            <w:tcW w:w="1843" w:type="dxa"/>
            <w:vAlign w:val="center"/>
          </w:tcPr>
          <w:p w:rsidR="00737C18" w:rsidRPr="00737C18" w:rsidRDefault="00737C18" w:rsidP="00737C18">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股票型</w:t>
            </w:r>
          </w:p>
        </w:tc>
        <w:tc>
          <w:tcPr>
            <w:tcW w:w="1275" w:type="dxa"/>
            <w:vAlign w:val="center"/>
          </w:tcPr>
          <w:p w:rsidR="00737C18" w:rsidRPr="00737C18" w:rsidRDefault="00737C18" w:rsidP="00737C18">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R3</w:t>
            </w:r>
          </w:p>
        </w:tc>
      </w:tr>
      <w:tr w:rsidR="00737C18" w:rsidRPr="00101B0C" w:rsidTr="00625616">
        <w:trPr>
          <w:jc w:val="center"/>
        </w:trPr>
        <w:tc>
          <w:tcPr>
            <w:tcW w:w="1271" w:type="dxa"/>
            <w:vAlign w:val="center"/>
          </w:tcPr>
          <w:p w:rsidR="00737C18" w:rsidRPr="00737C18" w:rsidRDefault="00737C18" w:rsidP="00625616">
            <w:pPr>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018503</w:t>
            </w:r>
          </w:p>
        </w:tc>
        <w:tc>
          <w:tcPr>
            <w:tcW w:w="4111" w:type="dxa"/>
          </w:tcPr>
          <w:p w:rsidR="00737C18" w:rsidRPr="00737C18" w:rsidRDefault="00737C18" w:rsidP="00737C18">
            <w:pPr>
              <w:jc w:val="both"/>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西藏东财中证光伏产业指数型发起式证券投资基金C</w:t>
            </w:r>
          </w:p>
        </w:tc>
        <w:tc>
          <w:tcPr>
            <w:tcW w:w="1843" w:type="dxa"/>
            <w:vAlign w:val="center"/>
          </w:tcPr>
          <w:p w:rsidR="00737C18" w:rsidRPr="00737C18" w:rsidRDefault="00737C18" w:rsidP="00737C18">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股票型</w:t>
            </w:r>
          </w:p>
        </w:tc>
        <w:tc>
          <w:tcPr>
            <w:tcW w:w="1275" w:type="dxa"/>
            <w:vAlign w:val="center"/>
          </w:tcPr>
          <w:p w:rsidR="00737C18" w:rsidRPr="00737C18" w:rsidRDefault="00737C18" w:rsidP="00737C18">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R3</w:t>
            </w:r>
          </w:p>
        </w:tc>
      </w:tr>
      <w:tr w:rsidR="00737C18" w:rsidRPr="00101B0C" w:rsidTr="00625616">
        <w:trPr>
          <w:jc w:val="center"/>
        </w:trPr>
        <w:tc>
          <w:tcPr>
            <w:tcW w:w="1271" w:type="dxa"/>
            <w:vAlign w:val="center"/>
          </w:tcPr>
          <w:p w:rsidR="00737C18" w:rsidRPr="00737C18" w:rsidRDefault="00737C18" w:rsidP="00625616">
            <w:pPr>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019113</w:t>
            </w:r>
          </w:p>
        </w:tc>
        <w:tc>
          <w:tcPr>
            <w:tcW w:w="4111" w:type="dxa"/>
          </w:tcPr>
          <w:p w:rsidR="00737C18" w:rsidRPr="00737C18" w:rsidRDefault="00737C18" w:rsidP="00737C18">
            <w:pPr>
              <w:jc w:val="both"/>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西藏东财慧心优选混合型发起式证券投资基金A</w:t>
            </w:r>
          </w:p>
        </w:tc>
        <w:tc>
          <w:tcPr>
            <w:tcW w:w="1843" w:type="dxa"/>
            <w:vAlign w:val="center"/>
          </w:tcPr>
          <w:p w:rsidR="00737C18" w:rsidRPr="00737C18" w:rsidRDefault="00737C18" w:rsidP="00737C18">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混合型</w:t>
            </w:r>
          </w:p>
        </w:tc>
        <w:tc>
          <w:tcPr>
            <w:tcW w:w="1275" w:type="dxa"/>
            <w:vAlign w:val="center"/>
          </w:tcPr>
          <w:p w:rsidR="00737C18" w:rsidRPr="00737C18" w:rsidRDefault="00737C18" w:rsidP="00737C18">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R3</w:t>
            </w:r>
          </w:p>
        </w:tc>
      </w:tr>
      <w:tr w:rsidR="00737C18" w:rsidRPr="00101B0C" w:rsidTr="00625616">
        <w:trPr>
          <w:jc w:val="center"/>
        </w:trPr>
        <w:tc>
          <w:tcPr>
            <w:tcW w:w="1271" w:type="dxa"/>
            <w:vAlign w:val="center"/>
          </w:tcPr>
          <w:p w:rsidR="00737C18" w:rsidRPr="00737C18" w:rsidRDefault="00737C18" w:rsidP="00625616">
            <w:pPr>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019114</w:t>
            </w:r>
          </w:p>
        </w:tc>
        <w:tc>
          <w:tcPr>
            <w:tcW w:w="4111" w:type="dxa"/>
          </w:tcPr>
          <w:p w:rsidR="00737C18" w:rsidRPr="00737C18" w:rsidRDefault="00737C18" w:rsidP="00737C18">
            <w:pPr>
              <w:jc w:val="both"/>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西藏东财慧心优选混合型发起式证券投资基金C</w:t>
            </w:r>
          </w:p>
        </w:tc>
        <w:tc>
          <w:tcPr>
            <w:tcW w:w="1843" w:type="dxa"/>
            <w:vAlign w:val="center"/>
          </w:tcPr>
          <w:p w:rsidR="00737C18" w:rsidRPr="00737C18" w:rsidRDefault="00737C18" w:rsidP="00737C18">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混合型</w:t>
            </w:r>
          </w:p>
        </w:tc>
        <w:tc>
          <w:tcPr>
            <w:tcW w:w="1275" w:type="dxa"/>
            <w:vAlign w:val="center"/>
          </w:tcPr>
          <w:p w:rsidR="00737C18" w:rsidRPr="00737C18" w:rsidRDefault="00737C18" w:rsidP="00737C18">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R3</w:t>
            </w:r>
          </w:p>
        </w:tc>
      </w:tr>
      <w:tr w:rsidR="00737C18" w:rsidRPr="00101B0C" w:rsidTr="00625616">
        <w:trPr>
          <w:jc w:val="center"/>
        </w:trPr>
        <w:tc>
          <w:tcPr>
            <w:tcW w:w="1271" w:type="dxa"/>
            <w:vAlign w:val="center"/>
          </w:tcPr>
          <w:p w:rsidR="00737C18" w:rsidRPr="00737C18" w:rsidRDefault="00737C18" w:rsidP="00625616">
            <w:pPr>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019385</w:t>
            </w:r>
          </w:p>
        </w:tc>
        <w:tc>
          <w:tcPr>
            <w:tcW w:w="4111" w:type="dxa"/>
          </w:tcPr>
          <w:p w:rsidR="00737C18" w:rsidRPr="00737C18" w:rsidRDefault="00737C18" w:rsidP="00737C18">
            <w:pPr>
              <w:jc w:val="both"/>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西藏东财上证科创板</w:t>
            </w:r>
            <w:r w:rsidRPr="00737C18">
              <w:rPr>
                <w:rFonts w:asciiTheme="minorEastAsia" w:eastAsiaTheme="minorEastAsia" w:hAnsiTheme="minorEastAsia"/>
                <w:sz w:val="24"/>
                <w:szCs w:val="24"/>
              </w:rPr>
              <w:t>50成份指数型发起式证券投资基金</w:t>
            </w:r>
            <w:r w:rsidRPr="00737C18">
              <w:rPr>
                <w:rFonts w:asciiTheme="minorEastAsia" w:eastAsiaTheme="minorEastAsia" w:hAnsiTheme="minorEastAsia" w:hint="eastAsia"/>
                <w:sz w:val="24"/>
                <w:szCs w:val="24"/>
              </w:rPr>
              <w:t>A</w:t>
            </w:r>
          </w:p>
        </w:tc>
        <w:tc>
          <w:tcPr>
            <w:tcW w:w="1843" w:type="dxa"/>
            <w:vAlign w:val="center"/>
          </w:tcPr>
          <w:p w:rsidR="00737C18" w:rsidRPr="00737C18" w:rsidRDefault="00737C18" w:rsidP="00737C18">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股票型</w:t>
            </w:r>
          </w:p>
        </w:tc>
        <w:tc>
          <w:tcPr>
            <w:tcW w:w="1275" w:type="dxa"/>
            <w:vAlign w:val="center"/>
          </w:tcPr>
          <w:p w:rsidR="00737C18" w:rsidRPr="00737C18" w:rsidRDefault="00737C18" w:rsidP="00737C18">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R3</w:t>
            </w:r>
          </w:p>
        </w:tc>
      </w:tr>
      <w:tr w:rsidR="00737C18" w:rsidRPr="00101B0C" w:rsidTr="00625616">
        <w:trPr>
          <w:jc w:val="center"/>
        </w:trPr>
        <w:tc>
          <w:tcPr>
            <w:tcW w:w="1271" w:type="dxa"/>
            <w:vAlign w:val="center"/>
          </w:tcPr>
          <w:p w:rsidR="00737C18" w:rsidRPr="00737C18" w:rsidRDefault="00737C18" w:rsidP="00625616">
            <w:pPr>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019386</w:t>
            </w:r>
          </w:p>
        </w:tc>
        <w:tc>
          <w:tcPr>
            <w:tcW w:w="4111" w:type="dxa"/>
          </w:tcPr>
          <w:p w:rsidR="00737C18" w:rsidRPr="00737C18" w:rsidRDefault="00737C18" w:rsidP="00737C18">
            <w:pPr>
              <w:jc w:val="both"/>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西藏东财上证科创板</w:t>
            </w:r>
            <w:r w:rsidRPr="00737C18">
              <w:rPr>
                <w:rFonts w:asciiTheme="minorEastAsia" w:eastAsiaTheme="minorEastAsia" w:hAnsiTheme="minorEastAsia"/>
                <w:sz w:val="24"/>
                <w:szCs w:val="24"/>
              </w:rPr>
              <w:t>50成份指数型发起式证券投资基金</w:t>
            </w:r>
            <w:r w:rsidRPr="00737C18">
              <w:rPr>
                <w:rFonts w:asciiTheme="minorEastAsia" w:eastAsiaTheme="minorEastAsia" w:hAnsiTheme="minorEastAsia" w:hint="eastAsia"/>
                <w:sz w:val="24"/>
                <w:szCs w:val="24"/>
              </w:rPr>
              <w:t>C</w:t>
            </w:r>
          </w:p>
        </w:tc>
        <w:tc>
          <w:tcPr>
            <w:tcW w:w="1843" w:type="dxa"/>
            <w:vAlign w:val="center"/>
          </w:tcPr>
          <w:p w:rsidR="00737C18" w:rsidRPr="00737C18" w:rsidRDefault="00737C18" w:rsidP="00737C18">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股票型</w:t>
            </w:r>
          </w:p>
        </w:tc>
        <w:tc>
          <w:tcPr>
            <w:tcW w:w="1275" w:type="dxa"/>
            <w:vAlign w:val="center"/>
          </w:tcPr>
          <w:p w:rsidR="00737C18" w:rsidRPr="00737C18" w:rsidRDefault="00737C18" w:rsidP="00737C18">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R3</w:t>
            </w:r>
          </w:p>
        </w:tc>
      </w:tr>
      <w:tr w:rsidR="00737C18" w:rsidRPr="00101B0C" w:rsidTr="00625616">
        <w:trPr>
          <w:jc w:val="center"/>
        </w:trPr>
        <w:tc>
          <w:tcPr>
            <w:tcW w:w="1271" w:type="dxa"/>
            <w:vAlign w:val="center"/>
          </w:tcPr>
          <w:p w:rsidR="00737C18" w:rsidRPr="00737C18" w:rsidRDefault="00737C18" w:rsidP="00625616">
            <w:pPr>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019616</w:t>
            </w:r>
          </w:p>
        </w:tc>
        <w:tc>
          <w:tcPr>
            <w:tcW w:w="4111" w:type="dxa"/>
          </w:tcPr>
          <w:p w:rsidR="00737C18" w:rsidRPr="00737C18" w:rsidRDefault="00737C18" w:rsidP="00737C18">
            <w:pPr>
              <w:jc w:val="both"/>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西藏东财中证同业存单</w:t>
            </w:r>
            <w:r w:rsidRPr="00737C18">
              <w:rPr>
                <w:rFonts w:asciiTheme="minorEastAsia" w:eastAsiaTheme="minorEastAsia" w:hAnsiTheme="minorEastAsia"/>
                <w:sz w:val="24"/>
                <w:szCs w:val="24"/>
              </w:rPr>
              <w:t>AAA指数7天持有期证券投资基金</w:t>
            </w:r>
          </w:p>
        </w:tc>
        <w:tc>
          <w:tcPr>
            <w:tcW w:w="1843" w:type="dxa"/>
            <w:vAlign w:val="center"/>
          </w:tcPr>
          <w:p w:rsidR="00737C18" w:rsidRPr="00737C18" w:rsidRDefault="00737C18" w:rsidP="00737C18">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混合型</w:t>
            </w:r>
          </w:p>
        </w:tc>
        <w:tc>
          <w:tcPr>
            <w:tcW w:w="1275" w:type="dxa"/>
            <w:vAlign w:val="center"/>
          </w:tcPr>
          <w:p w:rsidR="00737C18" w:rsidRPr="00737C18" w:rsidRDefault="00737C18" w:rsidP="00737C18">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R1</w:t>
            </w:r>
          </w:p>
        </w:tc>
      </w:tr>
      <w:tr w:rsidR="00737C18" w:rsidRPr="00101B0C" w:rsidTr="00625616">
        <w:trPr>
          <w:jc w:val="center"/>
        </w:trPr>
        <w:tc>
          <w:tcPr>
            <w:tcW w:w="1271" w:type="dxa"/>
            <w:vAlign w:val="center"/>
          </w:tcPr>
          <w:p w:rsidR="00737C18" w:rsidRPr="00737C18" w:rsidRDefault="00737C18" w:rsidP="00625616">
            <w:pPr>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019115</w:t>
            </w:r>
          </w:p>
        </w:tc>
        <w:tc>
          <w:tcPr>
            <w:tcW w:w="4111" w:type="dxa"/>
          </w:tcPr>
          <w:p w:rsidR="00737C18" w:rsidRPr="00737C18" w:rsidRDefault="00737C18" w:rsidP="00737C18">
            <w:pPr>
              <w:jc w:val="both"/>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西藏东财卓越成长混合型发起式证券投资基金A</w:t>
            </w:r>
          </w:p>
        </w:tc>
        <w:tc>
          <w:tcPr>
            <w:tcW w:w="1843" w:type="dxa"/>
            <w:vAlign w:val="center"/>
          </w:tcPr>
          <w:p w:rsidR="00737C18" w:rsidRPr="00737C18" w:rsidRDefault="00737C18" w:rsidP="00737C18">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混合型</w:t>
            </w:r>
          </w:p>
        </w:tc>
        <w:tc>
          <w:tcPr>
            <w:tcW w:w="1275" w:type="dxa"/>
            <w:vAlign w:val="center"/>
          </w:tcPr>
          <w:p w:rsidR="00737C18" w:rsidRPr="00737C18" w:rsidRDefault="00737C18" w:rsidP="00737C18">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R3</w:t>
            </w:r>
          </w:p>
        </w:tc>
      </w:tr>
      <w:tr w:rsidR="00737C18" w:rsidRPr="00101B0C" w:rsidTr="00625616">
        <w:trPr>
          <w:jc w:val="center"/>
        </w:trPr>
        <w:tc>
          <w:tcPr>
            <w:tcW w:w="1271" w:type="dxa"/>
            <w:vAlign w:val="center"/>
          </w:tcPr>
          <w:p w:rsidR="00737C18" w:rsidRPr="00737C18" w:rsidRDefault="00737C18" w:rsidP="00625616">
            <w:pPr>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019116</w:t>
            </w:r>
          </w:p>
        </w:tc>
        <w:tc>
          <w:tcPr>
            <w:tcW w:w="4111" w:type="dxa"/>
          </w:tcPr>
          <w:p w:rsidR="00737C18" w:rsidRPr="00737C18" w:rsidRDefault="00737C18" w:rsidP="00737C18">
            <w:pPr>
              <w:jc w:val="both"/>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西藏东财卓越成长混合型发起式证券投资基金C</w:t>
            </w:r>
          </w:p>
        </w:tc>
        <w:tc>
          <w:tcPr>
            <w:tcW w:w="1843" w:type="dxa"/>
            <w:vAlign w:val="center"/>
          </w:tcPr>
          <w:p w:rsidR="00737C18" w:rsidRPr="00737C18" w:rsidRDefault="00737C18" w:rsidP="00737C18">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混合型</w:t>
            </w:r>
          </w:p>
        </w:tc>
        <w:tc>
          <w:tcPr>
            <w:tcW w:w="1275" w:type="dxa"/>
            <w:vAlign w:val="center"/>
          </w:tcPr>
          <w:p w:rsidR="00737C18" w:rsidRPr="00737C18" w:rsidRDefault="00737C18" w:rsidP="00737C18">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R3</w:t>
            </w:r>
          </w:p>
        </w:tc>
      </w:tr>
      <w:tr w:rsidR="002F0B06" w:rsidRPr="00101B0C" w:rsidTr="00625616">
        <w:trPr>
          <w:jc w:val="center"/>
        </w:trPr>
        <w:tc>
          <w:tcPr>
            <w:tcW w:w="1271" w:type="dxa"/>
            <w:vAlign w:val="center"/>
          </w:tcPr>
          <w:p w:rsidR="002F0B06" w:rsidRPr="00737C18" w:rsidRDefault="002F0B06" w:rsidP="002F0B0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w:t>
            </w:r>
            <w:r>
              <w:rPr>
                <w:rFonts w:asciiTheme="minorEastAsia" w:eastAsiaTheme="minorEastAsia" w:hAnsiTheme="minorEastAsia"/>
                <w:sz w:val="24"/>
                <w:szCs w:val="24"/>
              </w:rPr>
              <w:t>19143</w:t>
            </w:r>
          </w:p>
        </w:tc>
        <w:tc>
          <w:tcPr>
            <w:tcW w:w="4111" w:type="dxa"/>
          </w:tcPr>
          <w:p w:rsidR="002F0B06" w:rsidRPr="00737C18" w:rsidRDefault="002F0B06" w:rsidP="002F0B06">
            <w:pPr>
              <w:jc w:val="both"/>
              <w:rPr>
                <w:rFonts w:asciiTheme="minorEastAsia" w:eastAsiaTheme="minorEastAsia" w:hAnsiTheme="minorEastAsia"/>
                <w:sz w:val="24"/>
                <w:szCs w:val="24"/>
              </w:rPr>
            </w:pPr>
            <w:r w:rsidRPr="002F0B06">
              <w:rPr>
                <w:rFonts w:asciiTheme="minorEastAsia" w:eastAsiaTheme="minorEastAsia" w:hAnsiTheme="minorEastAsia" w:hint="eastAsia"/>
                <w:sz w:val="24"/>
                <w:szCs w:val="24"/>
              </w:rPr>
              <w:t>西藏东财景气驱动混合型发起式证券投资基金</w:t>
            </w:r>
            <w:r w:rsidRPr="002F0B06">
              <w:rPr>
                <w:rFonts w:asciiTheme="minorEastAsia" w:eastAsiaTheme="minorEastAsia" w:hAnsiTheme="minorEastAsia"/>
                <w:sz w:val="24"/>
                <w:szCs w:val="24"/>
              </w:rPr>
              <w:t>A</w:t>
            </w:r>
          </w:p>
        </w:tc>
        <w:tc>
          <w:tcPr>
            <w:tcW w:w="1843" w:type="dxa"/>
            <w:vAlign w:val="center"/>
          </w:tcPr>
          <w:p w:rsidR="002F0B06" w:rsidRPr="00737C18" w:rsidRDefault="002F0B06" w:rsidP="002F0B06">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混合型</w:t>
            </w:r>
          </w:p>
        </w:tc>
        <w:tc>
          <w:tcPr>
            <w:tcW w:w="1275" w:type="dxa"/>
            <w:vAlign w:val="center"/>
          </w:tcPr>
          <w:p w:rsidR="002F0B06" w:rsidRPr="00737C18" w:rsidRDefault="002F0B06" w:rsidP="002F0B06">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R3</w:t>
            </w:r>
          </w:p>
        </w:tc>
      </w:tr>
      <w:tr w:rsidR="002F0B06" w:rsidRPr="00101B0C" w:rsidTr="00625616">
        <w:trPr>
          <w:jc w:val="center"/>
        </w:trPr>
        <w:tc>
          <w:tcPr>
            <w:tcW w:w="1271" w:type="dxa"/>
            <w:vAlign w:val="center"/>
          </w:tcPr>
          <w:p w:rsidR="002F0B06" w:rsidRPr="00737C18" w:rsidRDefault="002F0B06" w:rsidP="002F0B0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w:t>
            </w:r>
            <w:r>
              <w:rPr>
                <w:rFonts w:asciiTheme="minorEastAsia" w:eastAsiaTheme="minorEastAsia" w:hAnsiTheme="minorEastAsia"/>
                <w:sz w:val="24"/>
                <w:szCs w:val="24"/>
              </w:rPr>
              <w:t>19144</w:t>
            </w:r>
          </w:p>
        </w:tc>
        <w:tc>
          <w:tcPr>
            <w:tcW w:w="4111" w:type="dxa"/>
          </w:tcPr>
          <w:p w:rsidR="002F0B06" w:rsidRPr="00737C18" w:rsidRDefault="002F0B06" w:rsidP="002F0B06">
            <w:pPr>
              <w:jc w:val="both"/>
              <w:rPr>
                <w:rFonts w:asciiTheme="minorEastAsia" w:eastAsiaTheme="minorEastAsia" w:hAnsiTheme="minorEastAsia"/>
                <w:sz w:val="24"/>
                <w:szCs w:val="24"/>
              </w:rPr>
            </w:pPr>
            <w:r w:rsidRPr="002F0B06">
              <w:rPr>
                <w:rFonts w:asciiTheme="minorEastAsia" w:eastAsiaTheme="minorEastAsia" w:hAnsiTheme="minorEastAsia" w:hint="eastAsia"/>
                <w:sz w:val="24"/>
                <w:szCs w:val="24"/>
              </w:rPr>
              <w:t>西藏东财景气驱动混合型发起式证券投资基金</w:t>
            </w:r>
            <w:r>
              <w:rPr>
                <w:rFonts w:asciiTheme="minorEastAsia" w:eastAsiaTheme="minorEastAsia" w:hAnsiTheme="minorEastAsia"/>
                <w:sz w:val="24"/>
                <w:szCs w:val="24"/>
              </w:rPr>
              <w:t>C</w:t>
            </w:r>
          </w:p>
        </w:tc>
        <w:tc>
          <w:tcPr>
            <w:tcW w:w="1843" w:type="dxa"/>
            <w:vAlign w:val="center"/>
          </w:tcPr>
          <w:p w:rsidR="002F0B06" w:rsidRPr="00737C18" w:rsidRDefault="002F0B06" w:rsidP="002F0B06">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混合型</w:t>
            </w:r>
          </w:p>
        </w:tc>
        <w:tc>
          <w:tcPr>
            <w:tcW w:w="1275" w:type="dxa"/>
            <w:vAlign w:val="center"/>
          </w:tcPr>
          <w:p w:rsidR="002F0B06" w:rsidRPr="00737C18" w:rsidRDefault="002F0B06" w:rsidP="002F0B06">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R3</w:t>
            </w:r>
          </w:p>
        </w:tc>
      </w:tr>
    </w:tbl>
    <w:p w:rsidR="00655D92" w:rsidRDefault="00655D92" w:rsidP="00002990">
      <w:pPr>
        <w:autoSpaceDE/>
        <w:autoSpaceDN/>
        <w:spacing w:line="360" w:lineRule="auto"/>
        <w:ind w:firstLineChars="202" w:firstLine="485"/>
        <w:jc w:val="both"/>
        <w:rPr>
          <w:rFonts w:cs="Times New Roman"/>
          <w:kern w:val="2"/>
          <w:sz w:val="24"/>
          <w:szCs w:val="24"/>
          <w:lang w:val="en-US" w:bidi="ar-SA"/>
        </w:rPr>
      </w:pPr>
    </w:p>
    <w:p w:rsidR="007B793E" w:rsidRDefault="009C344B" w:rsidP="00002990">
      <w:pPr>
        <w:autoSpaceDE/>
        <w:autoSpaceDN/>
        <w:spacing w:line="360" w:lineRule="auto"/>
        <w:ind w:firstLineChars="202" w:firstLine="485"/>
        <w:jc w:val="both"/>
        <w:rPr>
          <w:rFonts w:cs="Times New Roman"/>
          <w:kern w:val="2"/>
          <w:sz w:val="24"/>
          <w:szCs w:val="24"/>
          <w:lang w:val="en-US" w:bidi="ar-SA"/>
        </w:rPr>
      </w:pPr>
      <w:r w:rsidRPr="00002990">
        <w:rPr>
          <w:rFonts w:cs="Times New Roman" w:hint="eastAsia"/>
          <w:kern w:val="2"/>
          <w:sz w:val="24"/>
          <w:szCs w:val="24"/>
          <w:lang w:val="en-US" w:bidi="ar-SA"/>
        </w:rPr>
        <w:t>上述基金风险等级评价</w:t>
      </w:r>
      <w:r w:rsidR="000930A2" w:rsidRPr="00002990">
        <w:rPr>
          <w:rFonts w:cs="Times New Roman" w:hint="eastAsia"/>
          <w:kern w:val="2"/>
          <w:sz w:val="24"/>
          <w:szCs w:val="24"/>
          <w:lang w:val="en-US" w:bidi="ar-SA"/>
        </w:rPr>
        <w:t>结果</w:t>
      </w:r>
      <w:r w:rsidR="007B793E" w:rsidRPr="00002990">
        <w:rPr>
          <w:rFonts w:cs="Times New Roman" w:hint="eastAsia"/>
          <w:kern w:val="2"/>
          <w:sz w:val="24"/>
          <w:szCs w:val="24"/>
          <w:lang w:val="en-US" w:bidi="ar-SA"/>
        </w:rPr>
        <w:t>仅代表本公司的观点，投资者亦应认真阅读基金的基金合同、招募说明书</w:t>
      </w:r>
      <w:r w:rsidR="000930A2" w:rsidRPr="00002990">
        <w:rPr>
          <w:rFonts w:cs="Times New Roman" w:hint="eastAsia"/>
          <w:kern w:val="2"/>
          <w:sz w:val="24"/>
          <w:szCs w:val="24"/>
          <w:lang w:val="en-US" w:bidi="ar-SA"/>
        </w:rPr>
        <w:t>、基金产品资料概要</w:t>
      </w:r>
      <w:r w:rsidR="007B793E" w:rsidRPr="00002990">
        <w:rPr>
          <w:rFonts w:cs="Times New Roman" w:hint="eastAsia"/>
          <w:kern w:val="2"/>
          <w:sz w:val="24"/>
          <w:szCs w:val="24"/>
          <w:lang w:val="en-US" w:bidi="ar-SA"/>
        </w:rPr>
        <w:t>以及过往的基金定期报告等相关信息，以充分判断</w:t>
      </w:r>
      <w:r w:rsidRPr="00002990">
        <w:rPr>
          <w:rFonts w:cs="Times New Roman" w:hint="eastAsia"/>
          <w:kern w:val="2"/>
          <w:sz w:val="24"/>
          <w:szCs w:val="24"/>
          <w:lang w:val="en-US" w:bidi="ar-SA"/>
        </w:rPr>
        <w:t>基金的风险收益特征。上述基金风险等级划分</w:t>
      </w:r>
      <w:r w:rsidR="000930A2" w:rsidRPr="00002990">
        <w:rPr>
          <w:rFonts w:cs="Times New Roman" w:hint="eastAsia"/>
          <w:kern w:val="2"/>
          <w:sz w:val="24"/>
          <w:szCs w:val="24"/>
          <w:lang w:val="en-US" w:bidi="ar-SA"/>
        </w:rPr>
        <w:t>结果</w:t>
      </w:r>
      <w:r w:rsidR="007B793E" w:rsidRPr="00002990">
        <w:rPr>
          <w:rFonts w:cs="Times New Roman" w:hint="eastAsia"/>
          <w:kern w:val="2"/>
          <w:sz w:val="24"/>
          <w:szCs w:val="24"/>
          <w:lang w:val="en-US" w:bidi="ar-SA"/>
        </w:rPr>
        <w:t>仅适用于西藏东财基金管理有限公司的直销客户。</w:t>
      </w:r>
      <w:r w:rsidR="0078586A" w:rsidRPr="00002990">
        <w:rPr>
          <w:rFonts w:cs="Times New Roman"/>
          <w:kern w:val="2"/>
          <w:sz w:val="24"/>
          <w:szCs w:val="24"/>
          <w:lang w:val="en-US" w:bidi="ar-SA"/>
        </w:rPr>
        <w:t xml:space="preserve"> </w:t>
      </w:r>
    </w:p>
    <w:p w:rsidR="00775D49" w:rsidRPr="00002990" w:rsidRDefault="00775D49" w:rsidP="00002990">
      <w:pPr>
        <w:autoSpaceDE/>
        <w:autoSpaceDN/>
        <w:spacing w:line="360" w:lineRule="auto"/>
        <w:ind w:firstLineChars="202" w:firstLine="485"/>
        <w:jc w:val="both"/>
        <w:rPr>
          <w:rFonts w:cs="Times New Roman"/>
          <w:kern w:val="2"/>
          <w:sz w:val="24"/>
          <w:szCs w:val="24"/>
          <w:lang w:val="en-US" w:bidi="ar-SA"/>
        </w:rPr>
      </w:pPr>
    </w:p>
    <w:p w:rsidR="0030274C" w:rsidRPr="00002990" w:rsidRDefault="0030274C" w:rsidP="00002990">
      <w:pPr>
        <w:autoSpaceDE/>
        <w:autoSpaceDN/>
        <w:spacing w:line="360" w:lineRule="auto"/>
        <w:ind w:firstLineChars="202" w:firstLine="485"/>
        <w:jc w:val="both"/>
        <w:rPr>
          <w:rFonts w:cs="Times New Roman"/>
          <w:kern w:val="2"/>
          <w:sz w:val="24"/>
          <w:szCs w:val="24"/>
          <w:lang w:val="en-US" w:bidi="ar-SA"/>
        </w:rPr>
      </w:pPr>
      <w:r w:rsidRPr="00002990">
        <w:rPr>
          <w:rFonts w:cs="Times New Roman"/>
          <w:kern w:val="2"/>
          <w:sz w:val="24"/>
          <w:szCs w:val="24"/>
          <w:lang w:val="en-US" w:bidi="ar-SA"/>
        </w:rPr>
        <w:t>风险提示</w:t>
      </w:r>
      <w:r w:rsidRPr="00002990">
        <w:rPr>
          <w:rFonts w:cs="Times New Roman" w:hint="eastAsia"/>
          <w:kern w:val="2"/>
          <w:sz w:val="24"/>
          <w:szCs w:val="24"/>
          <w:lang w:val="en-US" w:bidi="ar-SA"/>
        </w:rPr>
        <w:t>：</w:t>
      </w:r>
    </w:p>
    <w:p w:rsidR="0030274C" w:rsidRPr="00002990" w:rsidRDefault="0030274C" w:rsidP="00002990">
      <w:pPr>
        <w:autoSpaceDE/>
        <w:autoSpaceDN/>
        <w:spacing w:line="360" w:lineRule="auto"/>
        <w:ind w:firstLineChars="202" w:firstLine="485"/>
        <w:jc w:val="both"/>
        <w:rPr>
          <w:rFonts w:cs="Times New Roman"/>
          <w:kern w:val="2"/>
          <w:sz w:val="24"/>
          <w:szCs w:val="24"/>
          <w:lang w:val="en-US" w:bidi="ar-SA"/>
        </w:rPr>
      </w:pPr>
      <w:r w:rsidRPr="00002990">
        <w:rPr>
          <w:rFonts w:cs="Times New Roman"/>
          <w:kern w:val="2"/>
          <w:sz w:val="24"/>
          <w:szCs w:val="24"/>
          <w:lang w:val="en-US" w:bidi="ar-SA"/>
        </w:rPr>
        <w:t>1、销售机构（包括基金管理人直销机构和</w:t>
      </w:r>
      <w:r w:rsidR="00911218">
        <w:rPr>
          <w:rFonts w:cs="Times New Roman"/>
          <w:kern w:val="2"/>
          <w:sz w:val="24"/>
          <w:szCs w:val="24"/>
          <w:lang w:val="en-US" w:bidi="ar-SA"/>
        </w:rPr>
        <w:t>其他销售机构</w:t>
      </w:r>
      <w:r w:rsidRPr="00002990">
        <w:rPr>
          <w:rFonts w:cs="Times New Roman"/>
          <w:kern w:val="2"/>
          <w:sz w:val="24"/>
          <w:szCs w:val="24"/>
          <w:lang w:val="en-US" w:bidi="ar-SA"/>
        </w:rPr>
        <w:t>）根据投资者适当性法律法规对基金</w:t>
      </w:r>
      <w:r w:rsidRPr="00002990">
        <w:rPr>
          <w:rFonts w:cs="Times New Roman" w:hint="eastAsia"/>
          <w:kern w:val="2"/>
          <w:sz w:val="24"/>
          <w:szCs w:val="24"/>
          <w:lang w:val="en-US" w:bidi="ar-SA"/>
        </w:rPr>
        <w:t>进行风险评价，不同的销售机构采用的评价方法不同，因此不同销售机构对基金的风险等级评价结果可能存在不同。</w:t>
      </w:r>
    </w:p>
    <w:p w:rsidR="0030274C" w:rsidRPr="00002990" w:rsidRDefault="0030274C" w:rsidP="00002990">
      <w:pPr>
        <w:autoSpaceDE/>
        <w:autoSpaceDN/>
        <w:spacing w:line="360" w:lineRule="auto"/>
        <w:ind w:firstLineChars="202" w:firstLine="485"/>
        <w:jc w:val="both"/>
        <w:rPr>
          <w:rFonts w:cs="Times New Roman"/>
          <w:kern w:val="2"/>
          <w:sz w:val="24"/>
          <w:szCs w:val="24"/>
          <w:lang w:val="en-US" w:bidi="ar-SA"/>
        </w:rPr>
      </w:pPr>
      <w:r w:rsidRPr="00002990">
        <w:rPr>
          <w:rFonts w:cs="Times New Roman"/>
          <w:kern w:val="2"/>
          <w:sz w:val="24"/>
          <w:szCs w:val="24"/>
          <w:lang w:val="en-US" w:bidi="ar-SA"/>
        </w:rPr>
        <w:t>2、投资者购买基金后，所购买的基金产品风险等级可能因市场或运作情况等影响而发生</w:t>
      </w:r>
      <w:r w:rsidRPr="00002990">
        <w:rPr>
          <w:rFonts w:cs="Times New Roman" w:hint="eastAsia"/>
          <w:kern w:val="2"/>
          <w:sz w:val="24"/>
          <w:szCs w:val="24"/>
          <w:lang w:val="en-US" w:bidi="ar-SA"/>
        </w:rPr>
        <w:t>调整，并可能超出投资者自身风险承受能力，从而可能产生不利后果和损失。投资者应及时关注基金风险等</w:t>
      </w:r>
      <w:bookmarkStart w:id="0" w:name="_GoBack"/>
      <w:bookmarkEnd w:id="0"/>
      <w:r w:rsidRPr="00002990">
        <w:rPr>
          <w:rFonts w:cs="Times New Roman" w:hint="eastAsia"/>
          <w:kern w:val="2"/>
          <w:sz w:val="24"/>
          <w:szCs w:val="24"/>
          <w:lang w:val="en-US" w:bidi="ar-SA"/>
        </w:rPr>
        <w:t>级的变化并谨慎决策，以确保自身的投资决策与风险承受能力相匹配。</w:t>
      </w:r>
      <w:r w:rsidR="003B7098" w:rsidRPr="003B7098">
        <w:rPr>
          <w:rFonts w:cs="Times New Roman" w:hint="eastAsia"/>
          <w:kern w:val="2"/>
          <w:sz w:val="24"/>
          <w:szCs w:val="24"/>
          <w:lang w:val="en-US" w:bidi="ar-SA"/>
        </w:rPr>
        <w:t>如投资</w:t>
      </w:r>
      <w:r w:rsidR="003B7098">
        <w:rPr>
          <w:rFonts w:cs="Times New Roman" w:hint="eastAsia"/>
          <w:kern w:val="2"/>
          <w:sz w:val="24"/>
          <w:szCs w:val="24"/>
          <w:lang w:val="en-US" w:bidi="ar-SA"/>
        </w:rPr>
        <w:t>者</w:t>
      </w:r>
      <w:r w:rsidR="003B7098" w:rsidRPr="003B7098">
        <w:rPr>
          <w:rFonts w:cs="Times New Roman" w:hint="eastAsia"/>
          <w:kern w:val="2"/>
          <w:sz w:val="24"/>
          <w:szCs w:val="24"/>
          <w:lang w:val="en-US" w:bidi="ar-SA"/>
        </w:rPr>
        <w:t>开立基金账户时提供的相关信</w:t>
      </w:r>
      <w:r w:rsidR="00DC594E">
        <w:rPr>
          <w:rFonts w:cs="Times New Roman" w:hint="eastAsia"/>
          <w:kern w:val="2"/>
          <w:sz w:val="24"/>
          <w:szCs w:val="24"/>
          <w:lang w:val="en-US" w:bidi="ar-SA"/>
        </w:rPr>
        <w:t>息发生重要变化，可能影响风险承受能力评价结果，请及时告知</w:t>
      </w:r>
      <w:r w:rsidR="003B7098" w:rsidRPr="003B7098">
        <w:rPr>
          <w:rFonts w:cs="Times New Roman" w:hint="eastAsia"/>
          <w:kern w:val="2"/>
          <w:sz w:val="24"/>
          <w:szCs w:val="24"/>
          <w:lang w:val="en-US" w:bidi="ar-SA"/>
        </w:rPr>
        <w:t>销售机构并更新风险承受能力测评结果。</w:t>
      </w:r>
    </w:p>
    <w:p w:rsidR="003B7098" w:rsidRPr="003B7098" w:rsidRDefault="0030274C" w:rsidP="003B7098">
      <w:pPr>
        <w:autoSpaceDE/>
        <w:autoSpaceDN/>
        <w:spacing w:line="360" w:lineRule="auto"/>
        <w:ind w:firstLineChars="202" w:firstLine="485"/>
        <w:jc w:val="both"/>
        <w:rPr>
          <w:rFonts w:cs="Times New Roman"/>
          <w:kern w:val="2"/>
          <w:sz w:val="24"/>
          <w:szCs w:val="24"/>
          <w:lang w:val="en-US" w:bidi="ar-SA"/>
        </w:rPr>
      </w:pPr>
      <w:r w:rsidRPr="00002990">
        <w:rPr>
          <w:rFonts w:cs="Times New Roman"/>
          <w:kern w:val="2"/>
          <w:sz w:val="24"/>
          <w:szCs w:val="24"/>
          <w:lang w:val="en-US" w:bidi="ar-SA"/>
        </w:rPr>
        <w:t>3、基金管理人承诺以诚实信用、勤勉尽责的原则管理和运用基金资产，但不保证基金一</w:t>
      </w:r>
      <w:r w:rsidRPr="00002990">
        <w:rPr>
          <w:rFonts w:cs="Times New Roman" w:hint="eastAsia"/>
          <w:kern w:val="2"/>
          <w:sz w:val="24"/>
          <w:szCs w:val="24"/>
          <w:lang w:val="en-US" w:bidi="ar-SA"/>
        </w:rPr>
        <w:t>定盈利，也不保证最低收益。</w:t>
      </w:r>
    </w:p>
    <w:p w:rsidR="003B7098" w:rsidRPr="003B7098" w:rsidRDefault="003B7098" w:rsidP="003B7098">
      <w:pPr>
        <w:autoSpaceDE/>
        <w:autoSpaceDN/>
        <w:spacing w:line="360" w:lineRule="auto"/>
        <w:ind w:firstLineChars="202" w:firstLine="485"/>
        <w:jc w:val="both"/>
        <w:rPr>
          <w:rFonts w:cs="Times New Roman"/>
          <w:kern w:val="2"/>
          <w:sz w:val="24"/>
          <w:szCs w:val="24"/>
          <w:lang w:val="en-US" w:bidi="ar-SA"/>
        </w:rPr>
      </w:pPr>
      <w:r w:rsidRPr="003B7098">
        <w:rPr>
          <w:rFonts w:cs="Times New Roman" w:hint="eastAsia"/>
          <w:kern w:val="2"/>
          <w:sz w:val="24"/>
          <w:szCs w:val="24"/>
          <w:lang w:val="en-US" w:bidi="ar-SA"/>
        </w:rPr>
        <w:t>基金不同于银行储蓄和债券等能够提供固定收益预期的金融工具，基金投资</w:t>
      </w:r>
      <w:r w:rsidR="00BF2A0A">
        <w:rPr>
          <w:rFonts w:cs="Times New Roman" w:hint="eastAsia"/>
          <w:kern w:val="2"/>
          <w:sz w:val="24"/>
          <w:szCs w:val="24"/>
          <w:lang w:val="en-US" w:bidi="ar-SA"/>
        </w:rPr>
        <w:t>者</w:t>
      </w:r>
      <w:r w:rsidRPr="003B7098">
        <w:rPr>
          <w:rFonts w:cs="Times New Roman" w:hint="eastAsia"/>
          <w:kern w:val="2"/>
          <w:sz w:val="24"/>
          <w:szCs w:val="24"/>
          <w:lang w:val="en-US" w:bidi="ar-SA"/>
        </w:rPr>
        <w:t>购买基金，既可能按其持有份额分享基金投资所产生的收益，也可能承担基金投资所带来的损失。基金的过往业绩及其净值高低并不预示其未来业绩表现，基金管理人管理的其他基金的业绩并不构成基金业绩表现的保证。指数历史业绩不预示指数未来表现，也不代表本基金的未来业绩表现。我国基金运作时间较短，不能反映证券市场发展的所有阶段。基金投资</w:t>
      </w:r>
      <w:r w:rsidR="00BF2A0A">
        <w:rPr>
          <w:rFonts w:cs="Times New Roman" w:hint="eastAsia"/>
          <w:kern w:val="2"/>
          <w:sz w:val="24"/>
          <w:szCs w:val="24"/>
          <w:lang w:val="en-US" w:bidi="ar-SA"/>
        </w:rPr>
        <w:t>者</w:t>
      </w:r>
      <w:r w:rsidRPr="003B7098">
        <w:rPr>
          <w:rFonts w:cs="Times New Roman" w:hint="eastAsia"/>
          <w:kern w:val="2"/>
          <w:sz w:val="24"/>
          <w:szCs w:val="24"/>
          <w:lang w:val="en-US" w:bidi="ar-SA"/>
        </w:rPr>
        <w:t>在做出</w:t>
      </w:r>
      <w:r w:rsidR="00BF2A0A">
        <w:rPr>
          <w:rFonts w:cs="Times New Roman" w:hint="eastAsia"/>
          <w:kern w:val="2"/>
          <w:sz w:val="24"/>
          <w:szCs w:val="24"/>
          <w:lang w:val="en-US" w:bidi="ar-SA"/>
        </w:rPr>
        <w:t>投资决策后，基金运营状况与基金净值波动变化引致的投资风险由投资者</w:t>
      </w:r>
      <w:r w:rsidRPr="003B7098">
        <w:rPr>
          <w:rFonts w:cs="Times New Roman" w:hint="eastAsia"/>
          <w:kern w:val="2"/>
          <w:sz w:val="24"/>
          <w:szCs w:val="24"/>
          <w:lang w:val="en-US" w:bidi="ar-SA"/>
        </w:rPr>
        <w:t>自行负担。</w:t>
      </w:r>
    </w:p>
    <w:p w:rsidR="003B7098" w:rsidRPr="003B7098" w:rsidRDefault="00BF2A0A" w:rsidP="003B7098">
      <w:pPr>
        <w:autoSpaceDE/>
        <w:autoSpaceDN/>
        <w:spacing w:line="360" w:lineRule="auto"/>
        <w:ind w:firstLineChars="202" w:firstLine="485"/>
        <w:jc w:val="both"/>
        <w:rPr>
          <w:rFonts w:cs="Times New Roman"/>
          <w:kern w:val="2"/>
          <w:sz w:val="24"/>
          <w:szCs w:val="24"/>
          <w:lang w:val="en-US" w:bidi="ar-SA"/>
        </w:rPr>
      </w:pPr>
      <w:r>
        <w:rPr>
          <w:rFonts w:cs="Times New Roman" w:hint="eastAsia"/>
          <w:kern w:val="2"/>
          <w:sz w:val="24"/>
          <w:szCs w:val="24"/>
          <w:lang w:val="en-US" w:bidi="ar-SA"/>
        </w:rPr>
        <w:t>基金投资者</w:t>
      </w:r>
      <w:r w:rsidR="00706A93">
        <w:rPr>
          <w:rFonts w:cs="Times New Roman" w:hint="eastAsia"/>
          <w:kern w:val="2"/>
          <w:sz w:val="24"/>
          <w:szCs w:val="24"/>
          <w:lang w:val="en-US" w:bidi="ar-SA"/>
        </w:rPr>
        <w:t>在做出投资决策前，请务必详细阅读该基金相关的</w:t>
      </w:r>
      <w:r w:rsidR="003B7098" w:rsidRPr="003B7098">
        <w:rPr>
          <w:rFonts w:cs="Times New Roman" w:hint="eastAsia"/>
          <w:kern w:val="2"/>
          <w:sz w:val="24"/>
          <w:szCs w:val="24"/>
          <w:lang w:val="en-US" w:bidi="ar-SA"/>
        </w:rPr>
        <w:t>基金合同、招募说明书</w:t>
      </w:r>
      <w:r w:rsidR="00706A93">
        <w:rPr>
          <w:rFonts w:cs="Times New Roman" w:hint="eastAsia"/>
          <w:kern w:val="2"/>
          <w:sz w:val="24"/>
          <w:szCs w:val="24"/>
          <w:lang w:val="en-US" w:bidi="ar-SA"/>
        </w:rPr>
        <w:t>、</w:t>
      </w:r>
      <w:r w:rsidR="003B7098" w:rsidRPr="003B7098">
        <w:rPr>
          <w:rFonts w:cs="Times New Roman" w:hint="eastAsia"/>
          <w:kern w:val="2"/>
          <w:sz w:val="24"/>
          <w:szCs w:val="24"/>
          <w:lang w:val="en-US" w:bidi="ar-SA"/>
        </w:rPr>
        <w:t>基金产品资料概要及其更新等法律文件，全面了解该基金的具体情况、风险评级及特有风险。请务必了解投资者适当性管理相关规定，提前进行风险承受能力测评，在了解基金收益与风险特征的前提下选择与自身风险承受能力相匹配的基金产品进行投资。</w:t>
      </w:r>
    </w:p>
    <w:p w:rsidR="0030274C" w:rsidRPr="00002990" w:rsidRDefault="003B7098" w:rsidP="00002990">
      <w:pPr>
        <w:autoSpaceDE/>
        <w:autoSpaceDN/>
        <w:spacing w:line="360" w:lineRule="auto"/>
        <w:ind w:firstLineChars="202" w:firstLine="485"/>
        <w:jc w:val="both"/>
        <w:rPr>
          <w:rFonts w:cs="Times New Roman"/>
          <w:kern w:val="2"/>
          <w:sz w:val="24"/>
          <w:szCs w:val="24"/>
          <w:lang w:val="en-US" w:bidi="ar-SA"/>
        </w:rPr>
      </w:pPr>
      <w:r w:rsidRPr="003B7098">
        <w:rPr>
          <w:rFonts w:cs="Times New Roman" w:hint="eastAsia"/>
          <w:kern w:val="2"/>
          <w:sz w:val="24"/>
          <w:szCs w:val="24"/>
          <w:lang w:val="en-US" w:bidi="ar-SA"/>
        </w:rPr>
        <w:t>基金有风险，投资需谨慎。</w:t>
      </w:r>
    </w:p>
    <w:p w:rsidR="0078586A" w:rsidRPr="00002990" w:rsidRDefault="0078586A" w:rsidP="00002990">
      <w:pPr>
        <w:autoSpaceDE/>
        <w:autoSpaceDN/>
        <w:spacing w:line="360" w:lineRule="auto"/>
        <w:ind w:firstLineChars="202" w:firstLine="485"/>
        <w:jc w:val="both"/>
        <w:rPr>
          <w:rFonts w:cs="Times New Roman"/>
          <w:kern w:val="2"/>
          <w:sz w:val="24"/>
          <w:szCs w:val="24"/>
          <w:lang w:val="en-US" w:bidi="ar-SA"/>
        </w:rPr>
      </w:pPr>
    </w:p>
    <w:p w:rsidR="00C575FF" w:rsidRDefault="0078586A" w:rsidP="00D01985">
      <w:pPr>
        <w:autoSpaceDE/>
        <w:autoSpaceDN/>
        <w:spacing w:line="360" w:lineRule="auto"/>
        <w:ind w:firstLineChars="202" w:firstLine="485"/>
        <w:jc w:val="both"/>
        <w:rPr>
          <w:rFonts w:asciiTheme="minorEastAsia" w:eastAsiaTheme="minorEastAsia" w:hAnsiTheme="minorEastAsia"/>
          <w:sz w:val="28"/>
          <w:szCs w:val="28"/>
        </w:rPr>
      </w:pPr>
      <w:r w:rsidRPr="00002990">
        <w:rPr>
          <w:rFonts w:cs="Times New Roman" w:hint="eastAsia"/>
          <w:kern w:val="2"/>
          <w:sz w:val="24"/>
          <w:szCs w:val="24"/>
          <w:lang w:val="en-US" w:bidi="ar-SA"/>
        </w:rPr>
        <w:t>特此公告。</w:t>
      </w:r>
    </w:p>
    <w:p w:rsidR="00002990" w:rsidRDefault="00002990" w:rsidP="00C575FF">
      <w:pPr>
        <w:spacing w:line="360" w:lineRule="auto"/>
        <w:jc w:val="right"/>
        <w:rPr>
          <w:rFonts w:asciiTheme="minorEastAsia" w:eastAsiaTheme="minorEastAsia" w:hAnsiTheme="minorEastAsia"/>
          <w:sz w:val="28"/>
          <w:szCs w:val="28"/>
        </w:rPr>
      </w:pPr>
    </w:p>
    <w:p w:rsidR="00002990" w:rsidRDefault="00002990" w:rsidP="00C575FF">
      <w:pPr>
        <w:spacing w:line="360" w:lineRule="auto"/>
        <w:jc w:val="right"/>
        <w:rPr>
          <w:rFonts w:asciiTheme="minorEastAsia" w:eastAsiaTheme="minorEastAsia" w:hAnsiTheme="minorEastAsia"/>
          <w:sz w:val="28"/>
          <w:szCs w:val="28"/>
        </w:rPr>
      </w:pPr>
    </w:p>
    <w:p w:rsidR="00002990" w:rsidRDefault="00002990" w:rsidP="00C575FF">
      <w:pPr>
        <w:spacing w:line="360" w:lineRule="auto"/>
        <w:jc w:val="right"/>
        <w:rPr>
          <w:rFonts w:asciiTheme="minorEastAsia" w:eastAsiaTheme="minorEastAsia" w:hAnsiTheme="minorEastAsia"/>
          <w:sz w:val="28"/>
          <w:szCs w:val="28"/>
        </w:rPr>
      </w:pPr>
    </w:p>
    <w:p w:rsidR="00002990" w:rsidRDefault="00002990" w:rsidP="00C575FF">
      <w:pPr>
        <w:spacing w:line="360" w:lineRule="auto"/>
        <w:jc w:val="right"/>
        <w:rPr>
          <w:rFonts w:asciiTheme="minorEastAsia" w:eastAsiaTheme="minorEastAsia" w:hAnsiTheme="minorEastAsia"/>
          <w:sz w:val="28"/>
          <w:szCs w:val="28"/>
        </w:rPr>
      </w:pPr>
    </w:p>
    <w:p w:rsidR="00C575FF" w:rsidRDefault="00C575FF" w:rsidP="00C575FF">
      <w:pPr>
        <w:spacing w:line="360" w:lineRule="auto"/>
        <w:jc w:val="right"/>
        <w:rPr>
          <w:rFonts w:asciiTheme="minorEastAsia" w:eastAsiaTheme="minorEastAsia" w:hAnsiTheme="minorEastAsia"/>
          <w:sz w:val="28"/>
          <w:szCs w:val="28"/>
        </w:rPr>
      </w:pPr>
    </w:p>
    <w:p w:rsidR="00C575FF" w:rsidRPr="00002990" w:rsidRDefault="00C575FF" w:rsidP="00C575FF">
      <w:pPr>
        <w:spacing w:line="360" w:lineRule="auto"/>
        <w:jc w:val="right"/>
        <w:rPr>
          <w:rFonts w:asciiTheme="minorEastAsia" w:eastAsiaTheme="minorEastAsia" w:hAnsiTheme="minorEastAsia"/>
          <w:sz w:val="24"/>
          <w:szCs w:val="28"/>
        </w:rPr>
      </w:pPr>
      <w:r w:rsidRPr="00002990">
        <w:rPr>
          <w:rFonts w:asciiTheme="minorEastAsia" w:eastAsiaTheme="minorEastAsia" w:hAnsiTheme="minorEastAsia" w:hint="eastAsia"/>
          <w:sz w:val="24"/>
          <w:szCs w:val="28"/>
        </w:rPr>
        <w:t>西藏东财基金管理有限公司</w:t>
      </w:r>
    </w:p>
    <w:p w:rsidR="0005450E" w:rsidRPr="0078586A" w:rsidRDefault="00063AC9" w:rsidP="00002990">
      <w:pPr>
        <w:spacing w:line="360" w:lineRule="auto"/>
        <w:jc w:val="right"/>
        <w:rPr>
          <w:rFonts w:asciiTheme="minorEastAsia" w:eastAsiaTheme="minorEastAsia" w:hAnsiTheme="minorEastAsia"/>
          <w:b/>
          <w:sz w:val="36"/>
          <w:szCs w:val="36"/>
        </w:rPr>
      </w:pPr>
      <w:r w:rsidRPr="00002990">
        <w:rPr>
          <w:rFonts w:asciiTheme="minorEastAsia" w:eastAsiaTheme="minorEastAsia" w:hAnsiTheme="minorEastAsia"/>
          <w:sz w:val="24"/>
          <w:szCs w:val="28"/>
        </w:rPr>
        <w:t>202</w:t>
      </w:r>
      <w:r w:rsidR="00737C18">
        <w:rPr>
          <w:rFonts w:asciiTheme="minorEastAsia" w:eastAsiaTheme="minorEastAsia" w:hAnsiTheme="minorEastAsia"/>
          <w:sz w:val="24"/>
          <w:szCs w:val="28"/>
        </w:rPr>
        <w:t>4</w:t>
      </w:r>
      <w:r w:rsidRPr="00002990">
        <w:rPr>
          <w:rFonts w:asciiTheme="minorEastAsia" w:eastAsiaTheme="minorEastAsia" w:hAnsiTheme="minorEastAsia"/>
          <w:sz w:val="24"/>
          <w:szCs w:val="28"/>
        </w:rPr>
        <w:t>年1月</w:t>
      </w:r>
      <w:r>
        <w:rPr>
          <w:rFonts w:asciiTheme="minorEastAsia" w:eastAsiaTheme="minorEastAsia" w:hAnsiTheme="minorEastAsia"/>
          <w:sz w:val="24"/>
          <w:szCs w:val="28"/>
        </w:rPr>
        <w:t>31</w:t>
      </w:r>
      <w:r w:rsidRPr="00002990">
        <w:rPr>
          <w:rFonts w:asciiTheme="minorEastAsia" w:eastAsiaTheme="minorEastAsia" w:hAnsiTheme="minorEastAsia"/>
          <w:sz w:val="24"/>
          <w:szCs w:val="28"/>
        </w:rPr>
        <w:t>日</w:t>
      </w:r>
      <w:r w:rsidR="005174BA">
        <w:rPr>
          <w:rFonts w:asciiTheme="minorEastAsia" w:eastAsiaTheme="minorEastAsia" w:hAnsiTheme="minorEastAsia" w:hint="eastAsia"/>
          <w:sz w:val="24"/>
          <w:szCs w:val="28"/>
        </w:rPr>
        <w:t xml:space="preserve">  </w:t>
      </w:r>
      <w:r w:rsidR="005174BA">
        <w:rPr>
          <w:rFonts w:asciiTheme="minorEastAsia" w:eastAsiaTheme="minorEastAsia" w:hAnsiTheme="minorEastAsia"/>
          <w:sz w:val="24"/>
          <w:szCs w:val="28"/>
        </w:rPr>
        <w:t xml:space="preserve"> </w:t>
      </w:r>
    </w:p>
    <w:sectPr w:rsidR="0005450E" w:rsidRPr="0078586A" w:rsidSect="00B259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796" w:rsidRDefault="00112796" w:rsidP="009C344B">
      <w:r>
        <w:separator/>
      </w:r>
    </w:p>
  </w:endnote>
  <w:endnote w:type="continuationSeparator" w:id="0">
    <w:p w:rsidR="00112796" w:rsidRDefault="00112796" w:rsidP="009C34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796" w:rsidRDefault="00112796" w:rsidP="009C344B">
      <w:r>
        <w:separator/>
      </w:r>
    </w:p>
  </w:footnote>
  <w:footnote w:type="continuationSeparator" w:id="0">
    <w:p w:rsidR="00112796" w:rsidRDefault="00112796" w:rsidP="009C34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3410"/>
    <w:rsid w:val="00002990"/>
    <w:rsid w:val="00011795"/>
    <w:rsid w:val="000206B9"/>
    <w:rsid w:val="0005450E"/>
    <w:rsid w:val="00063AC9"/>
    <w:rsid w:val="0008618D"/>
    <w:rsid w:val="000930A2"/>
    <w:rsid w:val="000C5B29"/>
    <w:rsid w:val="000D6565"/>
    <w:rsid w:val="00101B0C"/>
    <w:rsid w:val="00112796"/>
    <w:rsid w:val="00136A3C"/>
    <w:rsid w:val="001B3640"/>
    <w:rsid w:val="001B616B"/>
    <w:rsid w:val="001E6467"/>
    <w:rsid w:val="001F112D"/>
    <w:rsid w:val="0021152B"/>
    <w:rsid w:val="002239E6"/>
    <w:rsid w:val="002869AE"/>
    <w:rsid w:val="002F0B06"/>
    <w:rsid w:val="002F791D"/>
    <w:rsid w:val="0030109D"/>
    <w:rsid w:val="0030274C"/>
    <w:rsid w:val="00325335"/>
    <w:rsid w:val="0034640B"/>
    <w:rsid w:val="003B5DCE"/>
    <w:rsid w:val="003B7098"/>
    <w:rsid w:val="003F13B4"/>
    <w:rsid w:val="004331F6"/>
    <w:rsid w:val="00433DB1"/>
    <w:rsid w:val="00452BA8"/>
    <w:rsid w:val="00464A32"/>
    <w:rsid w:val="00480D11"/>
    <w:rsid w:val="004C4F60"/>
    <w:rsid w:val="005174BA"/>
    <w:rsid w:val="00550570"/>
    <w:rsid w:val="00566586"/>
    <w:rsid w:val="00566AEA"/>
    <w:rsid w:val="005938C1"/>
    <w:rsid w:val="005B57A4"/>
    <w:rsid w:val="00625616"/>
    <w:rsid w:val="006449BD"/>
    <w:rsid w:val="006507F3"/>
    <w:rsid w:val="00655D92"/>
    <w:rsid w:val="00680637"/>
    <w:rsid w:val="006A55AE"/>
    <w:rsid w:val="006B7DAE"/>
    <w:rsid w:val="006D5350"/>
    <w:rsid w:val="00706A93"/>
    <w:rsid w:val="00737C18"/>
    <w:rsid w:val="00775D49"/>
    <w:rsid w:val="0078586A"/>
    <w:rsid w:val="00795635"/>
    <w:rsid w:val="007B793E"/>
    <w:rsid w:val="0086071B"/>
    <w:rsid w:val="00876A36"/>
    <w:rsid w:val="00891314"/>
    <w:rsid w:val="008A34B9"/>
    <w:rsid w:val="00911218"/>
    <w:rsid w:val="009150E4"/>
    <w:rsid w:val="00944C8A"/>
    <w:rsid w:val="00947421"/>
    <w:rsid w:val="009C344B"/>
    <w:rsid w:val="00A63BD9"/>
    <w:rsid w:val="00A724A5"/>
    <w:rsid w:val="00A82BC8"/>
    <w:rsid w:val="00A92758"/>
    <w:rsid w:val="00A96CF6"/>
    <w:rsid w:val="00AA5BBA"/>
    <w:rsid w:val="00AA6E22"/>
    <w:rsid w:val="00B2597E"/>
    <w:rsid w:val="00B43B42"/>
    <w:rsid w:val="00B81AC8"/>
    <w:rsid w:val="00BA4E62"/>
    <w:rsid w:val="00BD3410"/>
    <w:rsid w:val="00BF2A0A"/>
    <w:rsid w:val="00BF56E1"/>
    <w:rsid w:val="00C4067E"/>
    <w:rsid w:val="00C575FF"/>
    <w:rsid w:val="00C65021"/>
    <w:rsid w:val="00C73C6C"/>
    <w:rsid w:val="00C91A61"/>
    <w:rsid w:val="00D01985"/>
    <w:rsid w:val="00D90EFF"/>
    <w:rsid w:val="00DC217C"/>
    <w:rsid w:val="00DC594E"/>
    <w:rsid w:val="00E066E2"/>
    <w:rsid w:val="00E33A9E"/>
    <w:rsid w:val="00E724B5"/>
    <w:rsid w:val="00E76DBD"/>
    <w:rsid w:val="00ED04E4"/>
    <w:rsid w:val="00ED65A8"/>
    <w:rsid w:val="00F35275"/>
    <w:rsid w:val="00F65383"/>
    <w:rsid w:val="00F66CC7"/>
    <w:rsid w:val="00FB2082"/>
    <w:rsid w:val="00FD16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8586A"/>
    <w:pPr>
      <w:widowControl w:val="0"/>
      <w:autoSpaceDE w:val="0"/>
      <w:autoSpaceDN w:val="0"/>
    </w:pPr>
    <w:rPr>
      <w:rFonts w:ascii="宋体" w:eastAsia="宋体" w:hAnsi="宋体" w:cs="宋体"/>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53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F66CC7"/>
    <w:rPr>
      <w:sz w:val="21"/>
      <w:szCs w:val="21"/>
    </w:rPr>
  </w:style>
  <w:style w:type="paragraph" w:styleId="a5">
    <w:name w:val="annotation text"/>
    <w:basedOn w:val="a"/>
    <w:link w:val="Char"/>
    <w:uiPriority w:val="99"/>
    <w:semiHidden/>
    <w:unhideWhenUsed/>
    <w:rsid w:val="00F66CC7"/>
  </w:style>
  <w:style w:type="character" w:customStyle="1" w:styleId="Char">
    <w:name w:val="批注文字 Char"/>
    <w:basedOn w:val="a0"/>
    <w:link w:val="a5"/>
    <w:uiPriority w:val="99"/>
    <w:semiHidden/>
    <w:rsid w:val="00F66CC7"/>
    <w:rPr>
      <w:rFonts w:ascii="宋体" w:eastAsia="宋体" w:hAnsi="宋体" w:cs="宋体"/>
      <w:kern w:val="0"/>
      <w:sz w:val="22"/>
      <w:lang w:val="zh-CN" w:bidi="zh-CN"/>
    </w:rPr>
  </w:style>
  <w:style w:type="paragraph" w:styleId="a6">
    <w:name w:val="annotation subject"/>
    <w:basedOn w:val="a5"/>
    <w:next w:val="a5"/>
    <w:link w:val="Char0"/>
    <w:uiPriority w:val="99"/>
    <w:semiHidden/>
    <w:unhideWhenUsed/>
    <w:rsid w:val="00F66CC7"/>
    <w:rPr>
      <w:b/>
      <w:bCs/>
    </w:rPr>
  </w:style>
  <w:style w:type="character" w:customStyle="1" w:styleId="Char0">
    <w:name w:val="批注主题 Char"/>
    <w:basedOn w:val="Char"/>
    <w:link w:val="a6"/>
    <w:uiPriority w:val="99"/>
    <w:semiHidden/>
    <w:rsid w:val="00F66CC7"/>
    <w:rPr>
      <w:rFonts w:ascii="宋体" w:eastAsia="宋体" w:hAnsi="宋体" w:cs="宋体"/>
      <w:b/>
      <w:bCs/>
      <w:kern w:val="0"/>
      <w:sz w:val="22"/>
      <w:lang w:val="zh-CN" w:bidi="zh-CN"/>
    </w:rPr>
  </w:style>
  <w:style w:type="paragraph" w:styleId="a7">
    <w:name w:val="Balloon Text"/>
    <w:basedOn w:val="a"/>
    <w:link w:val="Char1"/>
    <w:uiPriority w:val="99"/>
    <w:semiHidden/>
    <w:unhideWhenUsed/>
    <w:rsid w:val="00F66CC7"/>
    <w:rPr>
      <w:sz w:val="18"/>
      <w:szCs w:val="18"/>
    </w:rPr>
  </w:style>
  <w:style w:type="character" w:customStyle="1" w:styleId="Char1">
    <w:name w:val="批注框文本 Char"/>
    <w:basedOn w:val="a0"/>
    <w:link w:val="a7"/>
    <w:uiPriority w:val="99"/>
    <w:semiHidden/>
    <w:rsid w:val="00F66CC7"/>
    <w:rPr>
      <w:rFonts w:ascii="宋体" w:eastAsia="宋体" w:hAnsi="宋体" w:cs="宋体"/>
      <w:kern w:val="0"/>
      <w:sz w:val="18"/>
      <w:szCs w:val="18"/>
      <w:lang w:val="zh-CN" w:bidi="zh-CN"/>
    </w:rPr>
  </w:style>
  <w:style w:type="paragraph" w:styleId="a8">
    <w:name w:val="header"/>
    <w:basedOn w:val="a"/>
    <w:link w:val="Char2"/>
    <w:uiPriority w:val="99"/>
    <w:unhideWhenUsed/>
    <w:rsid w:val="009C344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9C344B"/>
    <w:rPr>
      <w:rFonts w:ascii="宋体" w:eastAsia="宋体" w:hAnsi="宋体" w:cs="宋体"/>
      <w:kern w:val="0"/>
      <w:sz w:val="18"/>
      <w:szCs w:val="18"/>
      <w:lang w:val="zh-CN" w:bidi="zh-CN"/>
    </w:rPr>
  </w:style>
  <w:style w:type="paragraph" w:styleId="a9">
    <w:name w:val="footer"/>
    <w:basedOn w:val="a"/>
    <w:link w:val="Char3"/>
    <w:uiPriority w:val="99"/>
    <w:unhideWhenUsed/>
    <w:rsid w:val="009C344B"/>
    <w:pPr>
      <w:tabs>
        <w:tab w:val="center" w:pos="4153"/>
        <w:tab w:val="right" w:pos="8306"/>
      </w:tabs>
      <w:snapToGrid w:val="0"/>
    </w:pPr>
    <w:rPr>
      <w:sz w:val="18"/>
      <w:szCs w:val="18"/>
    </w:rPr>
  </w:style>
  <w:style w:type="character" w:customStyle="1" w:styleId="Char3">
    <w:name w:val="页脚 Char"/>
    <w:basedOn w:val="a0"/>
    <w:link w:val="a9"/>
    <w:uiPriority w:val="99"/>
    <w:rsid w:val="009C344B"/>
    <w:rPr>
      <w:rFonts w:ascii="宋体" w:eastAsia="宋体" w:hAnsi="宋体" w:cs="宋体"/>
      <w:kern w:val="0"/>
      <w:sz w:val="18"/>
      <w:szCs w:val="18"/>
      <w:lang w:val="zh-CN" w:bidi="zh-CN"/>
    </w:rPr>
  </w:style>
  <w:style w:type="paragraph" w:customStyle="1" w:styleId="biaogeleft">
    <w:name w:val="biaoge_left"/>
    <w:basedOn w:val="a"/>
    <w:rsid w:val="006A55AE"/>
    <w:pPr>
      <w:widowControl/>
      <w:adjustRightInd w:val="0"/>
      <w:spacing w:before="29" w:line="288" w:lineRule="auto"/>
      <w:ind w:left="15"/>
    </w:pPr>
    <w:rPr>
      <w:sz w:val="24"/>
      <w:szCs w:val="24"/>
      <w:lang w:val="en-US" w:bidi="ar-SA"/>
    </w:rPr>
  </w:style>
</w:styles>
</file>

<file path=word/webSettings.xml><?xml version="1.0" encoding="utf-8"?>
<w:webSettings xmlns:r="http://schemas.openxmlformats.org/officeDocument/2006/relationships" xmlns:w="http://schemas.openxmlformats.org/wordprocessingml/2006/main">
  <w:divs>
    <w:div w:id="19867532">
      <w:bodyDiv w:val="1"/>
      <w:marLeft w:val="0"/>
      <w:marRight w:val="0"/>
      <w:marTop w:val="0"/>
      <w:marBottom w:val="0"/>
      <w:divBdr>
        <w:top w:val="none" w:sz="0" w:space="0" w:color="auto"/>
        <w:left w:val="none" w:sz="0" w:space="0" w:color="auto"/>
        <w:bottom w:val="none" w:sz="0" w:space="0" w:color="auto"/>
        <w:right w:val="none" w:sz="0" w:space="0" w:color="auto"/>
      </w:divBdr>
    </w:div>
    <w:div w:id="106630959">
      <w:bodyDiv w:val="1"/>
      <w:marLeft w:val="0"/>
      <w:marRight w:val="0"/>
      <w:marTop w:val="0"/>
      <w:marBottom w:val="0"/>
      <w:divBdr>
        <w:top w:val="none" w:sz="0" w:space="0" w:color="auto"/>
        <w:left w:val="none" w:sz="0" w:space="0" w:color="auto"/>
        <w:bottom w:val="none" w:sz="0" w:space="0" w:color="auto"/>
        <w:right w:val="none" w:sz="0" w:space="0" w:color="auto"/>
      </w:divBdr>
    </w:div>
    <w:div w:id="266888665">
      <w:bodyDiv w:val="1"/>
      <w:marLeft w:val="0"/>
      <w:marRight w:val="0"/>
      <w:marTop w:val="0"/>
      <w:marBottom w:val="0"/>
      <w:divBdr>
        <w:top w:val="none" w:sz="0" w:space="0" w:color="auto"/>
        <w:left w:val="none" w:sz="0" w:space="0" w:color="auto"/>
        <w:bottom w:val="none" w:sz="0" w:space="0" w:color="auto"/>
        <w:right w:val="none" w:sz="0" w:space="0" w:color="auto"/>
      </w:divBdr>
    </w:div>
    <w:div w:id="274094346">
      <w:bodyDiv w:val="1"/>
      <w:marLeft w:val="0"/>
      <w:marRight w:val="0"/>
      <w:marTop w:val="0"/>
      <w:marBottom w:val="0"/>
      <w:divBdr>
        <w:top w:val="none" w:sz="0" w:space="0" w:color="auto"/>
        <w:left w:val="none" w:sz="0" w:space="0" w:color="auto"/>
        <w:bottom w:val="none" w:sz="0" w:space="0" w:color="auto"/>
        <w:right w:val="none" w:sz="0" w:space="0" w:color="auto"/>
      </w:divBdr>
    </w:div>
    <w:div w:id="314141194">
      <w:bodyDiv w:val="1"/>
      <w:marLeft w:val="0"/>
      <w:marRight w:val="0"/>
      <w:marTop w:val="0"/>
      <w:marBottom w:val="0"/>
      <w:divBdr>
        <w:top w:val="none" w:sz="0" w:space="0" w:color="auto"/>
        <w:left w:val="none" w:sz="0" w:space="0" w:color="auto"/>
        <w:bottom w:val="none" w:sz="0" w:space="0" w:color="auto"/>
        <w:right w:val="none" w:sz="0" w:space="0" w:color="auto"/>
      </w:divBdr>
    </w:div>
    <w:div w:id="365954648">
      <w:bodyDiv w:val="1"/>
      <w:marLeft w:val="0"/>
      <w:marRight w:val="0"/>
      <w:marTop w:val="0"/>
      <w:marBottom w:val="0"/>
      <w:divBdr>
        <w:top w:val="none" w:sz="0" w:space="0" w:color="auto"/>
        <w:left w:val="none" w:sz="0" w:space="0" w:color="auto"/>
        <w:bottom w:val="none" w:sz="0" w:space="0" w:color="auto"/>
        <w:right w:val="none" w:sz="0" w:space="0" w:color="auto"/>
      </w:divBdr>
    </w:div>
    <w:div w:id="604270338">
      <w:bodyDiv w:val="1"/>
      <w:marLeft w:val="0"/>
      <w:marRight w:val="0"/>
      <w:marTop w:val="0"/>
      <w:marBottom w:val="0"/>
      <w:divBdr>
        <w:top w:val="none" w:sz="0" w:space="0" w:color="auto"/>
        <w:left w:val="none" w:sz="0" w:space="0" w:color="auto"/>
        <w:bottom w:val="none" w:sz="0" w:space="0" w:color="auto"/>
        <w:right w:val="none" w:sz="0" w:space="0" w:color="auto"/>
      </w:divBdr>
    </w:div>
    <w:div w:id="623777283">
      <w:bodyDiv w:val="1"/>
      <w:marLeft w:val="0"/>
      <w:marRight w:val="0"/>
      <w:marTop w:val="0"/>
      <w:marBottom w:val="0"/>
      <w:divBdr>
        <w:top w:val="none" w:sz="0" w:space="0" w:color="auto"/>
        <w:left w:val="none" w:sz="0" w:space="0" w:color="auto"/>
        <w:bottom w:val="none" w:sz="0" w:space="0" w:color="auto"/>
        <w:right w:val="none" w:sz="0" w:space="0" w:color="auto"/>
      </w:divBdr>
    </w:div>
    <w:div w:id="696279231">
      <w:bodyDiv w:val="1"/>
      <w:marLeft w:val="0"/>
      <w:marRight w:val="0"/>
      <w:marTop w:val="0"/>
      <w:marBottom w:val="0"/>
      <w:divBdr>
        <w:top w:val="none" w:sz="0" w:space="0" w:color="auto"/>
        <w:left w:val="none" w:sz="0" w:space="0" w:color="auto"/>
        <w:bottom w:val="none" w:sz="0" w:space="0" w:color="auto"/>
        <w:right w:val="none" w:sz="0" w:space="0" w:color="auto"/>
      </w:divBdr>
    </w:div>
    <w:div w:id="736441834">
      <w:bodyDiv w:val="1"/>
      <w:marLeft w:val="0"/>
      <w:marRight w:val="0"/>
      <w:marTop w:val="0"/>
      <w:marBottom w:val="0"/>
      <w:divBdr>
        <w:top w:val="none" w:sz="0" w:space="0" w:color="auto"/>
        <w:left w:val="none" w:sz="0" w:space="0" w:color="auto"/>
        <w:bottom w:val="none" w:sz="0" w:space="0" w:color="auto"/>
        <w:right w:val="none" w:sz="0" w:space="0" w:color="auto"/>
      </w:divBdr>
    </w:div>
    <w:div w:id="753473518">
      <w:bodyDiv w:val="1"/>
      <w:marLeft w:val="0"/>
      <w:marRight w:val="0"/>
      <w:marTop w:val="0"/>
      <w:marBottom w:val="0"/>
      <w:divBdr>
        <w:top w:val="none" w:sz="0" w:space="0" w:color="auto"/>
        <w:left w:val="none" w:sz="0" w:space="0" w:color="auto"/>
        <w:bottom w:val="none" w:sz="0" w:space="0" w:color="auto"/>
        <w:right w:val="none" w:sz="0" w:space="0" w:color="auto"/>
      </w:divBdr>
    </w:div>
    <w:div w:id="759908419">
      <w:bodyDiv w:val="1"/>
      <w:marLeft w:val="0"/>
      <w:marRight w:val="0"/>
      <w:marTop w:val="0"/>
      <w:marBottom w:val="0"/>
      <w:divBdr>
        <w:top w:val="none" w:sz="0" w:space="0" w:color="auto"/>
        <w:left w:val="none" w:sz="0" w:space="0" w:color="auto"/>
        <w:bottom w:val="none" w:sz="0" w:space="0" w:color="auto"/>
        <w:right w:val="none" w:sz="0" w:space="0" w:color="auto"/>
      </w:divBdr>
    </w:div>
    <w:div w:id="1155221964">
      <w:bodyDiv w:val="1"/>
      <w:marLeft w:val="0"/>
      <w:marRight w:val="0"/>
      <w:marTop w:val="0"/>
      <w:marBottom w:val="0"/>
      <w:divBdr>
        <w:top w:val="none" w:sz="0" w:space="0" w:color="auto"/>
        <w:left w:val="none" w:sz="0" w:space="0" w:color="auto"/>
        <w:bottom w:val="none" w:sz="0" w:space="0" w:color="auto"/>
        <w:right w:val="none" w:sz="0" w:space="0" w:color="auto"/>
      </w:divBdr>
    </w:div>
    <w:div w:id="1720320029">
      <w:bodyDiv w:val="1"/>
      <w:marLeft w:val="0"/>
      <w:marRight w:val="0"/>
      <w:marTop w:val="0"/>
      <w:marBottom w:val="0"/>
      <w:divBdr>
        <w:top w:val="none" w:sz="0" w:space="0" w:color="auto"/>
        <w:left w:val="none" w:sz="0" w:space="0" w:color="auto"/>
        <w:bottom w:val="none" w:sz="0" w:space="0" w:color="auto"/>
        <w:right w:val="none" w:sz="0" w:space="0" w:color="auto"/>
      </w:divBdr>
    </w:div>
    <w:div w:id="1837071175">
      <w:bodyDiv w:val="1"/>
      <w:marLeft w:val="0"/>
      <w:marRight w:val="0"/>
      <w:marTop w:val="0"/>
      <w:marBottom w:val="0"/>
      <w:divBdr>
        <w:top w:val="none" w:sz="0" w:space="0" w:color="auto"/>
        <w:left w:val="none" w:sz="0" w:space="0" w:color="auto"/>
        <w:bottom w:val="none" w:sz="0" w:space="0" w:color="auto"/>
        <w:right w:val="none" w:sz="0" w:space="0" w:color="auto"/>
      </w:divBdr>
    </w:div>
    <w:div w:id="1843274761">
      <w:bodyDiv w:val="1"/>
      <w:marLeft w:val="0"/>
      <w:marRight w:val="0"/>
      <w:marTop w:val="0"/>
      <w:marBottom w:val="0"/>
      <w:divBdr>
        <w:top w:val="none" w:sz="0" w:space="0" w:color="auto"/>
        <w:left w:val="none" w:sz="0" w:space="0" w:color="auto"/>
        <w:bottom w:val="none" w:sz="0" w:space="0" w:color="auto"/>
        <w:right w:val="none" w:sz="0" w:space="0" w:color="auto"/>
      </w:divBdr>
    </w:div>
    <w:div w:id="1852640024">
      <w:bodyDiv w:val="1"/>
      <w:marLeft w:val="0"/>
      <w:marRight w:val="0"/>
      <w:marTop w:val="0"/>
      <w:marBottom w:val="0"/>
      <w:divBdr>
        <w:top w:val="none" w:sz="0" w:space="0" w:color="auto"/>
        <w:left w:val="none" w:sz="0" w:space="0" w:color="auto"/>
        <w:bottom w:val="none" w:sz="0" w:space="0" w:color="auto"/>
        <w:right w:val="none" w:sz="0" w:space="0" w:color="auto"/>
      </w:divBdr>
    </w:div>
    <w:div w:id="1921524149">
      <w:bodyDiv w:val="1"/>
      <w:marLeft w:val="0"/>
      <w:marRight w:val="0"/>
      <w:marTop w:val="0"/>
      <w:marBottom w:val="0"/>
      <w:divBdr>
        <w:top w:val="none" w:sz="0" w:space="0" w:color="auto"/>
        <w:left w:val="none" w:sz="0" w:space="0" w:color="auto"/>
        <w:bottom w:val="none" w:sz="0" w:space="0" w:color="auto"/>
        <w:right w:val="none" w:sz="0" w:space="0" w:color="auto"/>
      </w:divBdr>
    </w:div>
    <w:div w:id="205661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B354A-2E0A-4E05-8493-982E4B8BC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679</Words>
  <Characters>3876</Characters>
  <Application>Microsoft Office Word</Application>
  <DocSecurity>4</DocSecurity>
  <Lines>32</Lines>
  <Paragraphs>9</Paragraphs>
  <ScaleCrop>false</ScaleCrop>
  <Company/>
  <LinksUpToDate>false</LinksUpToDate>
  <CharactersWithSpaces>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胡莹莹</dc:creator>
  <cp:keywords/>
  <dc:description/>
  <cp:lastModifiedBy>ZHONGM</cp:lastModifiedBy>
  <cp:revision>2</cp:revision>
  <cp:lastPrinted>2022-01-25T08:37:00Z</cp:lastPrinted>
  <dcterms:created xsi:type="dcterms:W3CDTF">2024-01-30T16:03:00Z</dcterms:created>
  <dcterms:modified xsi:type="dcterms:W3CDTF">2024-01-30T16:03:00Z</dcterms:modified>
</cp:coreProperties>
</file>