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E8" w:rsidRPr="007466D1" w:rsidRDefault="006B14E8" w:rsidP="007466D1">
      <w:pPr>
        <w:widowControl/>
        <w:shd w:val="clear" w:color="auto" w:fill="FFFFFF"/>
        <w:spacing w:line="360" w:lineRule="auto"/>
        <w:jc w:val="center"/>
        <w:outlineLvl w:val="0"/>
        <w:rPr>
          <w:rFonts w:ascii="宋体" w:eastAsia="宋体" w:hAnsi="宋体" w:cs="Times New Roman"/>
          <w:b/>
          <w:kern w:val="0"/>
          <w:sz w:val="28"/>
          <w:szCs w:val="28"/>
        </w:rPr>
      </w:pPr>
      <w:bookmarkStart w:id="0" w:name="_GoBack"/>
      <w:r>
        <w:rPr>
          <w:rFonts w:ascii="宋体" w:eastAsia="宋体" w:hAnsi="宋体" w:cs="Times New Roman"/>
          <w:b/>
          <w:kern w:val="0"/>
          <w:sz w:val="28"/>
          <w:szCs w:val="28"/>
        </w:rPr>
        <w:t>融通基金管理有限公司</w:t>
      </w:r>
      <w:r w:rsidRPr="006B14E8">
        <w:rPr>
          <w:rFonts w:ascii="宋体" w:eastAsia="宋体" w:hAnsi="宋体" w:cs="Times New Roman"/>
          <w:b/>
          <w:kern w:val="0"/>
          <w:sz w:val="28"/>
          <w:szCs w:val="28"/>
        </w:rPr>
        <w:t>关于旗下部分基金</w:t>
      </w:r>
      <w:r w:rsidR="007466D1">
        <w:rPr>
          <w:rFonts w:ascii="宋体" w:eastAsia="宋体" w:hAnsi="宋体" w:cs="Times New Roman"/>
          <w:b/>
          <w:kern w:val="0"/>
          <w:sz w:val="28"/>
          <w:szCs w:val="28"/>
        </w:rPr>
        <w:t>新增</w:t>
      </w:r>
      <w:r w:rsidRPr="006B14E8">
        <w:rPr>
          <w:rFonts w:ascii="宋体" w:eastAsia="宋体" w:hAnsi="宋体" w:cs="Times New Roman"/>
          <w:b/>
          <w:kern w:val="0"/>
          <w:sz w:val="28"/>
          <w:szCs w:val="28"/>
        </w:rPr>
        <w:t>华夏银行“华夏e家”平台为</w:t>
      </w:r>
      <w:r w:rsidR="007466D1">
        <w:rPr>
          <w:rFonts w:ascii="宋体" w:eastAsia="宋体" w:hAnsi="宋体" w:cs="Times New Roman"/>
          <w:b/>
          <w:kern w:val="0"/>
          <w:sz w:val="28"/>
          <w:szCs w:val="28"/>
        </w:rPr>
        <w:t>销售平台</w:t>
      </w:r>
      <w:r w:rsidRPr="006B14E8">
        <w:rPr>
          <w:rFonts w:ascii="宋体" w:eastAsia="宋体" w:hAnsi="宋体" w:cs="Times New Roman"/>
          <w:b/>
          <w:kern w:val="0"/>
          <w:sz w:val="28"/>
          <w:szCs w:val="28"/>
        </w:rPr>
        <w:t>并参加其费率优惠活动的公告</w:t>
      </w:r>
    </w:p>
    <w:bookmarkEnd w:id="0"/>
    <w:p w:rsidR="00BE04DC" w:rsidRPr="007466D1" w:rsidRDefault="00BE04DC" w:rsidP="007466D1">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7466D1" w:rsidRPr="007466D1" w:rsidRDefault="00BE04DC" w:rsidP="007466D1">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根据融通基金管理有限公司（以下简称：本公司）与</w:t>
      </w:r>
      <w:r w:rsidRPr="006B14E8">
        <w:rPr>
          <w:rFonts w:ascii="宋体" w:eastAsia="宋体" w:hAnsi="宋体" w:cs="宋体"/>
          <w:color w:val="1A1A1A"/>
          <w:kern w:val="36"/>
          <w:sz w:val="24"/>
          <w:szCs w:val="24"/>
        </w:rPr>
        <w:t>华夏银行股份有限公司</w:t>
      </w:r>
      <w:r>
        <w:rPr>
          <w:rFonts w:ascii="宋体" w:eastAsia="宋体" w:hAnsi="宋体" w:cs="宋体" w:hint="eastAsia"/>
          <w:color w:val="1A1A1A"/>
          <w:kern w:val="36"/>
          <w:sz w:val="24"/>
          <w:szCs w:val="24"/>
        </w:rPr>
        <w:t>（以下简称“华夏银行”）签署的</w:t>
      </w:r>
      <w:r w:rsidRPr="007466D1">
        <w:rPr>
          <w:rFonts w:ascii="宋体" w:eastAsia="宋体" w:hAnsi="宋体" w:cs="宋体" w:hint="eastAsia"/>
          <w:color w:val="1A1A1A"/>
          <w:kern w:val="36"/>
          <w:sz w:val="24"/>
          <w:szCs w:val="24"/>
        </w:rPr>
        <w:t>销售服务协议</w:t>
      </w:r>
      <w:r w:rsidR="007466D1">
        <w:rPr>
          <w:rFonts w:ascii="宋体" w:eastAsia="宋体" w:hAnsi="宋体" w:cs="宋体" w:hint="eastAsia"/>
          <w:color w:val="1A1A1A"/>
          <w:kern w:val="36"/>
          <w:sz w:val="24"/>
          <w:szCs w:val="24"/>
        </w:rPr>
        <w:t>，</w:t>
      </w:r>
      <w:r w:rsidRPr="007466D1">
        <w:rPr>
          <w:rFonts w:ascii="宋体" w:eastAsia="宋体" w:hAnsi="宋体" w:cs="宋体" w:hint="eastAsia"/>
          <w:color w:val="1A1A1A"/>
          <w:kern w:val="36"/>
          <w:sz w:val="24"/>
          <w:szCs w:val="24"/>
        </w:rPr>
        <w:t>经</w:t>
      </w:r>
      <w:r w:rsidR="007466D1">
        <w:rPr>
          <w:rFonts w:ascii="宋体" w:eastAsia="宋体" w:hAnsi="宋体" w:cs="宋体" w:hint="eastAsia"/>
          <w:color w:val="1A1A1A"/>
          <w:kern w:val="36"/>
          <w:sz w:val="24"/>
          <w:szCs w:val="24"/>
        </w:rPr>
        <w:t>双方</w:t>
      </w:r>
      <w:r w:rsidRPr="006B14E8">
        <w:rPr>
          <w:rFonts w:ascii="宋体" w:eastAsia="宋体" w:hAnsi="宋体" w:cs="宋体"/>
          <w:color w:val="1A1A1A"/>
          <w:kern w:val="36"/>
          <w:sz w:val="24"/>
          <w:szCs w:val="24"/>
        </w:rPr>
        <w:t>协商</w:t>
      </w:r>
      <w:r w:rsidR="007466D1">
        <w:rPr>
          <w:rFonts w:ascii="宋体" w:eastAsia="宋体" w:hAnsi="宋体" w:cs="宋体" w:hint="eastAsia"/>
          <w:color w:val="1A1A1A"/>
          <w:kern w:val="36"/>
          <w:sz w:val="24"/>
          <w:szCs w:val="24"/>
        </w:rPr>
        <w:t>一致</w:t>
      </w:r>
      <w:r w:rsidRPr="007466D1">
        <w:rPr>
          <w:rFonts w:ascii="宋体" w:eastAsia="宋体" w:hAnsi="宋体" w:cs="宋体" w:hint="eastAsia"/>
          <w:color w:val="1A1A1A"/>
          <w:kern w:val="36"/>
          <w:sz w:val="24"/>
          <w:szCs w:val="24"/>
        </w:rPr>
        <w:t>，</w:t>
      </w:r>
      <w:r w:rsidRPr="006B14E8">
        <w:rPr>
          <w:rFonts w:ascii="宋体" w:eastAsia="宋体" w:hAnsi="宋体" w:cs="宋体"/>
          <w:color w:val="1A1A1A"/>
          <w:kern w:val="36"/>
          <w:sz w:val="24"/>
          <w:szCs w:val="24"/>
        </w:rPr>
        <w:t>本公司旗下部分基金</w:t>
      </w:r>
      <w:r w:rsidR="007466D1">
        <w:rPr>
          <w:rFonts w:ascii="宋体" w:eastAsia="宋体" w:hAnsi="宋体" w:cs="宋体" w:hint="eastAsia"/>
          <w:color w:val="1A1A1A"/>
          <w:kern w:val="36"/>
          <w:sz w:val="24"/>
          <w:szCs w:val="24"/>
        </w:rPr>
        <w:t>自2</w:t>
      </w:r>
      <w:r w:rsidR="007466D1">
        <w:rPr>
          <w:rFonts w:ascii="宋体" w:eastAsia="宋体" w:hAnsi="宋体" w:cs="宋体"/>
          <w:color w:val="1A1A1A"/>
          <w:kern w:val="36"/>
          <w:sz w:val="24"/>
          <w:szCs w:val="24"/>
        </w:rPr>
        <w:t>024</w:t>
      </w:r>
      <w:r w:rsidR="007466D1">
        <w:rPr>
          <w:rFonts w:ascii="宋体" w:eastAsia="宋体" w:hAnsi="宋体" w:cs="宋体" w:hint="eastAsia"/>
          <w:color w:val="1A1A1A"/>
          <w:kern w:val="36"/>
          <w:sz w:val="24"/>
          <w:szCs w:val="24"/>
        </w:rPr>
        <w:t>年1月</w:t>
      </w:r>
      <w:r w:rsidR="007466D1">
        <w:rPr>
          <w:rFonts w:ascii="宋体" w:eastAsia="宋体" w:hAnsi="宋体" w:cs="宋体"/>
          <w:color w:val="1A1A1A"/>
          <w:kern w:val="36"/>
          <w:sz w:val="24"/>
          <w:szCs w:val="24"/>
        </w:rPr>
        <w:t>31</w:t>
      </w:r>
      <w:r w:rsidR="007466D1">
        <w:rPr>
          <w:rFonts w:ascii="宋体" w:eastAsia="宋体" w:hAnsi="宋体" w:cs="宋体" w:hint="eastAsia"/>
          <w:color w:val="1A1A1A"/>
          <w:kern w:val="36"/>
          <w:sz w:val="24"/>
          <w:szCs w:val="24"/>
        </w:rPr>
        <w:t>日起</w:t>
      </w:r>
      <w:r w:rsidR="007466D1">
        <w:rPr>
          <w:rFonts w:ascii="宋体" w:eastAsia="宋体" w:hAnsi="宋体" w:cs="宋体"/>
          <w:color w:val="1A1A1A"/>
          <w:kern w:val="36"/>
          <w:sz w:val="24"/>
          <w:szCs w:val="24"/>
        </w:rPr>
        <w:t>新增</w:t>
      </w:r>
      <w:r w:rsidRPr="006B14E8">
        <w:rPr>
          <w:rFonts w:ascii="宋体" w:eastAsia="宋体" w:hAnsi="宋体" w:cs="宋体"/>
          <w:color w:val="1A1A1A"/>
          <w:kern w:val="36"/>
          <w:sz w:val="24"/>
          <w:szCs w:val="24"/>
        </w:rPr>
        <w:t>华夏银行“华夏e家”平台</w:t>
      </w:r>
      <w:r w:rsidR="007466D1">
        <w:rPr>
          <w:rFonts w:ascii="宋体" w:eastAsia="宋体" w:hAnsi="宋体" w:cs="宋体" w:hint="eastAsia"/>
          <w:color w:val="1A1A1A"/>
          <w:kern w:val="36"/>
          <w:sz w:val="24"/>
          <w:szCs w:val="24"/>
        </w:rPr>
        <w:t>办理销售业务并开通转换业务</w:t>
      </w:r>
      <w:r w:rsidR="007466D1" w:rsidRPr="002B4F44">
        <w:rPr>
          <w:rFonts w:ascii="宋体" w:eastAsia="宋体" w:hAnsi="宋体" w:cs="宋体" w:hint="eastAsia"/>
          <w:color w:val="1A1A1A"/>
          <w:kern w:val="36"/>
          <w:sz w:val="24"/>
          <w:szCs w:val="24"/>
        </w:rPr>
        <w:t>及参加费率优惠活动</w:t>
      </w:r>
      <w:r w:rsidR="007466D1">
        <w:rPr>
          <w:rFonts w:ascii="宋体" w:eastAsia="宋体" w:hAnsi="宋体" w:cs="宋体" w:hint="eastAsia"/>
          <w:color w:val="1A1A1A"/>
          <w:kern w:val="36"/>
          <w:sz w:val="24"/>
          <w:szCs w:val="24"/>
        </w:rPr>
        <w:t>。</w:t>
      </w:r>
      <w:r w:rsidR="007466D1" w:rsidRPr="006B14E8">
        <w:rPr>
          <w:rFonts w:ascii="宋体" w:eastAsia="宋体" w:hAnsi="宋体" w:cs="宋体"/>
          <w:color w:val="1A1A1A"/>
          <w:kern w:val="36"/>
          <w:sz w:val="24"/>
          <w:szCs w:val="24"/>
        </w:rPr>
        <w:t>具体事项公告如下：</w:t>
      </w:r>
    </w:p>
    <w:p w:rsidR="007466D1" w:rsidRPr="007466D1" w:rsidRDefault="007466D1" w:rsidP="007466D1">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6B14E8" w:rsidRPr="007466D1" w:rsidRDefault="006B14E8" w:rsidP="007466D1">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sidRPr="006B14E8">
        <w:rPr>
          <w:rFonts w:ascii="宋体" w:eastAsia="宋体" w:hAnsi="宋体" w:cs="宋体"/>
          <w:color w:val="1A1A1A"/>
          <w:kern w:val="36"/>
          <w:sz w:val="24"/>
          <w:szCs w:val="24"/>
        </w:rPr>
        <w:t>一、本次</w:t>
      </w:r>
      <w:r w:rsidR="007466D1">
        <w:rPr>
          <w:rFonts w:ascii="宋体" w:eastAsia="宋体" w:hAnsi="宋体" w:cs="宋体"/>
          <w:color w:val="1A1A1A"/>
          <w:kern w:val="36"/>
          <w:sz w:val="24"/>
          <w:szCs w:val="24"/>
        </w:rPr>
        <w:t>新增</w:t>
      </w:r>
      <w:r w:rsidRPr="006B14E8">
        <w:rPr>
          <w:rFonts w:ascii="宋体" w:eastAsia="宋体" w:hAnsi="宋体" w:cs="宋体"/>
          <w:color w:val="1A1A1A"/>
          <w:kern w:val="36"/>
          <w:sz w:val="24"/>
          <w:szCs w:val="24"/>
        </w:rPr>
        <w:t>华夏银行“华夏e家”平台为</w:t>
      </w:r>
      <w:r w:rsidR="007466D1">
        <w:rPr>
          <w:rFonts w:ascii="宋体" w:eastAsia="宋体" w:hAnsi="宋体" w:cs="宋体"/>
          <w:color w:val="1A1A1A"/>
          <w:kern w:val="36"/>
          <w:sz w:val="24"/>
          <w:szCs w:val="24"/>
        </w:rPr>
        <w:t>销售平台</w:t>
      </w:r>
      <w:r w:rsidRPr="006B14E8">
        <w:rPr>
          <w:rFonts w:ascii="宋体" w:eastAsia="宋体" w:hAnsi="宋体" w:cs="宋体"/>
          <w:color w:val="1A1A1A"/>
          <w:kern w:val="36"/>
          <w:sz w:val="24"/>
          <w:szCs w:val="24"/>
        </w:rPr>
        <w:t>的基金列表</w:t>
      </w:r>
    </w:p>
    <w:tbl>
      <w:tblPr>
        <w:tblStyle w:val="a4"/>
        <w:tblW w:w="0" w:type="auto"/>
        <w:tblLook w:val="04A0"/>
      </w:tblPr>
      <w:tblGrid>
        <w:gridCol w:w="3964"/>
        <w:gridCol w:w="4332"/>
      </w:tblGrid>
      <w:tr w:rsidR="009507A6" w:rsidRPr="007466D1" w:rsidTr="007466D1">
        <w:tc>
          <w:tcPr>
            <w:tcW w:w="3964" w:type="dxa"/>
          </w:tcPr>
          <w:p w:rsidR="009507A6" w:rsidRPr="007466D1" w:rsidRDefault="009507A6" w:rsidP="007466D1">
            <w:pPr>
              <w:widowControl/>
              <w:shd w:val="clear" w:color="auto" w:fill="FFFFFF"/>
              <w:spacing w:line="360" w:lineRule="auto"/>
              <w:ind w:firstLine="562"/>
              <w:jc w:val="left"/>
              <w:outlineLvl w:val="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基金名称</w:t>
            </w:r>
          </w:p>
        </w:tc>
        <w:tc>
          <w:tcPr>
            <w:tcW w:w="4332" w:type="dxa"/>
          </w:tcPr>
          <w:p w:rsidR="009507A6" w:rsidRPr="007466D1" w:rsidRDefault="009507A6" w:rsidP="007466D1">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基金代码</w:t>
            </w:r>
          </w:p>
        </w:tc>
      </w:tr>
      <w:tr w:rsidR="009507A6" w:rsidRPr="007466D1" w:rsidTr="007466D1">
        <w:tc>
          <w:tcPr>
            <w:tcW w:w="3964"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color w:val="1A1A1A"/>
                <w:kern w:val="36"/>
                <w:sz w:val="24"/>
                <w:szCs w:val="24"/>
              </w:rPr>
              <w:t>融通现金宝货币市场基金</w:t>
            </w:r>
          </w:p>
        </w:tc>
        <w:tc>
          <w:tcPr>
            <w:tcW w:w="4332"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color w:val="1A1A1A"/>
                <w:kern w:val="36"/>
                <w:sz w:val="24"/>
                <w:szCs w:val="24"/>
              </w:rPr>
              <w:t>004398(B</w:t>
            </w:r>
            <w:r w:rsidRPr="007466D1">
              <w:rPr>
                <w:rFonts w:ascii="宋体" w:eastAsia="宋体" w:hAnsi="宋体" w:cs="宋体" w:hint="eastAsia"/>
                <w:color w:val="1A1A1A"/>
                <w:kern w:val="36"/>
                <w:sz w:val="24"/>
                <w:szCs w:val="24"/>
              </w:rPr>
              <w:t>类)</w:t>
            </w:r>
          </w:p>
        </w:tc>
      </w:tr>
      <w:tr w:rsidR="009507A6" w:rsidRPr="007466D1" w:rsidTr="007466D1">
        <w:tc>
          <w:tcPr>
            <w:tcW w:w="3964"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color w:val="1A1A1A"/>
                <w:kern w:val="36"/>
                <w:sz w:val="24"/>
                <w:szCs w:val="24"/>
              </w:rPr>
              <w:t>融通通宸债券型证券投资基金</w:t>
            </w:r>
          </w:p>
        </w:tc>
        <w:tc>
          <w:tcPr>
            <w:tcW w:w="4332"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color w:val="1A1A1A"/>
                <w:kern w:val="36"/>
                <w:sz w:val="24"/>
                <w:szCs w:val="24"/>
              </w:rPr>
              <w:t>003728(A</w:t>
            </w:r>
            <w:r w:rsidRPr="007466D1">
              <w:rPr>
                <w:rFonts w:ascii="宋体" w:eastAsia="宋体" w:hAnsi="宋体" w:cs="宋体" w:hint="eastAsia"/>
                <w:color w:val="1A1A1A"/>
                <w:kern w:val="36"/>
                <w:sz w:val="24"/>
                <w:szCs w:val="24"/>
              </w:rPr>
              <w:t>类)</w:t>
            </w:r>
            <w:r w:rsidR="00C95767">
              <w:rPr>
                <w:rFonts w:ascii="宋体" w:eastAsia="宋体" w:hAnsi="宋体" w:cs="宋体" w:hint="eastAsia"/>
                <w:color w:val="1A1A1A"/>
                <w:kern w:val="36"/>
                <w:sz w:val="24"/>
                <w:szCs w:val="24"/>
              </w:rPr>
              <w:t>、</w:t>
            </w:r>
            <w:r w:rsidR="00C95767" w:rsidRPr="00F83232">
              <w:rPr>
                <w:rFonts w:ascii="宋体" w:eastAsia="宋体" w:hAnsi="宋体" w:cs="宋体" w:hint="eastAsia"/>
                <w:color w:val="1A1A1A"/>
                <w:kern w:val="36"/>
                <w:sz w:val="24"/>
                <w:szCs w:val="24"/>
              </w:rPr>
              <w:t>020590(C类)</w:t>
            </w:r>
          </w:p>
        </w:tc>
      </w:tr>
      <w:tr w:rsidR="009507A6" w:rsidRPr="007466D1" w:rsidTr="007466D1">
        <w:tc>
          <w:tcPr>
            <w:tcW w:w="3964"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color w:val="1A1A1A"/>
                <w:kern w:val="36"/>
                <w:sz w:val="24"/>
                <w:szCs w:val="24"/>
              </w:rPr>
              <w:t>融通汇财宝货币市场基金</w:t>
            </w:r>
          </w:p>
        </w:tc>
        <w:tc>
          <w:tcPr>
            <w:tcW w:w="4332"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1</w:t>
            </w:r>
            <w:r w:rsidRPr="007466D1">
              <w:rPr>
                <w:rFonts w:ascii="宋体" w:eastAsia="宋体" w:hAnsi="宋体" w:cs="宋体"/>
                <w:color w:val="1A1A1A"/>
                <w:kern w:val="36"/>
                <w:sz w:val="24"/>
                <w:szCs w:val="24"/>
              </w:rPr>
              <w:t>61622</w:t>
            </w:r>
            <w:r w:rsidRPr="007466D1">
              <w:rPr>
                <w:rFonts w:ascii="宋体" w:eastAsia="宋体" w:hAnsi="宋体" w:cs="宋体" w:hint="eastAsia"/>
                <w:color w:val="1A1A1A"/>
                <w:kern w:val="36"/>
                <w:sz w:val="24"/>
                <w:szCs w:val="24"/>
              </w:rPr>
              <w:t>（A类）、1</w:t>
            </w:r>
            <w:r w:rsidRPr="007466D1">
              <w:rPr>
                <w:rFonts w:ascii="宋体" w:eastAsia="宋体" w:hAnsi="宋体" w:cs="宋体"/>
                <w:color w:val="1A1A1A"/>
                <w:kern w:val="36"/>
                <w:sz w:val="24"/>
                <w:szCs w:val="24"/>
              </w:rPr>
              <w:t>61623</w:t>
            </w:r>
            <w:r w:rsidRPr="007466D1">
              <w:rPr>
                <w:rFonts w:ascii="宋体" w:eastAsia="宋体" w:hAnsi="宋体" w:cs="宋体" w:hint="eastAsia"/>
                <w:color w:val="1A1A1A"/>
                <w:kern w:val="36"/>
                <w:sz w:val="24"/>
                <w:szCs w:val="24"/>
              </w:rPr>
              <w:t>（C类）</w:t>
            </w:r>
          </w:p>
        </w:tc>
      </w:tr>
      <w:tr w:rsidR="009507A6" w:rsidRPr="007466D1" w:rsidTr="007466D1">
        <w:tc>
          <w:tcPr>
            <w:tcW w:w="3964"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color w:val="1A1A1A"/>
                <w:kern w:val="36"/>
                <w:sz w:val="24"/>
                <w:szCs w:val="24"/>
              </w:rPr>
              <w:t>融通增悦债券型证券投资基金</w:t>
            </w:r>
          </w:p>
        </w:tc>
        <w:tc>
          <w:tcPr>
            <w:tcW w:w="4332" w:type="dxa"/>
          </w:tcPr>
          <w:p w:rsidR="009507A6" w:rsidRPr="007466D1" w:rsidRDefault="009507A6" w:rsidP="007466D1">
            <w:pPr>
              <w:widowControl/>
              <w:shd w:val="clear" w:color="auto" w:fill="FFFFFF"/>
              <w:wordWrap w:val="0"/>
              <w:spacing w:line="360" w:lineRule="auto"/>
              <w:jc w:val="left"/>
              <w:outlineLvl w:val="0"/>
              <w:rPr>
                <w:rFonts w:ascii="宋体" w:eastAsia="宋体" w:hAnsi="宋体" w:cs="宋体"/>
                <w:color w:val="1A1A1A"/>
                <w:kern w:val="36"/>
                <w:sz w:val="24"/>
                <w:szCs w:val="24"/>
              </w:rPr>
            </w:pPr>
            <w:r w:rsidRPr="007466D1">
              <w:rPr>
                <w:rFonts w:ascii="宋体" w:eastAsia="宋体" w:hAnsi="宋体" w:cs="宋体"/>
                <w:color w:val="1A1A1A"/>
                <w:kern w:val="36"/>
                <w:sz w:val="24"/>
                <w:szCs w:val="24"/>
              </w:rPr>
              <w:t>006206</w:t>
            </w:r>
          </w:p>
        </w:tc>
      </w:tr>
    </w:tbl>
    <w:p w:rsidR="00C95767" w:rsidRPr="007466D1" w:rsidRDefault="00C95767" w:rsidP="00F83232">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sidRPr="00F83232">
        <w:rPr>
          <w:rFonts w:ascii="宋体" w:eastAsia="宋体" w:hAnsi="宋体" w:cs="宋体" w:hint="eastAsia"/>
          <w:color w:val="1A1A1A"/>
          <w:kern w:val="36"/>
          <w:sz w:val="24"/>
          <w:szCs w:val="24"/>
        </w:rPr>
        <w:t>注：</w:t>
      </w:r>
      <w:r w:rsidRPr="007466D1">
        <w:rPr>
          <w:rFonts w:ascii="宋体" w:eastAsia="宋体" w:hAnsi="宋体" w:cs="宋体"/>
          <w:color w:val="1A1A1A"/>
          <w:kern w:val="36"/>
          <w:sz w:val="24"/>
          <w:szCs w:val="24"/>
        </w:rPr>
        <w:t>融通通宸债券型证券投资基金</w:t>
      </w:r>
      <w:r>
        <w:rPr>
          <w:rFonts w:ascii="宋体" w:eastAsia="宋体" w:hAnsi="宋体" w:cs="宋体" w:hint="eastAsia"/>
          <w:color w:val="1A1A1A"/>
          <w:kern w:val="36"/>
          <w:sz w:val="24"/>
          <w:szCs w:val="24"/>
        </w:rPr>
        <w:t>C类暂未开通转换业务。</w:t>
      </w:r>
    </w:p>
    <w:p w:rsidR="006B14E8" w:rsidRPr="00C95767" w:rsidRDefault="006B14E8" w:rsidP="006B14E8">
      <w:pPr>
        <w:spacing w:line="360" w:lineRule="auto"/>
        <w:ind w:firstLineChars="200" w:firstLine="420"/>
        <w:rPr>
          <w:rFonts w:ascii="宋体" w:eastAsia="宋体" w:hAnsi="宋体" w:cs="Times New Roman"/>
          <w:kern w:val="0"/>
          <w:szCs w:val="21"/>
        </w:rPr>
      </w:pPr>
    </w:p>
    <w:p w:rsidR="00BE04DC" w:rsidRDefault="007466D1" w:rsidP="00BE04DC">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二</w:t>
      </w:r>
      <w:r w:rsidR="00BE04DC">
        <w:rPr>
          <w:rFonts w:ascii="宋体" w:eastAsia="宋体" w:hAnsi="宋体" w:cs="宋体" w:hint="eastAsia"/>
          <w:color w:val="1A1A1A"/>
          <w:kern w:val="36"/>
          <w:sz w:val="24"/>
          <w:szCs w:val="24"/>
        </w:rPr>
        <w:t>、基金开户、申购、赎回、转换等业务</w:t>
      </w:r>
    </w:p>
    <w:p w:rsidR="00BE04DC" w:rsidRDefault="00BE04DC" w:rsidP="00BE04DC">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1、自2024年1月31日起，投资者可通过华夏银行“华夏e家”办理上述基金的开户、申购、赎回、转换等业务，具体业务流程、办理时间和办理方式以华夏银行“华夏e家”的规定为准。</w:t>
      </w:r>
    </w:p>
    <w:p w:rsidR="00BE04DC" w:rsidRPr="007466D1" w:rsidRDefault="00BE04DC" w:rsidP="00BE04DC">
      <w:pPr>
        <w:spacing w:line="360" w:lineRule="auto"/>
        <w:ind w:firstLineChars="200" w:firstLine="480"/>
        <w:rPr>
          <w:rFonts w:ascii="宋体" w:eastAsia="宋体" w:hAnsi="宋体" w:cs="宋体"/>
          <w:color w:val="1A1A1A"/>
          <w:kern w:val="36"/>
          <w:sz w:val="24"/>
          <w:szCs w:val="24"/>
        </w:rPr>
      </w:pPr>
      <w:r>
        <w:rPr>
          <w:rFonts w:ascii="宋体" w:eastAsia="宋体" w:hAnsi="宋体" w:cs="宋体" w:hint="eastAsia"/>
          <w:color w:val="1A1A1A"/>
          <w:kern w:val="36"/>
          <w:sz w:val="24"/>
          <w:szCs w:val="24"/>
        </w:rPr>
        <w:t>2、</w:t>
      </w:r>
      <w:r w:rsidRPr="007466D1">
        <w:rPr>
          <w:rFonts w:ascii="宋体" w:eastAsia="宋体" w:hAnsi="宋体" w:cs="宋体" w:hint="eastAsia"/>
          <w:color w:val="1A1A1A"/>
          <w:kern w:val="36"/>
          <w:sz w:val="24"/>
          <w:szCs w:val="24"/>
        </w:rPr>
        <w:t>投资者通过上述销售机构办理本公司旗下开放式证券投资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融通基金管理有限公司开放式基金业务规则》和基金相关的临时公告及更新的招募说明书。本公司基金转换业务的解释权归本公司。相关业务规则如有变动，请以本公司最新发布的公告为准。</w:t>
      </w:r>
    </w:p>
    <w:p w:rsidR="00BE04DC" w:rsidRPr="007466D1" w:rsidRDefault="00BE04DC" w:rsidP="007466D1">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lastRenderedPageBreak/>
        <w:t>3、投资者欲了解上述基金的详细情况，请仔细阅读基金《基金合同》和《招募说明书》（及其更新）等法律文件。</w:t>
      </w:r>
    </w:p>
    <w:p w:rsidR="00BE04DC" w:rsidRDefault="007466D1" w:rsidP="00BE04DC">
      <w:pPr>
        <w:widowControl/>
        <w:shd w:val="clear" w:color="auto" w:fill="FFFFFF"/>
        <w:wordWrap w:val="0"/>
        <w:spacing w:line="360" w:lineRule="auto"/>
        <w:ind w:firstLineChars="200"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三</w:t>
      </w:r>
      <w:r w:rsidR="00BE04DC">
        <w:rPr>
          <w:rFonts w:ascii="宋体" w:eastAsia="宋体" w:hAnsi="宋体" w:cs="宋体" w:hint="eastAsia"/>
          <w:color w:val="1A1A1A"/>
          <w:kern w:val="36"/>
          <w:sz w:val="24"/>
          <w:szCs w:val="24"/>
        </w:rPr>
        <w:t>、投资者通过华夏银行“华夏e家”指定方式办理上述基金的前端收费模式的申购业务享有优惠，</w:t>
      </w:r>
      <w:r w:rsidR="00BE04DC" w:rsidRPr="0051113D">
        <w:rPr>
          <w:rFonts w:ascii="宋体" w:eastAsia="宋体" w:hAnsi="宋体" w:cs="宋体" w:hint="eastAsia"/>
          <w:color w:val="1A1A1A"/>
          <w:kern w:val="36"/>
          <w:sz w:val="24"/>
          <w:szCs w:val="24"/>
        </w:rPr>
        <w:t>具体折扣费率以</w:t>
      </w:r>
      <w:r w:rsidR="00BE04DC">
        <w:rPr>
          <w:rFonts w:ascii="宋体" w:eastAsia="宋体" w:hAnsi="宋体" w:cs="宋体" w:hint="eastAsia"/>
          <w:color w:val="1A1A1A"/>
          <w:kern w:val="36"/>
          <w:sz w:val="24"/>
          <w:szCs w:val="24"/>
        </w:rPr>
        <w:t>华夏银行“华夏e家”</w:t>
      </w:r>
      <w:r w:rsidR="00BE04DC" w:rsidRPr="0051113D">
        <w:rPr>
          <w:rFonts w:ascii="宋体" w:eastAsia="宋体" w:hAnsi="宋体" w:cs="宋体" w:hint="eastAsia"/>
          <w:color w:val="1A1A1A"/>
          <w:kern w:val="36"/>
          <w:sz w:val="24"/>
          <w:szCs w:val="24"/>
        </w:rPr>
        <w:t>活动公告为准。若</w:t>
      </w:r>
      <w:r w:rsidR="00BE04DC">
        <w:rPr>
          <w:rFonts w:ascii="宋体" w:eastAsia="宋体" w:hAnsi="宋体" w:cs="宋体" w:hint="eastAsia"/>
          <w:color w:val="1A1A1A"/>
          <w:kern w:val="36"/>
          <w:sz w:val="24"/>
          <w:szCs w:val="24"/>
        </w:rPr>
        <w:t>申购费率为固定费用的，则按原费率执行，不再享有费率折扣。</w:t>
      </w:r>
      <w:r w:rsidR="00BE04DC" w:rsidRPr="0051113D">
        <w:rPr>
          <w:rFonts w:ascii="宋体" w:eastAsia="宋体" w:hAnsi="宋体" w:cs="宋体" w:hint="eastAsia"/>
          <w:color w:val="1A1A1A"/>
          <w:kern w:val="36"/>
          <w:sz w:val="24"/>
          <w:szCs w:val="24"/>
        </w:rPr>
        <w:t>上述适用基金的原相关费率参见各基金的相关法律文件及本公司发布的最新相关公告。</w:t>
      </w:r>
    </w:p>
    <w:p w:rsidR="009507A6" w:rsidRPr="007466D1" w:rsidRDefault="009507A6" w:rsidP="006B14E8">
      <w:pPr>
        <w:spacing w:line="360" w:lineRule="auto"/>
        <w:ind w:firstLineChars="200" w:firstLine="480"/>
        <w:rPr>
          <w:rFonts w:ascii="宋体" w:eastAsia="宋体" w:hAnsi="宋体" w:cs="宋体"/>
          <w:color w:val="1A1A1A"/>
          <w:kern w:val="36"/>
          <w:sz w:val="24"/>
          <w:szCs w:val="24"/>
        </w:rPr>
      </w:pPr>
    </w:p>
    <w:p w:rsidR="00BE04DC" w:rsidRDefault="007466D1" w:rsidP="00BE04DC">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四</w:t>
      </w:r>
      <w:r w:rsidR="00BE04DC">
        <w:rPr>
          <w:rFonts w:ascii="宋体" w:eastAsia="宋体" w:hAnsi="宋体" w:cs="宋体" w:hint="eastAsia"/>
          <w:color w:val="1A1A1A"/>
          <w:kern w:val="36"/>
          <w:sz w:val="24"/>
          <w:szCs w:val="24"/>
        </w:rPr>
        <w:t>、投资者可通过以下途径了解或咨询相关情况：</w:t>
      </w:r>
    </w:p>
    <w:p w:rsidR="009507A6" w:rsidRPr="007466D1" w:rsidRDefault="006B14E8" w:rsidP="006B14E8">
      <w:pPr>
        <w:spacing w:line="360" w:lineRule="auto"/>
        <w:ind w:firstLineChars="200" w:firstLine="480"/>
        <w:rPr>
          <w:rFonts w:ascii="宋体" w:eastAsia="宋体" w:hAnsi="宋体" w:cs="宋体"/>
          <w:color w:val="1A1A1A"/>
          <w:kern w:val="36"/>
          <w:sz w:val="24"/>
          <w:szCs w:val="24"/>
        </w:rPr>
      </w:pPr>
      <w:r w:rsidRPr="006B14E8">
        <w:rPr>
          <w:rFonts w:ascii="宋体" w:eastAsia="宋体" w:hAnsi="宋体" w:cs="宋体"/>
          <w:color w:val="1A1A1A"/>
          <w:kern w:val="36"/>
          <w:sz w:val="24"/>
          <w:szCs w:val="24"/>
        </w:rPr>
        <w:t>1. 华夏银行股份有限公司</w:t>
      </w:r>
    </w:p>
    <w:p w:rsidR="009507A6" w:rsidRPr="007466D1" w:rsidRDefault="009507A6" w:rsidP="006B14E8">
      <w:pPr>
        <w:spacing w:line="360" w:lineRule="auto"/>
        <w:ind w:firstLineChars="200" w:firstLine="48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客服热线</w:t>
      </w:r>
      <w:r w:rsidR="006B14E8" w:rsidRPr="006B14E8">
        <w:rPr>
          <w:rFonts w:ascii="宋体" w:eastAsia="宋体" w:hAnsi="宋体" w:cs="宋体"/>
          <w:color w:val="1A1A1A"/>
          <w:kern w:val="36"/>
          <w:sz w:val="24"/>
          <w:szCs w:val="24"/>
        </w:rPr>
        <w:t>：95577</w:t>
      </w:r>
      <w:r w:rsidRPr="007466D1">
        <w:rPr>
          <w:rFonts w:ascii="宋体" w:eastAsia="宋体" w:hAnsi="宋体" w:cs="宋体" w:hint="eastAsia"/>
          <w:color w:val="1A1A1A"/>
          <w:kern w:val="36"/>
          <w:sz w:val="24"/>
          <w:szCs w:val="24"/>
        </w:rPr>
        <w:t>；</w:t>
      </w:r>
    </w:p>
    <w:p w:rsidR="009507A6" w:rsidRPr="007466D1" w:rsidRDefault="006B14E8" w:rsidP="006B14E8">
      <w:pPr>
        <w:spacing w:line="360" w:lineRule="auto"/>
        <w:ind w:firstLineChars="200" w:firstLine="480"/>
        <w:rPr>
          <w:rFonts w:ascii="宋体" w:eastAsia="宋体" w:hAnsi="宋体" w:cs="宋体"/>
          <w:color w:val="1A1A1A"/>
          <w:kern w:val="36"/>
          <w:sz w:val="24"/>
          <w:szCs w:val="24"/>
        </w:rPr>
      </w:pPr>
      <w:r w:rsidRPr="006B14E8">
        <w:rPr>
          <w:rFonts w:ascii="宋体" w:eastAsia="宋体" w:hAnsi="宋体" w:cs="宋体"/>
          <w:color w:val="1A1A1A"/>
          <w:kern w:val="36"/>
          <w:sz w:val="24"/>
          <w:szCs w:val="24"/>
        </w:rPr>
        <w:t>公司网站：</w:t>
      </w:r>
      <w:hyperlink r:id="rId6" w:history="1">
        <w:r w:rsidR="009507A6" w:rsidRPr="007466D1">
          <w:rPr>
            <w:rFonts w:ascii="宋体" w:eastAsia="宋体" w:hAnsi="宋体" w:cs="宋体"/>
            <w:color w:val="1A1A1A"/>
            <w:kern w:val="36"/>
            <w:sz w:val="24"/>
            <w:szCs w:val="24"/>
          </w:rPr>
          <w:t>www.hxb.com.cn</w:t>
        </w:r>
      </w:hyperlink>
      <w:r w:rsidR="009507A6" w:rsidRPr="007466D1">
        <w:rPr>
          <w:rFonts w:ascii="宋体" w:eastAsia="宋体" w:hAnsi="宋体" w:cs="宋体" w:hint="eastAsia"/>
          <w:color w:val="1A1A1A"/>
          <w:kern w:val="36"/>
          <w:sz w:val="24"/>
          <w:szCs w:val="24"/>
        </w:rPr>
        <w:t>。</w:t>
      </w:r>
    </w:p>
    <w:p w:rsidR="009507A6" w:rsidRPr="007466D1" w:rsidRDefault="006B14E8" w:rsidP="006B14E8">
      <w:pPr>
        <w:spacing w:line="360" w:lineRule="auto"/>
        <w:ind w:firstLineChars="200" w:firstLine="480"/>
        <w:rPr>
          <w:rFonts w:ascii="宋体" w:eastAsia="宋体" w:hAnsi="宋体" w:cs="宋体"/>
          <w:color w:val="1A1A1A"/>
          <w:kern w:val="36"/>
          <w:sz w:val="24"/>
          <w:szCs w:val="24"/>
        </w:rPr>
      </w:pPr>
      <w:r w:rsidRPr="006B14E8">
        <w:rPr>
          <w:rFonts w:ascii="宋体" w:eastAsia="宋体" w:hAnsi="宋体" w:cs="宋体"/>
          <w:color w:val="1A1A1A"/>
          <w:kern w:val="36"/>
          <w:sz w:val="24"/>
          <w:szCs w:val="24"/>
        </w:rPr>
        <w:t xml:space="preserve">2. </w:t>
      </w:r>
      <w:r w:rsidRPr="007466D1">
        <w:rPr>
          <w:rFonts w:ascii="宋体" w:eastAsia="宋体" w:hAnsi="宋体" w:cs="宋体"/>
          <w:color w:val="1A1A1A"/>
          <w:kern w:val="36"/>
          <w:sz w:val="24"/>
          <w:szCs w:val="24"/>
        </w:rPr>
        <w:t>融通基金管理有限公司</w:t>
      </w:r>
    </w:p>
    <w:p w:rsidR="009507A6" w:rsidRPr="007466D1" w:rsidRDefault="009507A6" w:rsidP="009507A6">
      <w:pPr>
        <w:spacing w:line="360" w:lineRule="auto"/>
        <w:ind w:firstLineChars="200" w:firstLine="48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客服热线：400-883-8088（免长途话费）、0755-26948088；</w:t>
      </w:r>
    </w:p>
    <w:p w:rsidR="009507A6" w:rsidRPr="007466D1" w:rsidRDefault="009507A6" w:rsidP="009507A6">
      <w:pPr>
        <w:spacing w:line="360" w:lineRule="auto"/>
        <w:ind w:firstLineChars="200" w:firstLine="48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公司网站：www.rtfund.com。</w:t>
      </w:r>
    </w:p>
    <w:p w:rsidR="006B14E8" w:rsidRPr="007466D1" w:rsidRDefault="006B14E8" w:rsidP="006B14E8">
      <w:pPr>
        <w:spacing w:line="360" w:lineRule="auto"/>
        <w:ind w:firstLineChars="200" w:firstLine="480"/>
        <w:rPr>
          <w:rFonts w:ascii="宋体" w:eastAsia="宋体" w:hAnsi="宋体" w:cs="宋体"/>
          <w:color w:val="1A1A1A"/>
          <w:kern w:val="36"/>
          <w:sz w:val="24"/>
          <w:szCs w:val="24"/>
        </w:rPr>
      </w:pPr>
    </w:p>
    <w:p w:rsidR="006B14E8" w:rsidRPr="007466D1" w:rsidRDefault="006B14E8" w:rsidP="006B14E8">
      <w:pPr>
        <w:spacing w:line="360" w:lineRule="auto"/>
        <w:ind w:firstLineChars="200" w:firstLine="480"/>
        <w:rPr>
          <w:rFonts w:ascii="宋体" w:eastAsia="宋体" w:hAnsi="宋体" w:cs="宋体"/>
          <w:color w:val="1A1A1A"/>
          <w:kern w:val="36"/>
          <w:sz w:val="24"/>
          <w:szCs w:val="24"/>
        </w:rPr>
      </w:pPr>
    </w:p>
    <w:p w:rsidR="006B14E8" w:rsidRPr="007466D1" w:rsidRDefault="006B14E8" w:rsidP="006B14E8">
      <w:pPr>
        <w:spacing w:line="360" w:lineRule="auto"/>
        <w:ind w:firstLineChars="200" w:firstLine="480"/>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BE04DC" w:rsidRPr="007466D1" w:rsidRDefault="00BE04DC" w:rsidP="006B14E8">
      <w:pPr>
        <w:spacing w:line="360" w:lineRule="auto"/>
        <w:ind w:firstLineChars="200" w:firstLine="480"/>
        <w:rPr>
          <w:rFonts w:ascii="宋体" w:eastAsia="宋体" w:hAnsi="宋体" w:cs="宋体"/>
          <w:color w:val="1A1A1A"/>
          <w:kern w:val="36"/>
          <w:sz w:val="24"/>
          <w:szCs w:val="24"/>
        </w:rPr>
      </w:pPr>
      <w:r w:rsidRPr="007466D1">
        <w:rPr>
          <w:rFonts w:ascii="宋体" w:eastAsia="宋体" w:hAnsi="宋体" w:cs="宋体"/>
          <w:color w:val="1A1A1A"/>
          <w:kern w:val="36"/>
          <w:sz w:val="24"/>
          <w:szCs w:val="24"/>
        </w:rPr>
        <w:t>特此公告。</w:t>
      </w:r>
    </w:p>
    <w:p w:rsidR="006B14E8" w:rsidRPr="007466D1" w:rsidRDefault="006B14E8" w:rsidP="007466D1">
      <w:pPr>
        <w:snapToGrid w:val="0"/>
        <w:spacing w:line="360" w:lineRule="auto"/>
        <w:jc w:val="right"/>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融通基金管理有限公司</w:t>
      </w:r>
    </w:p>
    <w:p w:rsidR="006B14E8" w:rsidRPr="007466D1" w:rsidRDefault="006B14E8" w:rsidP="006B14E8">
      <w:pPr>
        <w:snapToGrid w:val="0"/>
        <w:spacing w:line="360" w:lineRule="auto"/>
        <w:jc w:val="right"/>
        <w:rPr>
          <w:rFonts w:ascii="宋体" w:eastAsia="宋体" w:hAnsi="宋体" w:cs="宋体"/>
          <w:color w:val="1A1A1A"/>
          <w:kern w:val="36"/>
          <w:sz w:val="24"/>
          <w:szCs w:val="24"/>
        </w:rPr>
      </w:pPr>
      <w:r w:rsidRPr="007466D1">
        <w:rPr>
          <w:rFonts w:ascii="宋体" w:eastAsia="宋体" w:hAnsi="宋体" w:cs="宋体" w:hint="eastAsia"/>
          <w:color w:val="1A1A1A"/>
          <w:kern w:val="36"/>
          <w:sz w:val="24"/>
          <w:szCs w:val="24"/>
        </w:rPr>
        <w:t>二〇二四年一月</w:t>
      </w:r>
      <w:r w:rsidR="007466D1">
        <w:rPr>
          <w:rFonts w:ascii="宋体" w:eastAsia="宋体" w:hAnsi="宋体" w:cs="宋体" w:hint="eastAsia"/>
          <w:color w:val="1A1A1A"/>
          <w:kern w:val="36"/>
          <w:sz w:val="24"/>
          <w:szCs w:val="24"/>
        </w:rPr>
        <w:t>三十一</w:t>
      </w:r>
      <w:r w:rsidRPr="007466D1">
        <w:rPr>
          <w:rFonts w:ascii="宋体" w:eastAsia="宋体" w:hAnsi="宋体" w:cs="宋体" w:hint="eastAsia"/>
          <w:color w:val="1A1A1A"/>
          <w:kern w:val="36"/>
          <w:sz w:val="24"/>
          <w:szCs w:val="24"/>
        </w:rPr>
        <w:t>日</w:t>
      </w:r>
    </w:p>
    <w:p w:rsidR="006B14E8" w:rsidRPr="006B14E8" w:rsidRDefault="006B14E8" w:rsidP="006B14E8">
      <w:pPr>
        <w:spacing w:line="360" w:lineRule="auto"/>
        <w:ind w:firstLineChars="200" w:firstLine="480"/>
        <w:jc w:val="right"/>
        <w:rPr>
          <w:rFonts w:ascii="宋体" w:eastAsia="宋体" w:hAnsi="宋体" w:cs="宋体"/>
          <w:color w:val="1A1A1A"/>
          <w:kern w:val="36"/>
          <w:sz w:val="24"/>
          <w:szCs w:val="24"/>
        </w:rPr>
      </w:pPr>
    </w:p>
    <w:p w:rsidR="006B14E8" w:rsidRPr="006B14E8" w:rsidRDefault="006B14E8" w:rsidP="006B14E8">
      <w:pPr>
        <w:spacing w:line="360" w:lineRule="auto"/>
        <w:ind w:firstLineChars="200" w:firstLine="480"/>
        <w:rPr>
          <w:rFonts w:ascii="宋体" w:eastAsia="宋体" w:hAnsi="宋体" w:cs="宋体"/>
          <w:color w:val="1A1A1A"/>
          <w:kern w:val="36"/>
          <w:sz w:val="24"/>
          <w:szCs w:val="24"/>
        </w:rPr>
      </w:pPr>
    </w:p>
    <w:p w:rsidR="004E6DAE" w:rsidRPr="006B14E8" w:rsidRDefault="004E6DAE" w:rsidP="006B14E8">
      <w:pPr>
        <w:spacing w:line="360" w:lineRule="auto"/>
        <w:ind w:firstLineChars="200" w:firstLine="420"/>
        <w:rPr>
          <w:rFonts w:ascii="宋体" w:eastAsia="宋体" w:hAnsi="宋体" w:cs="Times New Roman"/>
          <w:kern w:val="0"/>
          <w:szCs w:val="21"/>
        </w:rPr>
      </w:pPr>
    </w:p>
    <w:sectPr w:rsidR="004E6DAE" w:rsidRPr="006B14E8" w:rsidSect="002A3D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644" w:rsidRDefault="00817644" w:rsidP="00C95767">
      <w:r>
        <w:separator/>
      </w:r>
    </w:p>
  </w:endnote>
  <w:endnote w:type="continuationSeparator" w:id="0">
    <w:p w:rsidR="00817644" w:rsidRDefault="00817644" w:rsidP="00C9576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644" w:rsidRDefault="00817644" w:rsidP="00C95767">
      <w:r>
        <w:separator/>
      </w:r>
    </w:p>
  </w:footnote>
  <w:footnote w:type="continuationSeparator" w:id="0">
    <w:p w:rsidR="00817644" w:rsidRDefault="00817644" w:rsidP="00C95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0F5A"/>
    <w:rsid w:val="00165EDA"/>
    <w:rsid w:val="002A3DA9"/>
    <w:rsid w:val="0043360F"/>
    <w:rsid w:val="0044261F"/>
    <w:rsid w:val="004E6DAE"/>
    <w:rsid w:val="00570F5A"/>
    <w:rsid w:val="006B14E8"/>
    <w:rsid w:val="007466D1"/>
    <w:rsid w:val="00817644"/>
    <w:rsid w:val="009507A6"/>
    <w:rsid w:val="00BE04DC"/>
    <w:rsid w:val="00C95767"/>
    <w:rsid w:val="00F83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content11">
    <w:name w:val="txtcontent11"/>
    <w:rsid w:val="006B14E8"/>
    <w:rPr>
      <w:rFonts w:ascii="ˎ̥" w:eastAsia="宋体" w:hAnsi="ˎ̥" w:cs="Times New Roman" w:hint="default"/>
      <w:b w:val="0"/>
      <w:bCs w:val="0"/>
      <w:color w:val="000000"/>
      <w:sz w:val="21"/>
      <w:szCs w:val="21"/>
    </w:rPr>
  </w:style>
  <w:style w:type="character" w:styleId="a3">
    <w:name w:val="Hyperlink"/>
    <w:basedOn w:val="a0"/>
    <w:uiPriority w:val="99"/>
    <w:unhideWhenUsed/>
    <w:rsid w:val="009507A6"/>
    <w:rPr>
      <w:color w:val="0563C1" w:themeColor="hyperlink"/>
      <w:u w:val="single"/>
    </w:rPr>
  </w:style>
  <w:style w:type="table" w:styleId="a4">
    <w:name w:val="Table Grid"/>
    <w:basedOn w:val="a1"/>
    <w:uiPriority w:val="39"/>
    <w:rsid w:val="00950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7466D1"/>
    <w:rPr>
      <w:sz w:val="18"/>
      <w:szCs w:val="18"/>
    </w:rPr>
  </w:style>
  <w:style w:type="character" w:customStyle="1" w:styleId="Char">
    <w:name w:val="批注框文本 Char"/>
    <w:basedOn w:val="a0"/>
    <w:link w:val="a5"/>
    <w:uiPriority w:val="99"/>
    <w:semiHidden/>
    <w:rsid w:val="007466D1"/>
    <w:rPr>
      <w:sz w:val="18"/>
      <w:szCs w:val="18"/>
    </w:rPr>
  </w:style>
  <w:style w:type="paragraph" w:styleId="a6">
    <w:name w:val="header"/>
    <w:basedOn w:val="a"/>
    <w:link w:val="Char0"/>
    <w:uiPriority w:val="99"/>
    <w:unhideWhenUsed/>
    <w:rsid w:val="00C957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95767"/>
    <w:rPr>
      <w:sz w:val="18"/>
      <w:szCs w:val="18"/>
    </w:rPr>
  </w:style>
  <w:style w:type="paragraph" w:styleId="a7">
    <w:name w:val="footer"/>
    <w:basedOn w:val="a"/>
    <w:link w:val="Char1"/>
    <w:uiPriority w:val="99"/>
    <w:unhideWhenUsed/>
    <w:rsid w:val="00C95767"/>
    <w:pPr>
      <w:tabs>
        <w:tab w:val="center" w:pos="4153"/>
        <w:tab w:val="right" w:pos="8306"/>
      </w:tabs>
      <w:snapToGrid w:val="0"/>
      <w:jc w:val="left"/>
    </w:pPr>
    <w:rPr>
      <w:sz w:val="18"/>
      <w:szCs w:val="18"/>
    </w:rPr>
  </w:style>
  <w:style w:type="character" w:customStyle="1" w:styleId="Char1">
    <w:name w:val="页脚 Char"/>
    <w:basedOn w:val="a0"/>
    <w:link w:val="a7"/>
    <w:uiPriority w:val="99"/>
    <w:rsid w:val="00C95767"/>
    <w:rPr>
      <w:sz w:val="18"/>
      <w:szCs w:val="18"/>
    </w:rPr>
  </w:style>
</w:styles>
</file>

<file path=word/webSettings.xml><?xml version="1.0" encoding="utf-8"?>
<w:webSettings xmlns:r="http://schemas.openxmlformats.org/officeDocument/2006/relationships" xmlns:w="http://schemas.openxmlformats.org/wordprocessingml/2006/main">
  <w:divs>
    <w:div w:id="51584281">
      <w:bodyDiv w:val="1"/>
      <w:marLeft w:val="0"/>
      <w:marRight w:val="0"/>
      <w:marTop w:val="0"/>
      <w:marBottom w:val="0"/>
      <w:divBdr>
        <w:top w:val="none" w:sz="0" w:space="0" w:color="auto"/>
        <w:left w:val="none" w:sz="0" w:space="0" w:color="auto"/>
        <w:bottom w:val="none" w:sz="0" w:space="0" w:color="auto"/>
        <w:right w:val="none" w:sz="0" w:space="0" w:color="auto"/>
      </w:divBdr>
    </w:div>
    <w:div w:id="342899773">
      <w:bodyDiv w:val="1"/>
      <w:marLeft w:val="0"/>
      <w:marRight w:val="0"/>
      <w:marTop w:val="0"/>
      <w:marBottom w:val="0"/>
      <w:divBdr>
        <w:top w:val="none" w:sz="0" w:space="0" w:color="auto"/>
        <w:left w:val="none" w:sz="0" w:space="0" w:color="auto"/>
        <w:bottom w:val="none" w:sz="0" w:space="0" w:color="auto"/>
        <w:right w:val="none" w:sz="0" w:space="0" w:color="auto"/>
      </w:divBdr>
      <w:divsChild>
        <w:div w:id="1113935483">
          <w:marLeft w:val="0"/>
          <w:marRight w:val="0"/>
          <w:marTop w:val="0"/>
          <w:marBottom w:val="0"/>
          <w:divBdr>
            <w:top w:val="none" w:sz="0" w:space="0" w:color="auto"/>
            <w:left w:val="none" w:sz="0" w:space="0" w:color="auto"/>
            <w:bottom w:val="none" w:sz="0" w:space="0" w:color="auto"/>
            <w:right w:val="none" w:sz="0" w:space="0" w:color="auto"/>
          </w:divBdr>
          <w:divsChild>
            <w:div w:id="8408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0015">
      <w:bodyDiv w:val="1"/>
      <w:marLeft w:val="0"/>
      <w:marRight w:val="0"/>
      <w:marTop w:val="0"/>
      <w:marBottom w:val="0"/>
      <w:divBdr>
        <w:top w:val="none" w:sz="0" w:space="0" w:color="auto"/>
        <w:left w:val="none" w:sz="0" w:space="0" w:color="auto"/>
        <w:bottom w:val="none" w:sz="0" w:space="0" w:color="auto"/>
        <w:right w:val="none" w:sz="0" w:space="0" w:color="auto"/>
      </w:divBdr>
      <w:divsChild>
        <w:div w:id="2106614445">
          <w:marLeft w:val="0"/>
          <w:marRight w:val="0"/>
          <w:marTop w:val="0"/>
          <w:marBottom w:val="0"/>
          <w:divBdr>
            <w:top w:val="none" w:sz="0" w:space="0" w:color="auto"/>
            <w:left w:val="none" w:sz="0" w:space="0" w:color="auto"/>
            <w:bottom w:val="none" w:sz="0" w:space="0" w:color="auto"/>
            <w:right w:val="none" w:sz="0" w:space="0" w:color="auto"/>
          </w:divBdr>
          <w:divsChild>
            <w:div w:id="1124082063">
              <w:marLeft w:val="0"/>
              <w:marRight w:val="0"/>
              <w:marTop w:val="0"/>
              <w:marBottom w:val="0"/>
              <w:divBdr>
                <w:top w:val="none" w:sz="0" w:space="0" w:color="auto"/>
                <w:left w:val="none" w:sz="0" w:space="0" w:color="auto"/>
                <w:bottom w:val="none" w:sz="0" w:space="0" w:color="auto"/>
                <w:right w:val="none" w:sz="0" w:space="0" w:color="auto"/>
              </w:divBdr>
              <w:divsChild>
                <w:div w:id="838540271">
                  <w:marLeft w:val="0"/>
                  <w:marRight w:val="0"/>
                  <w:marTop w:val="0"/>
                  <w:marBottom w:val="0"/>
                  <w:divBdr>
                    <w:top w:val="none" w:sz="0" w:space="0" w:color="auto"/>
                    <w:left w:val="none" w:sz="0" w:space="0" w:color="auto"/>
                    <w:bottom w:val="none" w:sz="0" w:space="0" w:color="auto"/>
                    <w:right w:val="none" w:sz="0" w:space="0" w:color="auto"/>
                  </w:divBdr>
                  <w:divsChild>
                    <w:div w:id="846673191">
                      <w:marLeft w:val="0"/>
                      <w:marRight w:val="0"/>
                      <w:marTop w:val="0"/>
                      <w:marBottom w:val="0"/>
                      <w:divBdr>
                        <w:top w:val="none" w:sz="0" w:space="0" w:color="auto"/>
                        <w:left w:val="none" w:sz="0" w:space="0" w:color="auto"/>
                        <w:bottom w:val="none" w:sz="0" w:space="0" w:color="auto"/>
                        <w:right w:val="none" w:sz="0" w:space="0" w:color="auto"/>
                      </w:divBdr>
                      <w:divsChild>
                        <w:div w:id="13379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57293">
      <w:bodyDiv w:val="1"/>
      <w:marLeft w:val="0"/>
      <w:marRight w:val="0"/>
      <w:marTop w:val="0"/>
      <w:marBottom w:val="0"/>
      <w:divBdr>
        <w:top w:val="none" w:sz="0" w:space="0" w:color="auto"/>
        <w:left w:val="none" w:sz="0" w:space="0" w:color="auto"/>
        <w:bottom w:val="none" w:sz="0" w:space="0" w:color="auto"/>
        <w:right w:val="none" w:sz="0" w:space="0" w:color="auto"/>
      </w:divBdr>
      <w:divsChild>
        <w:div w:id="1526015827">
          <w:marLeft w:val="0"/>
          <w:marRight w:val="0"/>
          <w:marTop w:val="0"/>
          <w:marBottom w:val="0"/>
          <w:divBdr>
            <w:top w:val="none" w:sz="0" w:space="0" w:color="auto"/>
            <w:left w:val="none" w:sz="0" w:space="0" w:color="auto"/>
            <w:bottom w:val="none" w:sz="0" w:space="0" w:color="auto"/>
            <w:right w:val="none" w:sz="0" w:space="0" w:color="auto"/>
          </w:divBdr>
          <w:divsChild>
            <w:div w:id="16373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x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4</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2024-01-30T16:03:00Z</dcterms:created>
  <dcterms:modified xsi:type="dcterms:W3CDTF">2024-01-30T16:03:00Z</dcterms:modified>
</cp:coreProperties>
</file>