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9F" w:rsidRDefault="00913A88">
      <w:pPr>
        <w:widowControl w:val="0"/>
        <w:jc w:val="center"/>
        <w:rPr>
          <w:sz w:val="48"/>
          <w:szCs w:val="48"/>
          <w:lang w:eastAsia="zh-CN"/>
        </w:rPr>
      </w:pPr>
      <w:r>
        <w:rPr>
          <w:rFonts w:ascii="宋体" w:eastAsia="宋体" w:hAnsi="宋体" w:cs="宋体"/>
          <w:b/>
          <w:bCs/>
          <w:sz w:val="48"/>
          <w:szCs w:val="48"/>
          <w:lang w:eastAsia="zh-CN"/>
        </w:rPr>
        <w:t>鹏华睿进一年持有期混合型证券投资基金开放日常赎回和转换转出业务的公告</w:t>
      </w:r>
    </w:p>
    <w:p w:rsidR="0001369F" w:rsidRDefault="00913A88">
      <w:pPr>
        <w:widowControl w:val="0"/>
        <w:jc w:val="center"/>
        <w:rPr>
          <w:sz w:val="30"/>
          <w:szCs w:val="30"/>
          <w:lang w:eastAsia="zh-CN"/>
        </w:rPr>
      </w:pPr>
      <w:r>
        <w:rPr>
          <w:rFonts w:eastAsia="Times New Roman"/>
          <w:sz w:val="30"/>
          <w:szCs w:val="30"/>
          <w:lang w:eastAsia="zh-CN"/>
        </w:rPr>
        <w:t> </w:t>
      </w:r>
    </w:p>
    <w:p w:rsidR="0001369F" w:rsidRDefault="00913A88">
      <w:pPr>
        <w:widowControl w:val="0"/>
        <w:jc w:val="center"/>
        <w:rPr>
          <w:sz w:val="30"/>
          <w:szCs w:val="30"/>
          <w:lang w:eastAsia="zh-CN"/>
        </w:rPr>
      </w:pPr>
      <w:r>
        <w:rPr>
          <w:rFonts w:eastAsia="Times New Roman"/>
          <w:sz w:val="30"/>
          <w:szCs w:val="30"/>
          <w:lang w:eastAsia="zh-CN"/>
        </w:rPr>
        <w:t> </w:t>
      </w:r>
    </w:p>
    <w:p w:rsidR="0001369F" w:rsidRDefault="00913A88">
      <w:pPr>
        <w:widowControl w:val="0"/>
        <w:jc w:val="center"/>
        <w:rPr>
          <w:sz w:val="30"/>
          <w:szCs w:val="30"/>
          <w:lang w:eastAsia="zh-CN"/>
        </w:rPr>
      </w:pPr>
      <w:r>
        <w:rPr>
          <w:rFonts w:eastAsia="Times New Roman"/>
          <w:sz w:val="30"/>
          <w:szCs w:val="30"/>
          <w:lang w:eastAsia="zh-CN"/>
        </w:rPr>
        <w:t> </w:t>
      </w:r>
    </w:p>
    <w:p w:rsidR="0001369F" w:rsidRDefault="00913A88">
      <w:pPr>
        <w:widowControl w:val="0"/>
        <w:jc w:val="center"/>
        <w:rPr>
          <w:sz w:val="30"/>
          <w:szCs w:val="30"/>
          <w:lang w:eastAsia="zh-CN"/>
        </w:rPr>
      </w:pPr>
      <w:r>
        <w:rPr>
          <w:rFonts w:eastAsia="Times New Roman"/>
          <w:sz w:val="30"/>
          <w:szCs w:val="30"/>
          <w:lang w:eastAsia="zh-CN"/>
        </w:rPr>
        <w:t> </w:t>
      </w:r>
    </w:p>
    <w:p w:rsidR="0001369F" w:rsidRDefault="00913A88">
      <w:pPr>
        <w:widowControl w:val="0"/>
        <w:jc w:val="center"/>
        <w:rPr>
          <w:sz w:val="30"/>
          <w:szCs w:val="30"/>
          <w:lang w:eastAsia="zh-CN"/>
        </w:rPr>
      </w:pPr>
      <w:r>
        <w:rPr>
          <w:rFonts w:eastAsia="Times New Roman"/>
          <w:sz w:val="30"/>
          <w:szCs w:val="30"/>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rFonts w:eastAsia="Times New Roman"/>
          <w:lang w:eastAsia="zh-CN"/>
        </w:rPr>
      </w:pPr>
      <w:r>
        <w:rPr>
          <w:rFonts w:eastAsia="Times New Roman"/>
          <w:lang w:eastAsia="zh-CN"/>
        </w:rPr>
        <w:t> </w:t>
      </w:r>
    </w:p>
    <w:p w:rsidR="00DC4975" w:rsidRDefault="00DC4975">
      <w:pPr>
        <w:widowControl w:val="0"/>
        <w:jc w:val="both"/>
        <w:rPr>
          <w:rFonts w:eastAsia="Times New Roman"/>
          <w:lang w:eastAsia="zh-CN"/>
        </w:rPr>
      </w:pPr>
    </w:p>
    <w:p w:rsidR="00DC4975" w:rsidRDefault="00DC4975">
      <w:pPr>
        <w:widowControl w:val="0"/>
        <w:jc w:val="both"/>
        <w:rPr>
          <w:rFonts w:eastAsia="Times New Roman"/>
          <w:lang w:eastAsia="zh-CN"/>
        </w:rPr>
      </w:pPr>
    </w:p>
    <w:p w:rsidR="00DC4975" w:rsidRDefault="00DC4975">
      <w:pPr>
        <w:widowControl w:val="0"/>
        <w:jc w:val="both"/>
        <w:rPr>
          <w:rFonts w:eastAsia="Times New Roman"/>
          <w:lang w:eastAsia="zh-CN"/>
        </w:rPr>
      </w:pPr>
    </w:p>
    <w:p w:rsidR="00DC4975" w:rsidRDefault="00DC4975">
      <w:pPr>
        <w:widowControl w:val="0"/>
        <w:jc w:val="both"/>
        <w:rPr>
          <w:lang w:eastAsia="zh-CN"/>
        </w:rPr>
      </w:pP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jc w:val="both"/>
        <w:rPr>
          <w:lang w:eastAsia="zh-CN"/>
        </w:rPr>
      </w:pPr>
      <w:r>
        <w:rPr>
          <w:rFonts w:eastAsia="Times New Roman"/>
          <w:lang w:eastAsia="zh-CN"/>
        </w:rPr>
        <w:t> </w:t>
      </w:r>
    </w:p>
    <w:p w:rsidR="0001369F" w:rsidRDefault="00913A88">
      <w:pPr>
        <w:widowControl w:val="0"/>
        <w:ind w:left="2100" w:firstLine="420"/>
        <w:jc w:val="both"/>
        <w:rPr>
          <w:sz w:val="28"/>
          <w:szCs w:val="28"/>
        </w:rPr>
      </w:pPr>
      <w:r>
        <w:rPr>
          <w:rFonts w:ascii="宋体" w:eastAsia="宋体" w:hAnsi="宋体" w:cs="宋体"/>
          <w:b/>
          <w:bCs/>
          <w:sz w:val="28"/>
          <w:szCs w:val="28"/>
          <w:lang w:eastAsia="zh-CN"/>
        </w:rPr>
        <w:t>公告送出日期：2024年01月31日</w:t>
      </w:r>
    </w:p>
    <w:p w:rsidR="0001369F" w:rsidRDefault="00913A88">
      <w:pPr>
        <w:widowControl w:val="0"/>
        <w:jc w:val="both"/>
      </w:pPr>
      <w:r>
        <w:rPr>
          <w:rFonts w:eastAsia="Times New Roman"/>
          <w:lang w:eastAsia="zh-CN"/>
        </w:rPr>
        <w:t> </w:t>
      </w:r>
    </w:p>
    <w:p w:rsidR="0001369F" w:rsidRDefault="00913A88">
      <w:pPr>
        <w:widowControl w:val="0"/>
        <w:jc w:val="both"/>
      </w:pPr>
      <w:r>
        <w:rPr>
          <w:rFonts w:eastAsia="Times New Roman"/>
          <w:lang w:eastAsia="zh-CN"/>
        </w:rPr>
        <w:t> </w:t>
      </w:r>
    </w:p>
    <w:p w:rsidR="0001369F" w:rsidRDefault="00913A88">
      <w:pPr>
        <w:widowControl w:val="0"/>
        <w:jc w:val="both"/>
      </w:pPr>
      <w:r>
        <w:rPr>
          <w:rFonts w:eastAsia="Times New Roman"/>
          <w:lang w:eastAsia="zh-CN"/>
        </w:rPr>
        <w:t> </w:t>
      </w:r>
    </w:p>
    <w:p w:rsidR="0001369F" w:rsidRDefault="00913A88">
      <w:pPr>
        <w:widowControl w:val="0"/>
        <w:jc w:val="both"/>
      </w:pPr>
      <w:r>
        <w:rPr>
          <w:rFonts w:eastAsia="Times New Roman"/>
          <w:lang w:eastAsia="zh-CN"/>
        </w:rPr>
        <w:t> </w:t>
      </w:r>
    </w:p>
    <w:p w:rsidR="0001369F" w:rsidRDefault="00913A88">
      <w:pPr>
        <w:widowControl w:val="0"/>
        <w:jc w:val="both"/>
      </w:pPr>
      <w:r>
        <w:rPr>
          <w:rFonts w:eastAsia="Times New Roman"/>
          <w:lang w:eastAsia="zh-CN"/>
        </w:rPr>
        <w:t> </w:t>
      </w:r>
    </w:p>
    <w:p w:rsidR="0001369F" w:rsidRDefault="00913A88">
      <w:pPr>
        <w:widowControl w:val="0"/>
        <w:jc w:val="both"/>
      </w:pPr>
      <w:r>
        <w:rPr>
          <w:rFonts w:eastAsia="Times New Roman"/>
          <w:lang w:eastAsia="zh-CN"/>
        </w:rPr>
        <w:t> </w:t>
      </w:r>
    </w:p>
    <w:p w:rsidR="0001369F" w:rsidRDefault="00913A88">
      <w:pPr>
        <w:widowControl w:val="0"/>
        <w:jc w:val="both"/>
      </w:pPr>
      <w:r>
        <w:rPr>
          <w:rFonts w:eastAsia="Times New Roman"/>
          <w:lang w:eastAsia="zh-CN"/>
        </w:rPr>
        <w:t> </w:t>
      </w:r>
    </w:p>
    <w:p w:rsidR="0001369F" w:rsidRDefault="00913A88">
      <w:pPr>
        <w:widowControl w:val="0"/>
        <w:jc w:val="both"/>
      </w:pPr>
      <w:r>
        <w:rPr>
          <w:rFonts w:eastAsia="Times New Roman"/>
          <w:lang w:eastAsia="zh-CN"/>
        </w:rPr>
        <w:t> </w:t>
      </w:r>
    </w:p>
    <w:p w:rsidR="0001369F" w:rsidRDefault="00913A88">
      <w:pPr>
        <w:widowControl w:val="0"/>
        <w:jc w:val="both"/>
      </w:pPr>
      <w:r>
        <w:rPr>
          <w:rFonts w:eastAsia="Times New Roman"/>
          <w:lang w:eastAsia="zh-CN"/>
        </w:rPr>
        <w:t> </w:t>
      </w:r>
    </w:p>
    <w:p w:rsidR="0001369F" w:rsidRDefault="00913A88">
      <w:pPr>
        <w:pStyle w:val="2"/>
        <w:keepLines/>
        <w:widowControl w:val="0"/>
        <w:spacing w:before="156" w:after="156"/>
        <w:rPr>
          <w:rFonts w:ascii="Times New Roman" w:hAnsi="Times New Roman" w:cs="Times New Roman"/>
        </w:rPr>
      </w:pPr>
      <w:r>
        <w:rPr>
          <w:rFonts w:ascii="宋体" w:eastAsia="宋体" w:hAnsi="宋体" w:cs="宋体"/>
          <w:i w:val="0"/>
          <w:iCs w:val="0"/>
          <w:sz w:val="24"/>
          <w:szCs w:val="24"/>
          <w:lang w:eastAsia="zh-CN"/>
        </w:rPr>
        <w:lastRenderedPageBreak/>
        <w:t>1公告基本信息</w:t>
      </w:r>
    </w:p>
    <w:tbl>
      <w:tblPr>
        <w:tblW w:w="8295"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119"/>
        <w:gridCol w:w="2586"/>
        <w:gridCol w:w="2590"/>
      </w:tblGrid>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基金名称</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鹏华睿进一年持有期混合型证券投资基金</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基金简称</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鹏华睿进一年持有期混合</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基金主代码</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sz w:val="21"/>
                <w:szCs w:val="21"/>
                <w:lang w:eastAsia="zh-CN"/>
              </w:rPr>
              <w:t>016818</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基金运作方式</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BB538F" w:rsidRDefault="00913A88" w:rsidP="00DC4975">
            <w:pPr>
              <w:rPr>
                <w:rFonts w:ascii="宋体" w:eastAsia="宋体" w:hAnsi="宋体"/>
                <w:sz w:val="21"/>
                <w:szCs w:val="21"/>
                <w:lang w:eastAsia="zh-CN"/>
              </w:rPr>
            </w:pPr>
            <w:r w:rsidRPr="00DC4975">
              <w:rPr>
                <w:rFonts w:ascii="宋体" w:eastAsia="宋体" w:hAnsi="宋体" w:cs="宋体"/>
                <w:sz w:val="21"/>
                <w:szCs w:val="21"/>
                <w:lang w:eastAsia="zh-CN"/>
              </w:rPr>
              <w:t>契约型开放式。本基金对每份基金份额设置一年的最短持有期。对于每份基金份额，最短持有期起始日指基金合同生效日（对认购份额而言）或该基金份额申购申请确认日（对申购份额而言）或该基金份额转换转入确认日（对转换转入份额而言）；最短持有期到期日指该基金份额最短持有期起始日起一年后的对应日。如无此对应日期或该对应日为非工作日，则顺延至下一工作日。</w:t>
            </w:r>
            <w:r w:rsidRPr="00DC4975">
              <w:rPr>
                <w:rFonts w:ascii="宋体" w:eastAsia="宋体" w:hAnsi="宋体"/>
                <w:sz w:val="21"/>
                <w:szCs w:val="21"/>
                <w:lang w:eastAsia="zh-CN"/>
              </w:rPr>
              <w:t xml:space="preserve"> </w:t>
            </w:r>
          </w:p>
          <w:p w:rsidR="0001369F" w:rsidRPr="00DC4975" w:rsidRDefault="00913A88" w:rsidP="00DC4975">
            <w:pPr>
              <w:rPr>
                <w:rFonts w:ascii="宋体" w:eastAsia="宋体" w:hAnsi="宋体"/>
                <w:sz w:val="21"/>
                <w:szCs w:val="21"/>
                <w:lang w:eastAsia="zh-CN"/>
              </w:rPr>
            </w:pPr>
            <w:r w:rsidRPr="00DC4975">
              <w:rPr>
                <w:rFonts w:ascii="宋体" w:eastAsia="宋体" w:hAnsi="宋体" w:cs="宋体"/>
                <w:sz w:val="21"/>
                <w:szCs w:val="21"/>
                <w:lang w:eastAsia="zh-CN"/>
              </w:rPr>
              <w:t>在每份基金份额的最短持有期到期日前（不含当日），基金份额持有人不能对该基金份额提出赎回申请；每份基金份额的最短持有期到期日起（含当日），基金份额持有人可对该基金份额提出赎回申请。因不可抗力或基金合同约定的其他情形致使基金管理人无法在该基金份额的最短持有期到期日开放办理该基金份额的赎回业务的，该基金份额的最短持有期到期日顺延至不可抗力或基金合同约定的其他情形的影响因素消除之日起的下一个工作日。因本基金红利再投资所生成的基金份额的最短持有期按照基金合同第十六部分的约定另行计算。</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基金合同生效日</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sz w:val="21"/>
                <w:szCs w:val="21"/>
                <w:lang w:eastAsia="zh-CN"/>
              </w:rPr>
              <w:t>2023</w:t>
            </w:r>
            <w:r w:rsidRPr="00DC4975">
              <w:rPr>
                <w:rFonts w:ascii="宋体" w:eastAsia="宋体" w:hAnsi="宋体" w:cs="宋体"/>
                <w:sz w:val="21"/>
                <w:szCs w:val="21"/>
                <w:lang w:eastAsia="zh-CN"/>
              </w:rPr>
              <w:t>年</w:t>
            </w:r>
            <w:r w:rsidRPr="00DC4975">
              <w:rPr>
                <w:rFonts w:ascii="宋体" w:eastAsia="宋体" w:hAnsi="宋体"/>
                <w:sz w:val="21"/>
                <w:szCs w:val="21"/>
                <w:lang w:eastAsia="zh-CN"/>
              </w:rPr>
              <w:t>02</w:t>
            </w:r>
            <w:r w:rsidRPr="00DC4975">
              <w:rPr>
                <w:rFonts w:ascii="宋体" w:eastAsia="宋体" w:hAnsi="宋体" w:cs="宋体"/>
                <w:sz w:val="21"/>
                <w:szCs w:val="21"/>
                <w:lang w:eastAsia="zh-CN"/>
              </w:rPr>
              <w:t>月</w:t>
            </w:r>
            <w:r w:rsidRPr="00DC4975">
              <w:rPr>
                <w:rFonts w:ascii="宋体" w:eastAsia="宋体" w:hAnsi="宋体"/>
                <w:sz w:val="21"/>
                <w:szCs w:val="21"/>
                <w:lang w:eastAsia="zh-CN"/>
              </w:rPr>
              <w:t>01</w:t>
            </w:r>
            <w:r w:rsidRPr="00DC4975">
              <w:rPr>
                <w:rFonts w:ascii="宋体" w:eastAsia="宋体" w:hAnsi="宋体" w:cs="宋体"/>
                <w:sz w:val="21"/>
                <w:szCs w:val="21"/>
                <w:lang w:eastAsia="zh-CN"/>
              </w:rPr>
              <w:t>日</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基金管理人名称</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鹏华基金管理有限公司</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基金托管人名称</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中国工商银行股份有限公司</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基金份额登记机构名称</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鹏华基金管理有限公司</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公告依据</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《鹏华睿进一年持有期混合型证券投资基金基金合同》（以下简称“基金合同”）、《鹏华睿进一年持有期混合型证券投资基金招募说明书》及其更新（以下简称“招募说明书”）</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赎回起始日</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sz w:val="21"/>
                <w:szCs w:val="21"/>
                <w:lang w:eastAsia="zh-CN"/>
              </w:rPr>
              <w:t>2024</w:t>
            </w:r>
            <w:r w:rsidRPr="00DC4975">
              <w:rPr>
                <w:rFonts w:ascii="宋体" w:eastAsia="宋体" w:hAnsi="宋体" w:cs="宋体"/>
                <w:sz w:val="21"/>
                <w:szCs w:val="21"/>
                <w:lang w:eastAsia="zh-CN"/>
              </w:rPr>
              <w:t>年</w:t>
            </w:r>
            <w:r w:rsidRPr="00DC4975">
              <w:rPr>
                <w:rFonts w:ascii="宋体" w:eastAsia="宋体" w:hAnsi="宋体"/>
                <w:sz w:val="21"/>
                <w:szCs w:val="21"/>
                <w:lang w:eastAsia="zh-CN"/>
              </w:rPr>
              <w:t>02</w:t>
            </w:r>
            <w:r w:rsidRPr="00DC4975">
              <w:rPr>
                <w:rFonts w:ascii="宋体" w:eastAsia="宋体" w:hAnsi="宋体" w:cs="宋体"/>
                <w:sz w:val="21"/>
                <w:szCs w:val="21"/>
                <w:lang w:eastAsia="zh-CN"/>
              </w:rPr>
              <w:t>月</w:t>
            </w:r>
            <w:r w:rsidRPr="00DC4975">
              <w:rPr>
                <w:rFonts w:ascii="宋体" w:eastAsia="宋体" w:hAnsi="宋体"/>
                <w:sz w:val="21"/>
                <w:szCs w:val="21"/>
                <w:lang w:eastAsia="zh-CN"/>
              </w:rPr>
              <w:t>01</w:t>
            </w:r>
            <w:r w:rsidRPr="00DC4975">
              <w:rPr>
                <w:rFonts w:ascii="宋体" w:eastAsia="宋体" w:hAnsi="宋体" w:cs="宋体"/>
                <w:sz w:val="21"/>
                <w:szCs w:val="21"/>
                <w:lang w:eastAsia="zh-CN"/>
              </w:rPr>
              <w:t>日</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转换转出起始日</w:t>
            </w:r>
          </w:p>
        </w:tc>
        <w:tc>
          <w:tcPr>
            <w:tcW w:w="538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sz w:val="21"/>
                <w:szCs w:val="21"/>
                <w:lang w:eastAsia="zh-CN"/>
              </w:rPr>
              <w:t>2024</w:t>
            </w:r>
            <w:r w:rsidRPr="00DC4975">
              <w:rPr>
                <w:rFonts w:ascii="宋体" w:eastAsia="宋体" w:hAnsi="宋体" w:cs="宋体"/>
                <w:sz w:val="21"/>
                <w:szCs w:val="21"/>
                <w:lang w:eastAsia="zh-CN"/>
              </w:rPr>
              <w:t>年</w:t>
            </w:r>
            <w:r w:rsidRPr="00DC4975">
              <w:rPr>
                <w:rFonts w:ascii="宋体" w:eastAsia="宋体" w:hAnsi="宋体"/>
                <w:sz w:val="21"/>
                <w:szCs w:val="21"/>
                <w:lang w:eastAsia="zh-CN"/>
              </w:rPr>
              <w:t>02</w:t>
            </w:r>
            <w:r w:rsidRPr="00DC4975">
              <w:rPr>
                <w:rFonts w:ascii="宋体" w:eastAsia="宋体" w:hAnsi="宋体" w:cs="宋体"/>
                <w:sz w:val="21"/>
                <w:szCs w:val="21"/>
                <w:lang w:eastAsia="zh-CN"/>
              </w:rPr>
              <w:t>月</w:t>
            </w:r>
            <w:r w:rsidRPr="00DC4975">
              <w:rPr>
                <w:rFonts w:ascii="宋体" w:eastAsia="宋体" w:hAnsi="宋体"/>
                <w:sz w:val="21"/>
                <w:szCs w:val="21"/>
                <w:lang w:eastAsia="zh-CN"/>
              </w:rPr>
              <w:t>01</w:t>
            </w:r>
            <w:r w:rsidRPr="00DC4975">
              <w:rPr>
                <w:rFonts w:ascii="宋体" w:eastAsia="宋体" w:hAnsi="宋体" w:cs="宋体"/>
                <w:sz w:val="21"/>
                <w:szCs w:val="21"/>
                <w:lang w:eastAsia="zh-CN"/>
              </w:rPr>
              <w:t>日</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下属基金份额类别的基金简称</w:t>
            </w:r>
          </w:p>
        </w:tc>
        <w:tc>
          <w:tcPr>
            <w:tcW w:w="26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鹏华睿进一年持有期混合</w:t>
            </w:r>
            <w:r w:rsidRPr="00DC4975">
              <w:rPr>
                <w:rFonts w:ascii="宋体" w:eastAsia="宋体" w:hAnsi="宋体"/>
                <w:sz w:val="21"/>
                <w:szCs w:val="21"/>
                <w:lang w:eastAsia="zh-CN"/>
              </w:rPr>
              <w:t>A</w:t>
            </w:r>
          </w:p>
        </w:tc>
        <w:tc>
          <w:tcPr>
            <w:tcW w:w="270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鹏华睿进一年持有期混合</w:t>
            </w:r>
            <w:r w:rsidRPr="00DC4975">
              <w:rPr>
                <w:rFonts w:ascii="宋体" w:eastAsia="宋体" w:hAnsi="宋体"/>
                <w:sz w:val="21"/>
                <w:szCs w:val="21"/>
                <w:lang w:eastAsia="zh-CN"/>
              </w:rPr>
              <w:t>C</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下属基金份额类别的基金代码</w:t>
            </w:r>
          </w:p>
        </w:tc>
        <w:tc>
          <w:tcPr>
            <w:tcW w:w="26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sz w:val="21"/>
                <w:szCs w:val="21"/>
                <w:lang w:eastAsia="zh-CN"/>
              </w:rPr>
              <w:t>016818</w:t>
            </w:r>
          </w:p>
        </w:tc>
        <w:tc>
          <w:tcPr>
            <w:tcW w:w="270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sz w:val="21"/>
                <w:szCs w:val="21"/>
                <w:lang w:eastAsia="zh-CN"/>
              </w:rPr>
              <w:t>016819</w:t>
            </w:r>
          </w:p>
        </w:tc>
      </w:tr>
      <w:tr w:rsidR="0001369F" w:rsidRPr="00DC4975">
        <w:tc>
          <w:tcPr>
            <w:tcW w:w="32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lang w:eastAsia="zh-CN"/>
              </w:rPr>
            </w:pPr>
            <w:r w:rsidRPr="00DC4975">
              <w:rPr>
                <w:rFonts w:ascii="宋体" w:eastAsia="宋体" w:hAnsi="宋体" w:cs="宋体"/>
                <w:sz w:val="21"/>
                <w:szCs w:val="21"/>
                <w:lang w:eastAsia="zh-CN"/>
              </w:rPr>
              <w:t>该类基金份额是否开放赎回、转换转出</w:t>
            </w:r>
          </w:p>
        </w:tc>
        <w:tc>
          <w:tcPr>
            <w:tcW w:w="26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是</w:t>
            </w:r>
          </w:p>
        </w:tc>
        <w:tc>
          <w:tcPr>
            <w:tcW w:w="270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01369F" w:rsidRPr="00DC4975" w:rsidRDefault="00913A88">
            <w:pPr>
              <w:widowControl w:val="0"/>
              <w:jc w:val="both"/>
              <w:rPr>
                <w:rFonts w:ascii="宋体" w:eastAsia="宋体" w:hAnsi="宋体"/>
                <w:sz w:val="21"/>
                <w:szCs w:val="21"/>
              </w:rPr>
            </w:pPr>
            <w:r w:rsidRPr="00DC4975">
              <w:rPr>
                <w:rFonts w:ascii="宋体" w:eastAsia="宋体" w:hAnsi="宋体" w:cs="宋体"/>
                <w:sz w:val="21"/>
                <w:szCs w:val="21"/>
                <w:lang w:eastAsia="zh-CN"/>
              </w:rPr>
              <w:t>是</w:t>
            </w:r>
          </w:p>
        </w:tc>
      </w:tr>
    </w:tbl>
    <w:p w:rsidR="0001369F" w:rsidRDefault="00913A88">
      <w:pPr>
        <w:keepNext/>
        <w:keepLines/>
        <w:widowControl w:val="0"/>
        <w:spacing w:before="156" w:after="156"/>
        <w:rPr>
          <w:lang w:eastAsia="zh-CN"/>
        </w:rPr>
      </w:pPr>
      <w:r>
        <w:rPr>
          <w:rFonts w:ascii="宋体" w:eastAsia="宋体" w:hAnsi="宋体" w:cs="宋体"/>
          <w:b/>
          <w:bCs/>
          <w:lang w:eastAsia="zh-CN"/>
        </w:rPr>
        <w:t>2赎回和转换转出业务的办理时间</w:t>
      </w:r>
    </w:p>
    <w:p w:rsidR="0001369F" w:rsidRDefault="00913A88" w:rsidP="00DC4975">
      <w:pPr>
        <w:spacing w:line="360" w:lineRule="auto"/>
        <w:ind w:firstLine="420"/>
        <w:jc w:val="both"/>
        <w:rPr>
          <w:sz w:val="21"/>
          <w:szCs w:val="21"/>
          <w:lang w:eastAsia="zh-CN"/>
        </w:rPr>
      </w:pPr>
      <w:bookmarkStart w:id="0" w:name="t_2_2_2819_a1_fm1"/>
      <w:bookmarkEnd w:id="0"/>
      <w:r>
        <w:rPr>
          <w:rStyle w:val="myInmportability"/>
          <w:rFonts w:ascii="宋体" w:eastAsia="宋体" w:hAnsi="宋体" w:cs="宋体"/>
          <w:sz w:val="21"/>
          <w:szCs w:val="21"/>
          <w:lang w:eastAsia="zh-CN"/>
        </w:rPr>
        <w:t xml:space="preserve">鹏华睿进一年持有期混合型证券投资基金 </w:t>
      </w:r>
      <w:r>
        <w:rPr>
          <w:rFonts w:ascii="宋体" w:eastAsia="宋体" w:hAnsi="宋体" w:cs="宋体"/>
          <w:sz w:val="21"/>
          <w:szCs w:val="21"/>
          <w:lang w:eastAsia="zh-CN"/>
        </w:rPr>
        <w:t xml:space="preserve">（以下简称“本基金”） 自2024年02月01日起（含当日）开放日常赎回和转换转出业务。 </w:t>
      </w:r>
    </w:p>
    <w:p w:rsidR="0001369F" w:rsidRDefault="00913A88" w:rsidP="00DC4975">
      <w:pPr>
        <w:pStyle w:val="MsoNormal0"/>
        <w:spacing w:line="360" w:lineRule="auto"/>
        <w:ind w:firstLine="420"/>
        <w:jc w:val="both"/>
        <w:rPr>
          <w:lang w:eastAsia="zh-CN"/>
        </w:rPr>
      </w:pPr>
      <w:r>
        <w:rPr>
          <w:rStyle w:val="myInmportability"/>
          <w:rFonts w:ascii="宋体" w:eastAsia="宋体" w:hAnsi="宋体" w:cs="宋体"/>
          <w:sz w:val="21"/>
          <w:szCs w:val="21"/>
          <w:lang w:eastAsia="zh-CN"/>
        </w:rPr>
        <w:t>本基金对每份基金份额设置</w:t>
      </w:r>
      <w:r w:rsidR="00681513">
        <w:rPr>
          <w:rStyle w:val="myInmportability"/>
          <w:rFonts w:ascii="宋体" w:eastAsia="宋体" w:hAnsi="宋体" w:cs="宋体" w:hint="eastAsia"/>
          <w:sz w:val="21"/>
          <w:szCs w:val="21"/>
          <w:lang w:eastAsia="zh-CN"/>
        </w:rPr>
        <w:t>一</w:t>
      </w:r>
      <w:r>
        <w:rPr>
          <w:rStyle w:val="myInmportability"/>
          <w:rFonts w:ascii="宋体" w:eastAsia="宋体" w:hAnsi="宋体" w:cs="宋体"/>
          <w:sz w:val="21"/>
          <w:szCs w:val="21"/>
          <w:lang w:eastAsia="zh-CN"/>
        </w:rPr>
        <w:t>年的最短持有期。最短持有期内基金份额持有人不能提出赎回和转换转出申请，最短持有期到期日及之后基金份额持有人可以提出赎回和转换转出申请。本基金认购份额的赎回和转换转出申请起始日为2024年02月01日。</w:t>
      </w:r>
      <w:r>
        <w:rPr>
          <w:rFonts w:eastAsia="Times New Roman"/>
          <w:lang w:eastAsia="zh-CN"/>
        </w:rPr>
        <w:t xml:space="preserve"> </w:t>
      </w:r>
    </w:p>
    <w:p w:rsidR="0001369F" w:rsidRDefault="00913A88">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lastRenderedPageBreak/>
        <w:t>3赎回业务</w:t>
      </w:r>
    </w:p>
    <w:p w:rsidR="0001369F" w:rsidRDefault="00913A88">
      <w:pPr>
        <w:widowControl w:val="0"/>
        <w:spacing w:before="156" w:after="156"/>
        <w:rPr>
          <w:lang w:eastAsia="zh-CN"/>
        </w:rPr>
      </w:pPr>
      <w:r>
        <w:rPr>
          <w:rFonts w:ascii="宋体" w:eastAsia="宋体" w:hAnsi="宋体" w:cs="宋体"/>
          <w:b/>
          <w:bCs/>
          <w:lang w:eastAsia="zh-CN"/>
        </w:rPr>
        <w:t>3.1赎回份额限制</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投资人赎回本基金份额时，可申请将其持有的部分或全部基金份额赎回；账户最低余额为0.01份基金份额，若某笔赎回将导致投资人在销售机构托管的单只基金份额余额不足0.01份时，该笔赎回业务应包括账户内全部基金份额，否则，剩余部分的基金份额将被强制赎回。</w:t>
      </w:r>
    </w:p>
    <w:p w:rsidR="0001369F" w:rsidRDefault="00913A88">
      <w:pPr>
        <w:widowControl w:val="0"/>
        <w:spacing w:before="156" w:after="156"/>
        <w:jc w:val="both"/>
        <w:rPr>
          <w:lang w:eastAsia="zh-CN"/>
        </w:rPr>
      </w:pPr>
      <w:r>
        <w:rPr>
          <w:rFonts w:ascii="宋体" w:eastAsia="宋体" w:hAnsi="宋体" w:cs="宋体"/>
          <w:b/>
          <w:bCs/>
          <w:lang w:eastAsia="zh-CN"/>
        </w:rPr>
        <w:t>3.2赎回费率</w:t>
      </w:r>
    </w:p>
    <w:p w:rsidR="0001369F" w:rsidRDefault="00DC4975" w:rsidP="00DC4975">
      <w:pPr>
        <w:widowControl w:val="0"/>
        <w:spacing w:before="156" w:after="156"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sidR="00913A88">
        <w:rPr>
          <w:rFonts w:ascii="宋体" w:eastAsia="宋体" w:hAnsi="宋体" w:cs="宋体"/>
          <w:sz w:val="21"/>
          <w:szCs w:val="21"/>
          <w:lang w:eastAsia="zh-CN"/>
        </w:rPr>
        <w:t>本基金对于单笔认/申购的基金份额设置一年的最短持有期。最短持有期内基金份额持有人不能提出赎回申请，最短持有期到期日及之后基金份额持有人可以提出赎回申请，红利再投资的基金份额的最短持有期到期日与原基金份额的最短持有期到期日保持一致，赎回时不收取赎回费。</w:t>
      </w:r>
    </w:p>
    <w:p w:rsidR="0001369F" w:rsidRDefault="00913A88">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4转换业务</w:t>
      </w:r>
    </w:p>
    <w:p w:rsidR="0001369F" w:rsidRDefault="00913A88">
      <w:pPr>
        <w:widowControl w:val="0"/>
        <w:spacing w:before="156" w:after="156"/>
        <w:rPr>
          <w:lang w:eastAsia="zh-CN"/>
        </w:rPr>
      </w:pPr>
      <w:r>
        <w:rPr>
          <w:rFonts w:ascii="宋体" w:eastAsia="宋体" w:hAnsi="宋体" w:cs="宋体"/>
          <w:b/>
          <w:bCs/>
          <w:lang w:eastAsia="zh-CN"/>
        </w:rPr>
        <w:t>4.1转换费率</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本基金的转换按照转出基金的赎回费用加上转出与转入基金申购费用补差的标准收取费用。具体转换费用组成如下：</w:t>
      </w:r>
    </w:p>
    <w:p w:rsidR="0001369F" w:rsidRDefault="00913A88">
      <w:pPr>
        <w:widowControl w:val="0"/>
        <w:spacing w:line="360" w:lineRule="auto"/>
        <w:ind w:firstLine="420"/>
        <w:rPr>
          <w:sz w:val="21"/>
          <w:szCs w:val="21"/>
        </w:rPr>
      </w:pPr>
      <w:r>
        <w:rPr>
          <w:rFonts w:ascii="宋体" w:eastAsia="宋体" w:hAnsi="宋体" w:cs="宋体"/>
          <w:sz w:val="21"/>
          <w:szCs w:val="21"/>
          <w:lang w:eastAsia="zh-CN"/>
        </w:rPr>
        <w:t>1、赎回费用</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转出基金的赎回费率按持有年限递减，具体各基金的赎回费率请参见各基金的招募说明书或相关业务公告，并可在本公司网站（www.phfund.com.cn）查询。基金转换费用中转出基金的赎回费总额归入转出基金的基金财产比例详见转出基金招募说明书（更新）的约定。</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2、申购费用补差</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（1）当转出基金申购费低于转入基金申购费时，则按差额收取申购费用补差；当转出基金申购费高于或等于转入基金申购费时，不收取费用补差。</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（2）免申购费用的基金转入本基金，转换申购费用补差为本基金的申购费。</w:t>
      </w:r>
    </w:p>
    <w:p w:rsidR="0001369F" w:rsidRDefault="00913A88">
      <w:pPr>
        <w:widowControl w:val="0"/>
        <w:spacing w:before="156" w:after="156"/>
        <w:jc w:val="both"/>
        <w:rPr>
          <w:lang w:eastAsia="zh-CN"/>
        </w:rPr>
      </w:pPr>
      <w:r>
        <w:rPr>
          <w:rFonts w:ascii="宋体" w:eastAsia="宋体" w:hAnsi="宋体" w:cs="宋体"/>
          <w:b/>
          <w:bCs/>
          <w:lang w:eastAsia="zh-CN"/>
        </w:rPr>
        <w:t>4.2其他与转换相关的事项</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1、转换业务适用基金范围</w:t>
      </w:r>
    </w:p>
    <w:p w:rsidR="0001369F" w:rsidRDefault="00913A88">
      <w:pPr>
        <w:widowControl w:val="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上述基金的转换业务适用于其与鹏华弘泰灵活配置混合型证券投资基金（包括A类份额和C类份额）、鹏华精选成长混合型证券投资基金（包括A类份额和C类份额）、鹏华信用增利债券型证券投资基金（包括A类份额和B类份额）、鹏华消费优选混合型证券投资基金、鹏华丰盛稳固收益债券型证券投资基金、鹏华新兴产业混合型证券投资基金、鹏华价值精选股票型证券投资基金、鹏华宏观灵活配置混合型证券投资基金、鹏华纯债债券型证券投资基金、鹏华产业债债券型证券投资基金（包括A类份额和C类份额）、鹏华双债增利债券型证券投资基金（包括A类份额和C类份额）、鹏华双债加利债券型证券投资基金（包括A类份额和C类份额）、鹏华量化先锋混合型证券投资基金、鹏华双债保利债券型证券投资基金、鹏华品牌传承灵活配置混合型证券投资基金、鹏华增值宝货币市场基金、鹏华环保产业股票型证券投资基金、鹏华医疗保健股票型证券投资基金、鹏华先进制造股票型证券投资基金、鹏华养老产业股票型证券投资基金、鹏华安盈宝货币市场基金（包括A类份额和C类份额和E类份额）、鹏华可转债债券型证券投资基金（包括A类份额和C类份额）、鹏华弘盛灵活配置混合型证券投资基金（包括A类份额和C类份额）、鹏华弘利灵活配置混合型证券投资基金（包括A类份额和C类份额）、鹏华弘润灵活配置混合型证券投资基金（包括A类份额和C类份额）、鹏华弘泽灵活配置混合型证券投资基金（包括A类份额和C类份额）、鹏华改革红利股票型证券投资基金、鹏华外延成长灵活配置混合型证券投资基金、鹏华弘和灵活配置混合型证券投资基金（包括A类份额和C类份额）、鹏华弘华灵活配置混合型证券投资基金（包括A类份额和C类份额）、鹏华弘实灵活配置混合型证券投资基金（包括A类份额和C类份额）、鹏华弘信灵活配置混合型证券投资基金（包括A类份额和C类份额）、鹏华弘益灵活配置混合型证券投资基金（包括A类份额和C类份额）、鹏华医药科技股票型证券投资基金（包括A类份额和C类份额）、鹏华弘鑫灵活配置混合型证券投资基金（包括A类份额和C类份额）、鹏华添利宝货币市场基金（包括A类份额和B类份额）、鹏华弘安灵活配置混合型证券投资基金（包括A类份额和C类份额）、鹏华丰华债券型证券投资基金、鹏华健康环保灵活配置混合型证券投资基金、鹏华文化传媒娱乐股票型证券投资基金、鹏华添利交易型货币市场基金A类份额、鹏华金城灵活配置混合型证券投资基金、鹏华丰茂债券型证券投资基金、鹏华弘达灵活配置混合型证券投资基金（包括A类份额和C类份额）、鹏华弘嘉灵活配置混合型证券投资基金（包括A类份额和C类份额）、鹏华丰达债券型证券投资基金（包括A类份额和C类份额）、鹏华丰恒债券型证券投资基金（包括A类份额</w:t>
      </w:r>
      <w:bookmarkStart w:id="1" w:name="_GoBack"/>
      <w:r w:rsidR="001C079A">
        <w:rPr>
          <w:rFonts w:ascii="宋体" w:eastAsia="宋体" w:hAnsi="宋体" w:cs="宋体" w:hint="eastAsia"/>
          <w:sz w:val="21"/>
          <w:szCs w:val="21"/>
          <w:lang w:eastAsia="zh-CN"/>
        </w:rPr>
        <w:t>和C类</w:t>
      </w:r>
      <w:r w:rsidR="001C079A">
        <w:rPr>
          <w:rFonts w:ascii="宋体" w:eastAsia="宋体" w:hAnsi="宋体" w:cs="宋体"/>
          <w:sz w:val="21"/>
          <w:szCs w:val="21"/>
          <w:lang w:eastAsia="zh-CN"/>
        </w:rPr>
        <w:t>份额</w:t>
      </w:r>
      <w:bookmarkEnd w:id="1"/>
      <w:r>
        <w:rPr>
          <w:rFonts w:ascii="宋体" w:eastAsia="宋体" w:hAnsi="宋体" w:cs="宋体"/>
          <w:sz w:val="21"/>
          <w:szCs w:val="21"/>
          <w:lang w:eastAsia="zh-CN"/>
        </w:rPr>
        <w:t>和D类份额）、鹏华弘惠灵活配置混合型证券投资基金（包括A类份额和C类份额）、鹏华弘康灵活配置混合型证券投资基金（包括A类份额和C类份额）、鹏华弘尚灵活配置混合型证券投资基金（包括A类份额和C类份额）、鹏华丰禄债券型证券投资基金、鹏华丰腾债券型证券投资基金、鹏华丰盈债券型证券投资基金、鹏华沪深港新兴成长灵活配置混合型证券投资基金（包括A类份额和C类份额）、鹏华丰惠债券型证券投资基金</w:t>
      </w:r>
      <w:r w:rsidR="008C34B8">
        <w:rPr>
          <w:rFonts w:ascii="宋体" w:eastAsia="宋体" w:hAnsi="宋体" w:cs="宋体" w:hint="eastAsia"/>
          <w:sz w:val="21"/>
          <w:szCs w:val="21"/>
          <w:lang w:eastAsia="zh-CN"/>
        </w:rPr>
        <w:t>、</w:t>
      </w:r>
      <w:r>
        <w:rPr>
          <w:rFonts w:ascii="宋体" w:eastAsia="宋体" w:hAnsi="宋体" w:cs="宋体"/>
          <w:sz w:val="21"/>
          <w:szCs w:val="21"/>
          <w:lang w:eastAsia="zh-CN"/>
        </w:rPr>
        <w:t xml:space="preserve">鹏华安益增强混合型证券投资基金、鹏华丰享债券型证券投资基金、鹏华丰玉债券型证券投资基金（包括A类份额和C类份额）、鹏华丰康债券型证券投资基金（包括A类份额和C类份额）、鹏华丰瑞债券型证券投资基金、鹏华聚财通货币市场基金、鹏华丰源债券型证券投资基金、鹏华盈余宝货币市场基金（包括A类份额和B类份额）、鹏华金元宝货币市场基金、鹏华兴鑫宝货币市场基金（包括A类份额和C类份额和E类份额）、鹏华策略回报灵活配置混合型证券投资基金、鹏华研究精选灵活配置混合型证券投资基金、鹏华优势企业股票型证券投资基金、鹏华产业精选灵活配置混合型证券投资基金（包括A类份额和C类份额）、鹏华睿投灵活配置混合型证券投资基金（包括A类份额和C类份额）、鹏华创新驱动混合型证券投资基金、鹏华研究驱动混合型证券投资基金、鹏华优选回报灵活配置混合型证券投资基金（包括A类份额和C类份额）、鹏华中债1-3年国开行债券指数证券投资基金（包括A类份额和C类份额）、鹏华核心优势混合型证券投资基金（包括A类份额和C类份额）、鹏华研究智选混合型证券投资基金、鹏华金利债券型证券投资基金、鹏华丰登债券型证券投资基金、鹏华浮动净值型发起式货币市场基金、鹏华丰鑫债券型证券投资基金、鹏华丰庆债券型证券投资基金、鹏华稳利短债债券型证券投资基金（包括A类份额和C类份额）、鹏华金享混合型证券投资基金、鹏华价值驱动混合型证券投资基金、鹏华优选价值股票型证券投资基金（包括A类份额和C类份额）、鹏华0-5年利率债债券型发起式证券投资基金（包括A类份额和C类份额）、鹏华科技创新混合型证券投资基金、鹏华中证500交易型开放式指数证券投资基金联接基金（包括A类份额和C类份额）、鹏华价值成长混合型证券投资基金、鹏华丰诚债券型证券投资基金（包括A类份额和C类份额和D类份额）、鹏华安泽混合型证券投资基金（包括A类份额和C类份额）、鹏华稳健回报混合型证券投资基金（包括A类份额和C类份额）、鹏华鑫享稳健混合型证券投资基金（包括A类份额和C类份额）、鹏华中债3-5年国开行债券指数证券投资基金（包括A类份额和C类份额）、鹏华股息精选混合型证券投资基金、鹏华成长价值混合型证券投资基金（包括A类份额和C类份额）、鹏华普利债券型证券投资基金（包括A类份额和C类份额）、鹏华优质企业混合型证券投资基金（包括A类份额和C类份额）、鹏华安和混合型证券投资基金（包括A类份额和C类份额）、鹏华安庆混合型证券投资基金（包括A类份额和C类份额）、鹏华安惠混合型证券投资基金（包括A类份额和C类份额）、鹏华匠心精选混合型证券投资基金（包括A类份额和C类份额）、鹏华新兴成长混合型证券投资基金（包括A类份额和C类份额）、鹏华安睿两年持有期混合型证券投资基金（包括A类份额和C类份额）、鹏华招华一年持有期混合型证券投资基金（包括A类份额和C类份额）、鹏华中债1-3年农发行债券指数证券投资基金（包括A类份额和C类份额）、鹏华年年红一年持有期债券型证券投资基金（包括A类份额和C类份额）、鹏华中债-0-3年AA+优选信用债指数证券投资基金（包括A类份额和C类份额）、鹏华启航混合型证券投资基金、鹏华成长智选混合型证券投资基金（包括A类份额和C类份额）、鹏华丰颐债券型证券投资基金、鹏华高质量增长混合型证券投资基金（包括A类份额和C类份额）、鹏华优选成长混合型证券投资基金（包括A类份额和C类份额）、鹏华安润混合型证券投资基金（包括A类份额和C类份额）、鹏华安享一年持有期混合型证券投资基金（包括A类份额和C类份额）、鹏华汇智优选混合型证券投资基金（包括A类份额和C类份额）、鹏华安裕5个月持有期混合型证券投资基金（包括A类份额和C类份额）、鹏华弘裕一年持有期混合型证券投资基金（包括A类份额和C类份额）、鹏华安悦一年持有期混合型证券投资基金（包括A类份额和C类份额）、鹏华品质优选混合型证券投资基金（包括A类份额和C类份额）、鹏华宁华一年持有期混合型证券投资基金（包括A类份额和C类份额）、鹏华创新成长混合型证券投资基金（包括A类份额和C类份额）、鹏华致远成长混合型证券投资基金（包括A类份额和C类份额）、鹏华远见回报三年持有期混合型证券投资基金、鹏华民丰盈和6个月持有期混合型证券投资基金（包括A类份额和C类份额）、鹏华招润一年持有期混合型证券投资基金（包括A类份额和C类份额）、鹏华鑫远价值一年持有期混合型证券投资基金（包括A类份额和C类份额）、鹏华远见成长混合型证券投资基金（包括A类份额和C类份额）、鹏华创新升级混合型证券投资基金（包括A类份额和C类份额）、鹏华领航一年持有期混合型证券投资基金（包括A类份额和C类份额）、鹏华稳泰30天滚动持有债券型证券投资基金（包括A类份额和C类份额）、鹏华中证内地低碳经济主题交易型开放式指数证券投资基金联接基金（包括A类份额和C类份额）、鹏华新能源精选混合型证券投资基金（包括A类份额和C类份额）、鹏华丰宁债券型证券投资基金（包括A类份额和C类份额）、鹏华品质成长混合型证券投资基金（包括A类份额和C类份额）、鹏华国证半导体芯片交易型开放式指数证券投资基金联接基金（包括A类份额和C类份额）、鹏华稳健鸿利一年持有期混合型证券投资基金（包括A类份额和C类份额）、鹏华产业升级混合型证券投资基金（包括A类份额和C类份额）、鹏华安诚混合型证券投资基金（包括A类份额和C类份额）、鹏华安荣混合型证券投资基金（包括A类份额和C类份额）、鹏华精选群英一年持有期灵活配置混合型管理人中管理人（MOM）证券投资基金、鹏华品质精选混合型证券投资基金（包括A类份额和C类份额）、鹏华安康一年持有期混合型证券投资基金（包括A类份额和C类份额）、鹏华安颐混合型证券投资基金（包括A类份额和C类份额）、鹏华稳华90天滚动持有债券型证券投资基金（包括A类份额和C类份额）、鹏华沃鑫混合型证券投资基金（包括A类份额和C类份额）、鹏华稳瑞中短债债券型证券投资基金、鹏华中证500指数增强型证券投资基金（包括A类份额和C类份额）、鹏华成长领航两年持有期混合型证券投资基金（包括A类份额和C类份额）、鹏华价值远航6个月持有期混合型证券投资基金（包括A类份额和C类份额）、鹏华中证细分化工产业主题交易型开放式指数证券投资基金联接基金（包括A类份额和C类份额）、鹏华双季享180天持有期债券型证券投资基金（包括A类份额和C类份额）、鹏华浙华一年持有期混合型证券投资基金（包括A类份额和C类份额）、鹏华创新增长一年持有期混合型证券投资基金（包括A类份额和C类份额）、鹏华鑫华一年持有期混合型证券投资基金（包括A类份额和C类份额）、鹏华稳享一年持有期混合型证券投资基金（包括A类份额和C类份额）、鹏华新能源汽车主题混合型证券投资基金（包括A类份额和C类份额）、鹏华增华混合型证券投资基金（包括A类份额和C类份额）、鹏华兴鹏一年持有期混合型证券投资基金（包括A类份额和C类份额）、鹏华增鑫股票型证券投资基金（包括A类份额和C类份额）、鹏华丰启债券型证券投资基金、鹏华畅享债券型证券投资基金（包括A类份额和C类份额）、鹏华创兴增利债券型证券投资基金（包括A类份额和C类份额和D类份额）、鹏华稳福中短债债券型证券投资基金（包括A类份额和C类份额和E类份额）、鹏华中证中药交易型开放式指数证券投资基金联接基金（包括A类份额和C类份额）、鹏华中证1000指数增强型证券投资基金（包括A类份额和C类份额）、鹏华稳健增利债券型证券投资基金（包括A类份额和C类份额）、鹏华稳健恒利债券型证券投资基金（包括A类份额和C类份额）、鹏华国证2000指数增强型证券投资基金（包括A类份额和C类份额）、鹏华丰尊债券型证券投资基金、鹏华汽车产业混合型发起式证券投资基金（包括A类份额和C类份额）、鹏华新材料混合型发起式证券投资基金（包括A类份额和C类份额）、鹏华稳健添利债券型证券投资基金（包括A类份额和C类份额）、鹏华碳中和主题混合型证券投资基金（包括A类份额和C类份额）、鹏华芯片产业混合型发起式证券投资基金（包括A类份额和C类份额）、鹏华丰顺债券型证券投资基金、鹏华睿见混合型证券投资基金（包括A类份额和C类份额）、鹏华创业板50交易型开放式指数证券投资基金联接基金（包括A类份额和C类份额）、鹏华上证科创板100交易型开放式指数证券投资基金联接基金（包括A类份额和C类份额）、鹏华丰景债券型证券投资基金之间的基金转换。 </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注：我司旗下定期开放产品在开放期间开通转换业务的，也适用于与本基金在开放期间的基金转换。</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2、基金转换份额的计算</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基金转换计算公式如下：</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转出基金赎回手续费＝转出份额×转出净值×转出基金赎回手续费率</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转出金额=转出份额×转出基金当日基金份额净值－转出基金赎回手续费</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补差费（外扣）＝转出金额×转入基金的申购费率/（1＋转入基金申购费率）－转出金额×转出基金申购费率/（1＋转出基金申购费率）</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转换费用＝转出基金赎回手续费＋补差费</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转入份额＝（转出金额－补差费）/转入基金当日基金份额净值</w:t>
      </w:r>
    </w:p>
    <w:p w:rsidR="0001369F" w:rsidRDefault="00913A88">
      <w:pPr>
        <w:pStyle w:val="MsoNormal00"/>
        <w:widowControl w:val="0"/>
        <w:shd w:val="clear" w:color="auto" w:fill="FFFFFF"/>
        <w:spacing w:line="360" w:lineRule="auto"/>
        <w:ind w:firstLine="420"/>
        <w:jc w:val="both"/>
        <w:rPr>
          <w:rFonts w:ascii="宋体" w:eastAsia="宋体" w:hAnsi="宋体" w:cs="宋体"/>
          <w:sz w:val="21"/>
          <w:szCs w:val="21"/>
          <w:lang w:eastAsia="zh-CN"/>
        </w:rPr>
      </w:pPr>
      <w:r>
        <w:rPr>
          <w:rFonts w:ascii="宋体" w:eastAsia="宋体" w:hAnsi="宋体" w:cs="宋体"/>
          <w:color w:val="020202"/>
          <w:sz w:val="21"/>
          <w:szCs w:val="21"/>
          <w:lang w:eastAsia="zh-CN"/>
        </w:rPr>
        <w:t>例如：某基金份额持有人（非养老金客户）持有本基金A类份额10,000份，一年后决定转换为鹏华价值精选股票型证券投资基金，本基金A类份额对应前端申购费率为1.50%，赎回费率为0，假设转换当日转出基金份额净值是1.08元，转入基金的份额净值是1.05元，并且转入基金对应的前端申购费率为1.5%，则可得到的转换份额为：</w:t>
      </w:r>
      <w:r>
        <w:rPr>
          <w:rFonts w:ascii="宋体" w:eastAsia="宋体" w:hAnsi="宋体" w:cs="宋体"/>
          <w:sz w:val="21"/>
          <w:szCs w:val="21"/>
          <w:lang w:eastAsia="zh-CN"/>
        </w:rPr>
        <w:t xml:space="preserve"> </w:t>
      </w:r>
    </w:p>
    <w:p w:rsidR="0001369F" w:rsidRDefault="00913A88">
      <w:pPr>
        <w:pStyle w:val="MsoNormal00"/>
        <w:widowControl w:val="0"/>
        <w:shd w:val="clear" w:color="auto" w:fill="FFFFFF"/>
        <w:spacing w:line="360" w:lineRule="auto"/>
        <w:ind w:firstLine="420"/>
        <w:jc w:val="both"/>
        <w:rPr>
          <w:rFonts w:ascii="宋体" w:eastAsia="宋体" w:hAnsi="宋体" w:cs="宋体"/>
          <w:sz w:val="21"/>
          <w:szCs w:val="21"/>
          <w:lang w:eastAsia="zh-CN"/>
        </w:rPr>
      </w:pPr>
      <w:r>
        <w:rPr>
          <w:rFonts w:ascii="宋体" w:eastAsia="宋体" w:hAnsi="宋体" w:cs="宋体"/>
          <w:color w:val="020202"/>
          <w:sz w:val="21"/>
          <w:szCs w:val="21"/>
          <w:lang w:eastAsia="zh-CN"/>
        </w:rPr>
        <w:t>转出基金赎回手续费＝0元</w:t>
      </w:r>
      <w:r>
        <w:rPr>
          <w:rFonts w:ascii="宋体" w:eastAsia="宋体" w:hAnsi="宋体" w:cs="宋体"/>
          <w:sz w:val="21"/>
          <w:szCs w:val="21"/>
          <w:lang w:eastAsia="zh-CN"/>
        </w:rPr>
        <w:t xml:space="preserve"> </w:t>
      </w:r>
    </w:p>
    <w:p w:rsidR="0001369F" w:rsidRDefault="00913A88">
      <w:pPr>
        <w:pStyle w:val="MsoNormal00"/>
        <w:widowControl w:val="0"/>
        <w:shd w:val="clear" w:color="auto" w:fill="FFFFFF"/>
        <w:spacing w:line="360" w:lineRule="auto"/>
        <w:ind w:firstLine="420"/>
        <w:jc w:val="both"/>
        <w:rPr>
          <w:rFonts w:ascii="宋体" w:eastAsia="宋体" w:hAnsi="宋体" w:cs="宋体"/>
          <w:sz w:val="21"/>
          <w:szCs w:val="21"/>
          <w:lang w:eastAsia="zh-CN"/>
        </w:rPr>
      </w:pPr>
      <w:r>
        <w:rPr>
          <w:rFonts w:ascii="宋体" w:eastAsia="宋体" w:hAnsi="宋体" w:cs="宋体"/>
          <w:color w:val="020202"/>
          <w:sz w:val="21"/>
          <w:szCs w:val="21"/>
          <w:lang w:eastAsia="zh-CN"/>
        </w:rPr>
        <w:t>转出金额=10,000×1.08-0=10,800元</w:t>
      </w:r>
      <w:r>
        <w:rPr>
          <w:rFonts w:ascii="宋体" w:eastAsia="宋体" w:hAnsi="宋体" w:cs="宋体"/>
          <w:sz w:val="21"/>
          <w:szCs w:val="21"/>
          <w:lang w:eastAsia="zh-CN"/>
        </w:rPr>
        <w:t xml:space="preserve"> </w:t>
      </w:r>
    </w:p>
    <w:p w:rsidR="0001369F" w:rsidRDefault="00913A88">
      <w:pPr>
        <w:pStyle w:val="MsoNormal00"/>
        <w:widowControl w:val="0"/>
        <w:shd w:val="clear" w:color="auto" w:fill="FFFFFF"/>
        <w:spacing w:line="360" w:lineRule="auto"/>
        <w:ind w:firstLine="420"/>
        <w:jc w:val="both"/>
        <w:rPr>
          <w:rFonts w:ascii="宋体" w:eastAsia="宋体" w:hAnsi="宋体" w:cs="宋体"/>
          <w:sz w:val="21"/>
          <w:szCs w:val="21"/>
          <w:lang w:eastAsia="zh-CN"/>
        </w:rPr>
      </w:pPr>
      <w:r>
        <w:rPr>
          <w:rFonts w:ascii="宋体" w:eastAsia="宋体" w:hAnsi="宋体" w:cs="宋体"/>
          <w:color w:val="020202"/>
          <w:sz w:val="21"/>
          <w:szCs w:val="21"/>
          <w:lang w:eastAsia="zh-CN"/>
        </w:rPr>
        <w:t>补差费（外扣）＝10,800×1.5%/(1+1.5%)-10,800×1.5%/(1+1.5%)=0元</w:t>
      </w:r>
      <w:r>
        <w:rPr>
          <w:rFonts w:ascii="宋体" w:eastAsia="宋体" w:hAnsi="宋体" w:cs="宋体"/>
          <w:sz w:val="21"/>
          <w:szCs w:val="21"/>
          <w:lang w:eastAsia="zh-CN"/>
        </w:rPr>
        <w:t xml:space="preserve"> </w:t>
      </w:r>
    </w:p>
    <w:p w:rsidR="0001369F" w:rsidRDefault="00913A88">
      <w:pPr>
        <w:pStyle w:val="MsoNormal00"/>
        <w:widowControl w:val="0"/>
        <w:shd w:val="clear" w:color="auto" w:fill="FFFFFF"/>
        <w:spacing w:line="360" w:lineRule="auto"/>
        <w:ind w:firstLine="420"/>
        <w:jc w:val="both"/>
        <w:rPr>
          <w:rFonts w:ascii="宋体" w:eastAsia="宋体" w:hAnsi="宋体" w:cs="宋体"/>
          <w:sz w:val="21"/>
          <w:szCs w:val="21"/>
          <w:lang w:eastAsia="zh-CN"/>
        </w:rPr>
      </w:pPr>
      <w:r>
        <w:rPr>
          <w:rFonts w:ascii="宋体" w:eastAsia="宋体" w:hAnsi="宋体" w:cs="宋体"/>
          <w:color w:val="020202"/>
          <w:sz w:val="21"/>
          <w:szCs w:val="21"/>
          <w:lang w:eastAsia="zh-CN"/>
        </w:rPr>
        <w:t>转换费用＝0元</w:t>
      </w:r>
      <w:r>
        <w:rPr>
          <w:rFonts w:ascii="宋体" w:eastAsia="宋体" w:hAnsi="宋体" w:cs="宋体"/>
          <w:sz w:val="21"/>
          <w:szCs w:val="21"/>
          <w:lang w:eastAsia="zh-CN"/>
        </w:rPr>
        <w:t xml:space="preserve"> </w:t>
      </w:r>
    </w:p>
    <w:p w:rsidR="0001369F" w:rsidRDefault="00913A88">
      <w:pPr>
        <w:pStyle w:val="MsoNormal00"/>
        <w:widowControl w:val="0"/>
        <w:shd w:val="clear" w:color="auto" w:fill="FFFFFF"/>
        <w:spacing w:line="360" w:lineRule="auto"/>
        <w:ind w:firstLine="420"/>
        <w:jc w:val="both"/>
        <w:rPr>
          <w:rFonts w:ascii="宋体" w:eastAsia="宋体" w:hAnsi="宋体" w:cs="宋体"/>
          <w:sz w:val="21"/>
          <w:szCs w:val="21"/>
          <w:lang w:eastAsia="zh-CN"/>
        </w:rPr>
      </w:pPr>
      <w:r>
        <w:rPr>
          <w:rFonts w:ascii="宋体" w:eastAsia="宋体" w:hAnsi="宋体" w:cs="宋体"/>
          <w:color w:val="020202"/>
          <w:sz w:val="21"/>
          <w:szCs w:val="21"/>
          <w:lang w:eastAsia="zh-CN"/>
        </w:rPr>
        <w:t>转入份额＝（10,800－0）/1.05＝10,285.71</w:t>
      </w:r>
      <w:r>
        <w:rPr>
          <w:rFonts w:ascii="宋体" w:eastAsia="宋体" w:hAnsi="宋体" w:cs="宋体"/>
          <w:sz w:val="21"/>
          <w:szCs w:val="21"/>
          <w:lang w:eastAsia="zh-CN"/>
        </w:rPr>
        <w:t xml:space="preserve"> </w:t>
      </w:r>
    </w:p>
    <w:p w:rsidR="0001369F" w:rsidRDefault="00913A88">
      <w:pPr>
        <w:pStyle w:val="MsoNormal00"/>
        <w:widowControl w:val="0"/>
        <w:shd w:val="clear" w:color="auto" w:fill="FFFFFF"/>
        <w:spacing w:line="360" w:lineRule="auto"/>
        <w:ind w:firstLine="420"/>
        <w:jc w:val="both"/>
        <w:rPr>
          <w:rFonts w:ascii="宋体" w:eastAsia="宋体" w:hAnsi="宋体" w:cs="宋体"/>
          <w:sz w:val="21"/>
          <w:szCs w:val="21"/>
          <w:lang w:eastAsia="zh-CN"/>
        </w:rPr>
      </w:pPr>
      <w:r>
        <w:rPr>
          <w:rFonts w:ascii="宋体" w:eastAsia="宋体" w:hAnsi="宋体" w:cs="宋体"/>
          <w:color w:val="020202"/>
          <w:sz w:val="21"/>
          <w:szCs w:val="21"/>
          <w:lang w:eastAsia="zh-CN"/>
        </w:rPr>
        <w:t>即：某基金份额持有人（非养老金客户）持有本基金A类份额10,000份，一年后决定转换为鹏华价值精选股票型证券投资基金，假设转换当日转出基金份额净值是1.08元，转入基金的基金份额净值是1.05 元，则可得到的转换份额为10,285.71份。</w:t>
      </w:r>
      <w:r>
        <w:rPr>
          <w:rFonts w:ascii="宋体" w:eastAsia="宋体" w:hAnsi="宋体" w:cs="宋体"/>
          <w:sz w:val="21"/>
          <w:szCs w:val="21"/>
          <w:lang w:eastAsia="zh-CN"/>
        </w:rPr>
        <w:t xml:space="preserve"> </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3、转换业务规则</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（1）基金转换只能在同一销售机构进行，且办理基金转换业务的销售机构须同时具备拟转出基金及拟转入基金的合法授权代理资格，并开通了相应的基金转换业务。</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2）基金份额登记机构以收到有效转换申请的当天作为转换申请日（T日）。投资人转换基金成功的，基金份额登记机构在T+1日为投资人办理权益转换的登记手续，投资人通常可自T+2日（含该日）后向业务办理网点查询转换业务的确认情况。</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（3）基金转换后，转入的基金份额的持有期将自转入的基金份额被确认之日起重新开始计算。</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（4）本基金单笔转换申请的最低份额为2份，基金份额持有人可将其全部或部分基金份额转换。</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5）对于转出基金的单个基金账户最低余额，请参见各基金的招募说明书或相关业务公告，若某笔转换将导致投资人在销售机构托管的转出基金份额余额不足最低余额时，该笔转换业务应包括账户内转出基金的全部基金份额，否则，剩余部分的基金份额将被强制赎回。</w:t>
      </w:r>
    </w:p>
    <w:p w:rsidR="0001369F" w:rsidRDefault="00913A88">
      <w:pPr>
        <w:widowControl w:val="0"/>
        <w:spacing w:line="360" w:lineRule="auto"/>
        <w:ind w:firstLine="420"/>
        <w:jc w:val="both"/>
        <w:rPr>
          <w:sz w:val="21"/>
          <w:szCs w:val="21"/>
          <w:lang w:eastAsia="zh-CN"/>
        </w:rPr>
      </w:pPr>
      <w:r>
        <w:rPr>
          <w:rFonts w:ascii="宋体" w:eastAsia="宋体" w:hAnsi="宋体" w:cs="宋体"/>
          <w:sz w:val="21"/>
          <w:szCs w:val="21"/>
          <w:lang w:eastAsia="zh-CN"/>
        </w:rPr>
        <w:t>（6）基金转换以申请当日基金份额净值为基础计算。投资人采用“份额转换”的原则提交申请。转出基金份额必须是可用份额，并遵循赎回处理的原则。</w:t>
      </w:r>
    </w:p>
    <w:p w:rsidR="0001369F" w:rsidRDefault="00913A88">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5 基金销售机构</w:t>
      </w:r>
    </w:p>
    <w:p w:rsidR="0001369F" w:rsidRDefault="00913A88">
      <w:pPr>
        <w:widowControl w:val="0"/>
        <w:spacing w:before="156" w:after="156"/>
        <w:jc w:val="both"/>
        <w:rPr>
          <w:lang w:eastAsia="zh-CN"/>
        </w:rPr>
      </w:pPr>
      <w:r>
        <w:rPr>
          <w:rFonts w:ascii="宋体" w:eastAsia="宋体" w:hAnsi="宋体" w:cs="宋体"/>
          <w:b/>
          <w:bCs/>
          <w:lang w:eastAsia="zh-CN"/>
        </w:rPr>
        <w:t>5.1直销机构</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鹏华基金管理有限公司</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办公地址：深圳市福田区福华三路168号深圳国际商会中心43层</w:t>
      </w:r>
    </w:p>
    <w:p w:rsidR="0001369F" w:rsidRDefault="00913A88">
      <w:pPr>
        <w:widowControl w:val="0"/>
        <w:spacing w:line="360" w:lineRule="auto"/>
        <w:ind w:firstLine="420"/>
        <w:rPr>
          <w:sz w:val="21"/>
          <w:szCs w:val="21"/>
        </w:rPr>
      </w:pPr>
      <w:r>
        <w:rPr>
          <w:rFonts w:ascii="宋体" w:eastAsia="宋体" w:hAnsi="宋体" w:cs="宋体"/>
          <w:sz w:val="21"/>
          <w:szCs w:val="21"/>
          <w:lang w:eastAsia="zh-CN"/>
        </w:rPr>
        <w:t>网址：www.phfund.com.cn</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全国统一客户服务电话：400-6788-533</w:t>
      </w:r>
    </w:p>
    <w:p w:rsidR="0001369F" w:rsidRDefault="00913A88">
      <w:pPr>
        <w:widowControl w:val="0"/>
        <w:spacing w:before="156" w:after="156"/>
        <w:jc w:val="both"/>
        <w:rPr>
          <w:lang w:eastAsia="zh-CN"/>
        </w:rPr>
      </w:pPr>
      <w:r>
        <w:rPr>
          <w:rFonts w:ascii="宋体" w:eastAsia="宋体" w:hAnsi="宋体" w:cs="宋体"/>
          <w:b/>
          <w:bCs/>
          <w:lang w:eastAsia="zh-CN"/>
        </w:rPr>
        <w:t>5.2其他销售机构</w:t>
      </w:r>
    </w:p>
    <w:p w:rsidR="0001369F" w:rsidRDefault="00913A88">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1、银行销售机构：华润银行、广发银行、东莞银行、东莞农商行、西安银行、宁波银行、南粤银行、中信银行、民生银行、工商银行、招商银行、平安银行。</w:t>
      </w:r>
    </w:p>
    <w:p w:rsidR="0001369F" w:rsidRDefault="00913A88">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2、证券（期货）销售机构：海通证券、国信证券、国元证券。</w:t>
      </w:r>
    </w:p>
    <w:p w:rsidR="0001369F" w:rsidRDefault="00913A88">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3、第三方销售机构：博时财富、诺亚正行、上海好买、上海天天、浙江同花顺、盈米财富、蚂蚁基金、上海利得、腾安基金、度小满、海银基金、雪球基金、北京肯特瑞、中植基金。</w:t>
      </w:r>
    </w:p>
    <w:p w:rsidR="0001369F" w:rsidRDefault="00913A88">
      <w:pPr>
        <w:pStyle w:val="2"/>
        <w:keepLines/>
        <w:widowControl w:val="0"/>
        <w:spacing w:before="156" w:after="156"/>
        <w:jc w:val="both"/>
        <w:rPr>
          <w:rFonts w:ascii="Times New Roman" w:hAnsi="Times New Roman" w:cs="Times New Roman"/>
          <w:lang w:eastAsia="zh-CN"/>
        </w:rPr>
      </w:pPr>
      <w:r>
        <w:rPr>
          <w:rFonts w:ascii="宋体" w:eastAsia="宋体" w:hAnsi="宋体" w:cs="宋体"/>
          <w:i w:val="0"/>
          <w:iCs w:val="0"/>
          <w:sz w:val="24"/>
          <w:szCs w:val="24"/>
          <w:lang w:eastAsia="zh-CN"/>
        </w:rPr>
        <w:t>6 基金份额净值公告/基金收益公告的披露安排</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在开始办理基金份额申购后，基金管理人应当在不晚于每个开放日的次日，通过规定网站、基金销售机构网站或者营业网点披露开放日的各类基金份额净值和基金份额累计净值。</w:t>
      </w:r>
    </w:p>
    <w:p w:rsidR="0001369F" w:rsidRDefault="00913A88">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7 其他需要提示的事项</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本公告仅对本基金开放赎回和转换转出业务的有关事项予以说明。投资人欲了解本基金相关业务规则的详细情况，请阅读刊登在中国证监会规定信息披露媒介上的《鹏华睿进一年持有期混合型证券投资基金招募说明书》（更新）。</w:t>
      </w:r>
    </w:p>
    <w:p w:rsidR="0001369F" w:rsidRDefault="00913A88">
      <w:pPr>
        <w:widowControl w:val="0"/>
        <w:spacing w:line="360" w:lineRule="auto"/>
        <w:ind w:firstLine="420"/>
        <w:rPr>
          <w:sz w:val="21"/>
          <w:szCs w:val="21"/>
          <w:lang w:eastAsia="zh-CN"/>
        </w:rPr>
      </w:pPr>
      <w:r>
        <w:rPr>
          <w:rFonts w:ascii="宋体" w:eastAsia="宋体" w:hAnsi="宋体" w:cs="宋体"/>
          <w:sz w:val="21"/>
          <w:szCs w:val="21"/>
          <w:lang w:eastAsia="zh-CN"/>
        </w:rPr>
        <w:t>风险提示：本基金管理人承诺以诚实信用、勤勉尽责的原则管理和运用基金资产，但不保证基金一定盈利，也不保证最低收益。请投资人投资本基金前认真阅读本基金的基金合同、招募说明书（更新）和基金产品资料概要（更新），并根据自身风险承受能力选择适合自己的基金产品。敬请投资人注意投资风险。</w:t>
      </w:r>
    </w:p>
    <w:p w:rsidR="0001369F" w:rsidRDefault="00913A88">
      <w:pPr>
        <w:widowControl w:val="0"/>
        <w:spacing w:line="360" w:lineRule="auto"/>
        <w:rPr>
          <w:sz w:val="21"/>
          <w:szCs w:val="21"/>
          <w:lang w:eastAsia="zh-CN"/>
        </w:rPr>
      </w:pPr>
      <w:r>
        <w:rPr>
          <w:rFonts w:eastAsia="Times New Roman"/>
          <w:sz w:val="21"/>
          <w:szCs w:val="21"/>
          <w:lang w:eastAsia="zh-CN"/>
        </w:rPr>
        <w:t> </w:t>
      </w:r>
    </w:p>
    <w:p w:rsidR="0001369F" w:rsidRDefault="00913A88">
      <w:pPr>
        <w:widowControl w:val="0"/>
        <w:spacing w:line="360" w:lineRule="auto"/>
        <w:ind w:firstLine="420"/>
        <w:jc w:val="right"/>
        <w:rPr>
          <w:sz w:val="21"/>
          <w:szCs w:val="21"/>
          <w:lang w:eastAsia="zh-CN"/>
        </w:rPr>
      </w:pPr>
      <w:r>
        <w:rPr>
          <w:rFonts w:ascii="宋体" w:eastAsia="宋体" w:hAnsi="宋体" w:cs="宋体"/>
          <w:sz w:val="21"/>
          <w:szCs w:val="21"/>
          <w:lang w:eastAsia="zh-CN"/>
        </w:rPr>
        <w:t>鹏华基金管理有限公司</w:t>
      </w:r>
    </w:p>
    <w:p w:rsidR="0001369F" w:rsidRPr="00DC4975" w:rsidRDefault="00913A88">
      <w:pPr>
        <w:widowControl w:val="0"/>
        <w:spacing w:line="360" w:lineRule="auto"/>
        <w:ind w:firstLine="420"/>
        <w:jc w:val="right"/>
        <w:rPr>
          <w:rFonts w:ascii="宋体" w:eastAsia="宋体" w:hAnsi="宋体"/>
          <w:sz w:val="21"/>
          <w:szCs w:val="21"/>
        </w:rPr>
      </w:pPr>
      <w:r w:rsidRPr="00DC4975">
        <w:rPr>
          <w:rFonts w:ascii="宋体" w:eastAsia="宋体" w:hAnsi="宋体"/>
          <w:sz w:val="21"/>
          <w:szCs w:val="21"/>
          <w:lang w:eastAsia="zh-CN"/>
        </w:rPr>
        <w:t>2024</w:t>
      </w:r>
      <w:r w:rsidRPr="00DC4975">
        <w:rPr>
          <w:rFonts w:ascii="宋体" w:eastAsia="宋体" w:hAnsi="宋体" w:cs="宋体"/>
          <w:sz w:val="21"/>
          <w:szCs w:val="21"/>
          <w:lang w:eastAsia="zh-CN"/>
        </w:rPr>
        <w:t>年</w:t>
      </w:r>
      <w:r w:rsidRPr="00DC4975">
        <w:rPr>
          <w:rFonts w:ascii="宋体" w:eastAsia="宋体" w:hAnsi="宋体"/>
          <w:sz w:val="21"/>
          <w:szCs w:val="21"/>
          <w:lang w:eastAsia="zh-CN"/>
        </w:rPr>
        <w:t>01</w:t>
      </w:r>
      <w:r w:rsidRPr="00DC4975">
        <w:rPr>
          <w:rFonts w:ascii="宋体" w:eastAsia="宋体" w:hAnsi="宋体" w:cs="宋体"/>
          <w:sz w:val="21"/>
          <w:szCs w:val="21"/>
          <w:lang w:eastAsia="zh-CN"/>
        </w:rPr>
        <w:t>月</w:t>
      </w:r>
      <w:r w:rsidRPr="00DC4975">
        <w:rPr>
          <w:rFonts w:ascii="宋体" w:eastAsia="宋体" w:hAnsi="宋体"/>
          <w:sz w:val="21"/>
          <w:szCs w:val="21"/>
          <w:lang w:eastAsia="zh-CN"/>
        </w:rPr>
        <w:t>31</w:t>
      </w:r>
      <w:r w:rsidRPr="00DC4975">
        <w:rPr>
          <w:rFonts w:ascii="宋体" w:eastAsia="宋体" w:hAnsi="宋体" w:cs="宋体"/>
          <w:sz w:val="21"/>
          <w:szCs w:val="21"/>
          <w:lang w:eastAsia="zh-CN"/>
        </w:rPr>
        <w:t>日</w:t>
      </w:r>
    </w:p>
    <w:p w:rsidR="00A77B3E" w:rsidRDefault="00A77B3E"/>
    <w:sectPr w:rsidR="00A77B3E" w:rsidSect="002A60FA">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42" w:rsidRDefault="00784842">
      <w:r>
        <w:separator/>
      </w:r>
    </w:p>
  </w:endnote>
  <w:endnote w:type="continuationSeparator" w:id="0">
    <w:p w:rsidR="00784842" w:rsidRDefault="00784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9F" w:rsidRDefault="002A60FA">
    <w:pPr>
      <w:jc w:val="center"/>
    </w:pPr>
    <w:r>
      <w:rPr>
        <w:rFonts w:ascii="宋体" w:eastAsia="宋体" w:hAnsi="宋体" w:cs="宋体"/>
        <w:sz w:val="18"/>
      </w:rPr>
      <w:fldChar w:fldCharType="begin"/>
    </w:r>
    <w:r w:rsidR="00913A88">
      <w:rPr>
        <w:rFonts w:ascii="宋体" w:eastAsia="宋体" w:hAnsi="宋体" w:cs="宋体"/>
        <w:sz w:val="18"/>
        <w:lang w:eastAsia="zh-CN"/>
      </w:rPr>
      <w:instrText xml:space="preserve"> PAGE </w:instrText>
    </w:r>
    <w:r>
      <w:rPr>
        <w:rFonts w:ascii="宋体" w:eastAsia="宋体" w:hAnsi="宋体" w:cs="宋体"/>
        <w:sz w:val="18"/>
      </w:rPr>
      <w:fldChar w:fldCharType="separate"/>
    </w:r>
    <w:r w:rsidR="00177BCD">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42" w:rsidRDefault="00784842">
      <w:r>
        <w:separator/>
      </w:r>
    </w:p>
  </w:footnote>
  <w:footnote w:type="continuationSeparator" w:id="0">
    <w:p w:rsidR="00784842" w:rsidRDefault="007848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369F"/>
    <w:rsid w:val="00177BCD"/>
    <w:rsid w:val="001C079A"/>
    <w:rsid w:val="00284EEE"/>
    <w:rsid w:val="002A60FA"/>
    <w:rsid w:val="00681513"/>
    <w:rsid w:val="0076613D"/>
    <w:rsid w:val="00784842"/>
    <w:rsid w:val="007D5894"/>
    <w:rsid w:val="008C34B8"/>
    <w:rsid w:val="00913A88"/>
    <w:rsid w:val="00A32315"/>
    <w:rsid w:val="00A77B3E"/>
    <w:rsid w:val="00AD18B7"/>
    <w:rsid w:val="00BB538F"/>
    <w:rsid w:val="00CA2A55"/>
    <w:rsid w:val="00DC4975"/>
    <w:rsid w:val="00F96D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FA"/>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yInmportability">
    <w:name w:val="myInmportability"/>
    <w:basedOn w:val="a0"/>
    <w:rsid w:val="002A60FA"/>
  </w:style>
  <w:style w:type="paragraph" w:customStyle="1" w:styleId="MsoNormal0">
    <w:name w:val="MsoNormal"/>
    <w:basedOn w:val="a"/>
    <w:rsid w:val="002A60FA"/>
  </w:style>
  <w:style w:type="paragraph" w:customStyle="1" w:styleId="MsoNormal00">
    <w:name w:val="MsoNormal0"/>
    <w:basedOn w:val="a"/>
    <w:rsid w:val="002A60FA"/>
  </w:style>
  <w:style w:type="paragraph" w:styleId="1">
    <w:name w:val="toc 1"/>
    <w:basedOn w:val="a"/>
    <w:next w:val="a"/>
    <w:autoRedefine/>
    <w:rsid w:val="00805BCE"/>
    <w:pPr>
      <w:spacing w:line="360" w:lineRule="auto"/>
    </w:pPr>
    <w:rPr>
      <w:rFonts w:ascii="宋体" w:eastAsia="宋体" w:hAnsi="宋体" w:cs="宋体"/>
      <w:b/>
      <w:sz w:val="21"/>
    </w:rPr>
  </w:style>
  <w:style w:type="paragraph" w:styleId="a3">
    <w:name w:val="header"/>
    <w:basedOn w:val="a"/>
    <w:link w:val="Char"/>
    <w:unhideWhenUsed/>
    <w:rsid w:val="008C3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34B8"/>
    <w:rPr>
      <w:sz w:val="18"/>
      <w:szCs w:val="18"/>
    </w:rPr>
  </w:style>
  <w:style w:type="paragraph" w:styleId="a4">
    <w:name w:val="footer"/>
    <w:basedOn w:val="a"/>
    <w:link w:val="Char0"/>
    <w:unhideWhenUsed/>
    <w:rsid w:val="008C34B8"/>
    <w:pPr>
      <w:tabs>
        <w:tab w:val="center" w:pos="4153"/>
        <w:tab w:val="right" w:pos="8306"/>
      </w:tabs>
      <w:snapToGrid w:val="0"/>
    </w:pPr>
    <w:rPr>
      <w:sz w:val="18"/>
      <w:szCs w:val="18"/>
    </w:rPr>
  </w:style>
  <w:style w:type="character" w:customStyle="1" w:styleId="Char0">
    <w:name w:val="页脚 Char"/>
    <w:basedOn w:val="a0"/>
    <w:link w:val="a4"/>
    <w:rsid w:val="008C34B8"/>
    <w:rPr>
      <w:sz w:val="18"/>
      <w:szCs w:val="18"/>
    </w:rPr>
  </w:style>
  <w:style w:type="paragraph" w:styleId="a5">
    <w:name w:val="Balloon Text"/>
    <w:basedOn w:val="a"/>
    <w:link w:val="Char1"/>
    <w:semiHidden/>
    <w:unhideWhenUsed/>
    <w:rsid w:val="008C34B8"/>
    <w:rPr>
      <w:sz w:val="18"/>
      <w:szCs w:val="18"/>
    </w:rPr>
  </w:style>
  <w:style w:type="character" w:customStyle="1" w:styleId="Char1">
    <w:name w:val="批注框文本 Char"/>
    <w:basedOn w:val="a0"/>
    <w:link w:val="a5"/>
    <w:semiHidden/>
    <w:rsid w:val="008C34B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2024-01-30T16:02:00Z</dcterms:created>
  <dcterms:modified xsi:type="dcterms:W3CDTF">2024-01-30T16:02:00Z</dcterms:modified>
</cp:coreProperties>
</file>