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E154D">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9E154D">
      <w:pPr>
        <w:jc w:val="center"/>
      </w:pPr>
      <w:r>
        <w:rPr>
          <w:b/>
          <w:color w:val="000000"/>
          <w:sz w:val="48"/>
          <w:szCs w:val="48"/>
        </w:rPr>
        <w:t>交银施罗德基金管理有限公司关于交银施罗德中高等级信用债债券型证券投资基金分红公告</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color w:val="000000"/>
          <w:kern w:val="0"/>
          <w:sz w:val="18"/>
        </w:rPr>
      </w:pPr>
      <w:r>
        <w:rPr>
          <w:color w:val="000000"/>
          <w:kern w:val="0"/>
          <w:sz w:val="18"/>
        </w:rPr>
        <w:t xml:space="preserve">　</w:t>
      </w:r>
      <w:r>
        <w:rPr>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9E154D">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1</w:t>
      </w:r>
      <w:r>
        <w:rPr>
          <w:rFonts w:cs="宋体"/>
          <w:b/>
          <w:bCs/>
          <w:sz w:val="24"/>
          <w:szCs w:val="30"/>
        </w:rPr>
        <w:t>月</w:t>
      </w:r>
      <w:r>
        <w:rPr>
          <w:rFonts w:cs="宋体"/>
          <w:b/>
          <w:bCs/>
          <w:sz w:val="24"/>
          <w:szCs w:val="30"/>
        </w:rPr>
        <w:t>29</w:t>
      </w:r>
      <w:r>
        <w:rPr>
          <w:rFonts w:cs="宋体"/>
          <w:b/>
          <w:bCs/>
          <w:sz w:val="24"/>
          <w:szCs w:val="30"/>
        </w:rPr>
        <w:t>日</w:t>
      </w:r>
    </w:p>
    <w:p w:rsidR="00000000" w:rsidRDefault="009E154D">
      <w:pPr>
        <w:pStyle w:val="XBRLTitle1"/>
        <w:spacing w:before="156"/>
        <w:jc w:val="left"/>
      </w:pPr>
      <w:r>
        <w:rPr>
          <w:rFonts w:cs="宋体"/>
          <w:color w:val="404040"/>
          <w:lang w:val="en-US"/>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m101"/>
      <w:bookmarkStart w:id="11" w:name="_Toc194311890"/>
      <w:bookmarkStart w:id="12" w:name="m01_01"/>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8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3"/>
        <w:gridCol w:w="3824"/>
        <w:gridCol w:w="3143"/>
      </w:tblGrid>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基金名称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交银施罗德中高等级信用债债券型证券投资基金</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基金简称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交银中高等级信用债债券</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基金主代码</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519717</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基金合同生效日</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2020</w:t>
            </w:r>
            <w:r>
              <w:rPr>
                <w:szCs w:val="21"/>
              </w:rPr>
              <w:t>年</w:t>
            </w:r>
            <w:r>
              <w:rPr>
                <w:szCs w:val="21"/>
              </w:rPr>
              <w:t>7</w:t>
            </w:r>
            <w:r>
              <w:rPr>
                <w:szCs w:val="21"/>
              </w:rPr>
              <w:t>月</w:t>
            </w:r>
            <w:r>
              <w:rPr>
                <w:szCs w:val="21"/>
              </w:rPr>
              <w:t>28</w:t>
            </w:r>
            <w:r>
              <w:rPr>
                <w:szCs w:val="21"/>
              </w:rPr>
              <w:t>日</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基金管理人名称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交银施罗德基金管理有限公司</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基金托管人名称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中国农业银行股份有限公司</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公告依据</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《公开募集证券投资</w:t>
            </w:r>
            <w:r>
              <w:rPr>
                <w:szCs w:val="21"/>
              </w:rPr>
              <w:t>基金信息披露管理办法》、《交银施罗德中高等级信用债债券型证券投资基金基金合同》、《交银施罗德中高等级信用债债券型证券投资基金招募说明书》等</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收益分配基准日</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2024</w:t>
            </w:r>
            <w:r>
              <w:rPr>
                <w:szCs w:val="21"/>
              </w:rPr>
              <w:t>年</w:t>
            </w:r>
            <w:r>
              <w:rPr>
                <w:szCs w:val="21"/>
              </w:rPr>
              <w:t>1</w:t>
            </w:r>
            <w:r>
              <w:rPr>
                <w:szCs w:val="21"/>
              </w:rPr>
              <w:t>月</w:t>
            </w:r>
            <w:r>
              <w:rPr>
                <w:szCs w:val="21"/>
              </w:rPr>
              <w:t>18</w:t>
            </w:r>
            <w:r>
              <w:rPr>
                <w:szCs w:val="21"/>
              </w:rPr>
              <w:t>日</w:t>
            </w:r>
          </w:p>
        </w:tc>
      </w:tr>
      <w:tr w:rsidR="00000000">
        <w:tc>
          <w:tcPr>
            <w:tcW w:w="1854" w:type="dxa"/>
            <w:vMerge w:val="restart"/>
            <w:tcBorders>
              <w:top w:val="single" w:sz="4" w:space="0" w:color="auto"/>
              <w:left w:val="single" w:sz="4" w:space="0" w:color="auto"/>
              <w:bottom w:val="single" w:sz="4" w:space="0" w:color="auto"/>
              <w:right w:val="single" w:sz="4" w:space="0" w:color="auto"/>
            </w:tcBorders>
            <w:vAlign w:val="center"/>
          </w:tcPr>
          <w:p w:rsidR="00000000" w:rsidRDefault="009E154D">
            <w:r>
              <w:rPr>
                <w:szCs w:val="21"/>
              </w:rPr>
              <w:t>截止收益分配基准日的相关指标</w:t>
            </w:r>
            <w:r>
              <w:rPr>
                <w:szCs w:val="21"/>
              </w:rPr>
              <w:t xml:space="preserve"> </w:t>
            </w:r>
          </w:p>
        </w:tc>
        <w:tc>
          <w:tcPr>
            <w:tcW w:w="3825" w:type="dxa"/>
            <w:tcBorders>
              <w:top w:val="single" w:sz="4" w:space="0" w:color="auto"/>
              <w:left w:val="single" w:sz="4" w:space="0" w:color="auto"/>
              <w:bottom w:val="single" w:sz="4" w:space="0" w:color="auto"/>
              <w:right w:val="single" w:sz="4" w:space="0" w:color="auto"/>
            </w:tcBorders>
          </w:tcPr>
          <w:p w:rsidR="00000000" w:rsidRDefault="009E154D">
            <w:r>
              <w:rPr>
                <w:szCs w:val="21"/>
              </w:rPr>
              <w:t>基准日基金份额净值（单位：</w:t>
            </w:r>
            <w:r>
              <w:rPr>
                <w:szCs w:val="21"/>
              </w:rPr>
              <w:t xml:space="preserve"> </w:t>
            </w:r>
            <w:r>
              <w:rPr>
                <w:szCs w:val="21"/>
              </w:rPr>
              <w:t>人民币元）</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1.0125</w:t>
            </w:r>
          </w:p>
        </w:tc>
      </w:tr>
      <w:tr w:rsidR="00000000">
        <w:tc>
          <w:tcPr>
            <w:tcW w:w="1854" w:type="dxa"/>
            <w:vMerge/>
            <w:tcBorders>
              <w:top w:val="single" w:sz="4" w:space="0" w:color="auto"/>
              <w:left w:val="single" w:sz="4" w:space="0" w:color="auto"/>
              <w:bottom w:val="single" w:sz="4" w:space="0" w:color="auto"/>
              <w:right w:val="single" w:sz="4" w:space="0" w:color="auto"/>
            </w:tcBorders>
            <w:vAlign w:val="center"/>
          </w:tcPr>
          <w:p w:rsidR="00000000" w:rsidRDefault="009E154D">
            <w:pPr>
              <w:rPr>
                <w:sz w:val="20"/>
              </w:rPr>
            </w:pPr>
          </w:p>
        </w:tc>
        <w:tc>
          <w:tcPr>
            <w:tcW w:w="3825" w:type="dxa"/>
            <w:tcBorders>
              <w:top w:val="single" w:sz="4" w:space="0" w:color="auto"/>
              <w:left w:val="single" w:sz="4" w:space="0" w:color="auto"/>
              <w:bottom w:val="single" w:sz="4" w:space="0" w:color="auto"/>
              <w:right w:val="single" w:sz="4" w:space="0" w:color="auto"/>
            </w:tcBorders>
          </w:tcPr>
          <w:p w:rsidR="00000000" w:rsidRDefault="009E154D">
            <w:r>
              <w:rPr>
                <w:szCs w:val="21"/>
              </w:rPr>
              <w:t>基准日基金可供分配利润（单位：</w:t>
            </w:r>
            <w:r>
              <w:rPr>
                <w:szCs w:val="21"/>
              </w:rPr>
              <w:t xml:space="preserve"> </w:t>
            </w:r>
            <w:r>
              <w:rPr>
                <w:szCs w:val="21"/>
              </w:rPr>
              <w:t>人民币元）</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33,486,935.41</w:t>
            </w:r>
          </w:p>
        </w:tc>
      </w:tr>
      <w:tr w:rsidR="00000000">
        <w:tc>
          <w:tcPr>
            <w:tcW w:w="1854" w:type="dxa"/>
            <w:vMerge/>
            <w:tcBorders>
              <w:top w:val="single" w:sz="4" w:space="0" w:color="auto"/>
              <w:left w:val="single" w:sz="4" w:space="0" w:color="auto"/>
              <w:bottom w:val="single" w:sz="4" w:space="0" w:color="auto"/>
              <w:right w:val="single" w:sz="4" w:space="0" w:color="auto"/>
            </w:tcBorders>
            <w:vAlign w:val="center"/>
          </w:tcPr>
          <w:p w:rsidR="00000000" w:rsidRDefault="009E154D">
            <w:pPr>
              <w:rPr>
                <w:sz w:val="20"/>
              </w:rPr>
            </w:pPr>
          </w:p>
        </w:tc>
        <w:tc>
          <w:tcPr>
            <w:tcW w:w="3825" w:type="dxa"/>
            <w:tcBorders>
              <w:top w:val="single" w:sz="4" w:space="0" w:color="auto"/>
              <w:left w:val="single" w:sz="4" w:space="0" w:color="auto"/>
              <w:bottom w:val="single" w:sz="4" w:space="0" w:color="auto"/>
              <w:right w:val="single" w:sz="4" w:space="0" w:color="auto"/>
            </w:tcBorders>
          </w:tcPr>
          <w:p w:rsidR="00000000" w:rsidRDefault="009E154D">
            <w:r>
              <w:rPr>
                <w:szCs w:val="21"/>
              </w:rPr>
              <w:t>截止基</w:t>
            </w:r>
            <w:r>
              <w:rPr>
                <w:szCs w:val="21"/>
                <w:shd w:val="clear" w:color="auto" w:fill="FFFFFF"/>
              </w:rPr>
              <w:t>准日按照基金合同约定的分红比例计算的应分配金额（单位：</w:t>
            </w:r>
            <w:r>
              <w:rPr>
                <w:szCs w:val="21"/>
                <w:shd w:val="clear" w:color="auto" w:fill="FFFFFF"/>
              </w:rPr>
              <w:t xml:space="preserve"> </w:t>
            </w:r>
            <w:r>
              <w:rPr>
                <w:szCs w:val="21"/>
                <w:shd w:val="clear" w:color="auto" w:fill="FFFFFF"/>
              </w:rPr>
              <w:t>人民币元</w:t>
            </w:r>
            <w:r>
              <w:rPr>
                <w:szCs w:val="21"/>
              </w:rPr>
              <w:t>）</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9E154D">
            <w:r>
              <w:rPr>
                <w:szCs w:val="21"/>
              </w:rPr>
              <w:t>本次分红方案（单位：元</w:t>
            </w:r>
            <w:r>
              <w:rPr>
                <w:szCs w:val="21"/>
              </w:rPr>
              <w:t>/10</w:t>
            </w:r>
            <w:r>
              <w:rPr>
                <w:szCs w:val="21"/>
              </w:rPr>
              <w:t>份基金份额）</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9E154D">
            <w:r>
              <w:rPr>
                <w:szCs w:val="21"/>
              </w:rPr>
              <w:t>0.1000</w:t>
            </w:r>
          </w:p>
        </w:tc>
      </w:tr>
      <w:tr w:rsidR="00000000">
        <w:tc>
          <w:tcPr>
            <w:tcW w:w="5679" w:type="dxa"/>
            <w:gridSpan w:val="2"/>
            <w:tcBorders>
              <w:top w:val="single" w:sz="4" w:space="0" w:color="auto"/>
              <w:left w:val="single" w:sz="4" w:space="0" w:color="auto"/>
              <w:bottom w:val="single" w:sz="4" w:space="0" w:color="auto"/>
              <w:right w:val="single" w:sz="4" w:space="0" w:color="auto"/>
            </w:tcBorders>
            <w:vAlign w:val="center"/>
          </w:tcPr>
          <w:p w:rsidR="00000000" w:rsidRDefault="009E154D">
            <w:r>
              <w:rPr>
                <w:szCs w:val="21"/>
              </w:rPr>
              <w:t>有关年度分红次数</w:t>
            </w:r>
            <w:r>
              <w:rPr>
                <w:szCs w:val="21"/>
              </w:rPr>
              <w:t>的说明</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vAlign w:val="center"/>
          </w:tcPr>
          <w:p w:rsidR="00000000" w:rsidRDefault="009E154D">
            <w:r>
              <w:rPr>
                <w:szCs w:val="21"/>
              </w:rPr>
              <w:t>本次分红为</w:t>
            </w:r>
            <w:r>
              <w:rPr>
                <w:szCs w:val="21"/>
              </w:rPr>
              <w:t>2024</w:t>
            </w:r>
            <w:r>
              <w:rPr>
                <w:szCs w:val="21"/>
              </w:rPr>
              <w:t>年度的第</w:t>
            </w:r>
            <w:r>
              <w:rPr>
                <w:szCs w:val="21"/>
              </w:rPr>
              <w:t>1</w:t>
            </w:r>
            <w:r>
              <w:rPr>
                <w:szCs w:val="21"/>
              </w:rPr>
              <w:t>次分红</w:t>
            </w:r>
          </w:p>
        </w:tc>
      </w:tr>
    </w:tbl>
    <w:p w:rsidR="00000000" w:rsidRDefault="009E154D">
      <w:pPr>
        <w:pStyle w:val="XBRLTitle1"/>
        <w:spacing w:before="156" w:line="360" w:lineRule="auto"/>
        <w:jc w:val="left"/>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szCs w:val="24"/>
          <w:lang w:val="en-US"/>
        </w:rPr>
        <w:t>与分红相关的其他信息</w:t>
      </w:r>
      <w:bookmarkEnd w:id="10"/>
      <w:bookmarkEnd w:id="13"/>
      <w:bookmarkEnd w:id="14"/>
      <w:bookmarkEnd w:id="15"/>
      <w:bookmarkEnd w:id="16"/>
      <w:bookmarkEnd w:id="17"/>
      <w:bookmarkEnd w:id="18"/>
      <w:bookmarkEnd w:id="19"/>
      <w:bookmarkEnd w:id="20"/>
      <w:bookmarkEnd w:id="21"/>
      <w:r>
        <w:rPr>
          <w:rFonts w:hAnsi="宋体"/>
          <w:szCs w:val="24"/>
          <w:lang w:val="en-US"/>
        </w:rPr>
        <w:t xml:space="preserve"> </w:t>
      </w:r>
      <w:bookmarkEnd w:id="11"/>
      <w:bookmarkEnd w:id="12"/>
    </w:p>
    <w:tbl>
      <w:tblPr>
        <w:tblW w:w="8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8"/>
        <w:gridCol w:w="4817"/>
      </w:tblGrid>
      <w:tr w:rsidR="00000000">
        <w:tc>
          <w:tcPr>
            <w:tcW w:w="3927" w:type="dxa"/>
            <w:tcBorders>
              <w:top w:val="single" w:sz="4" w:space="0" w:color="auto"/>
              <w:left w:val="single" w:sz="4" w:space="0" w:color="auto"/>
              <w:bottom w:val="single" w:sz="4" w:space="0" w:color="auto"/>
              <w:right w:val="single" w:sz="4" w:space="0" w:color="auto"/>
            </w:tcBorders>
          </w:tcPr>
          <w:p w:rsidR="00000000" w:rsidRDefault="009E154D">
            <w:r>
              <w:rPr>
                <w:szCs w:val="21"/>
              </w:rPr>
              <w:t>权益登记日</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2024</w:t>
            </w:r>
            <w:r>
              <w:rPr>
                <w:szCs w:val="21"/>
              </w:rPr>
              <w:t>年</w:t>
            </w:r>
            <w:r>
              <w:rPr>
                <w:szCs w:val="21"/>
              </w:rPr>
              <w:t>1</w:t>
            </w:r>
            <w:r>
              <w:rPr>
                <w:szCs w:val="21"/>
              </w:rPr>
              <w:t>月</w:t>
            </w:r>
            <w:r>
              <w:rPr>
                <w:szCs w:val="21"/>
              </w:rPr>
              <w:t>31</w:t>
            </w:r>
            <w:r>
              <w:rPr>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9E154D">
            <w:r>
              <w:rPr>
                <w:szCs w:val="21"/>
              </w:rPr>
              <w:t>除息日</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2024</w:t>
            </w:r>
            <w:r>
              <w:rPr>
                <w:szCs w:val="21"/>
              </w:rPr>
              <w:t>年</w:t>
            </w:r>
            <w:r>
              <w:rPr>
                <w:szCs w:val="21"/>
              </w:rPr>
              <w:t>1</w:t>
            </w:r>
            <w:r>
              <w:rPr>
                <w:szCs w:val="21"/>
              </w:rPr>
              <w:t>月</w:t>
            </w:r>
            <w:r>
              <w:rPr>
                <w:szCs w:val="21"/>
              </w:rPr>
              <w:t>31</w:t>
            </w:r>
            <w:r>
              <w:rPr>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9E154D">
            <w:r>
              <w:rPr>
                <w:szCs w:val="21"/>
              </w:rPr>
              <w:t>现金红利发放日</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2024</w:t>
            </w:r>
            <w:r>
              <w:rPr>
                <w:szCs w:val="21"/>
              </w:rPr>
              <w:t>年</w:t>
            </w:r>
            <w:r>
              <w:rPr>
                <w:szCs w:val="21"/>
              </w:rPr>
              <w:t>2</w:t>
            </w:r>
            <w:r>
              <w:rPr>
                <w:szCs w:val="21"/>
              </w:rPr>
              <w:t>月</w:t>
            </w:r>
            <w:r>
              <w:rPr>
                <w:szCs w:val="21"/>
              </w:rPr>
              <w:t>2</w:t>
            </w:r>
            <w:r>
              <w:rPr>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9E154D">
            <w:r>
              <w:rPr>
                <w:szCs w:val="21"/>
              </w:rPr>
              <w:t>分红对象</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权益登记日登记在册的本基金的份额持有人</w:t>
            </w:r>
          </w:p>
        </w:tc>
      </w:tr>
      <w:tr w:rsidR="00000000">
        <w:tc>
          <w:tcPr>
            <w:tcW w:w="3927" w:type="dxa"/>
            <w:tcBorders>
              <w:top w:val="single" w:sz="4" w:space="0" w:color="auto"/>
              <w:left w:val="single" w:sz="4" w:space="0" w:color="auto"/>
              <w:bottom w:val="single" w:sz="4" w:space="0" w:color="auto"/>
              <w:right w:val="single" w:sz="4" w:space="0" w:color="auto"/>
            </w:tcBorders>
            <w:vAlign w:val="center"/>
          </w:tcPr>
          <w:p w:rsidR="00000000" w:rsidRDefault="009E154D">
            <w:r>
              <w:rPr>
                <w:szCs w:val="21"/>
              </w:rPr>
              <w:t>红利再投资相关事项的说明</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选择红利再投资方式的基金份额持有人，其红利将按</w:t>
            </w:r>
            <w:r>
              <w:rPr>
                <w:szCs w:val="21"/>
              </w:rPr>
              <w:t>2024</w:t>
            </w:r>
            <w:r>
              <w:rPr>
                <w:szCs w:val="21"/>
              </w:rPr>
              <w:t>年</w:t>
            </w:r>
            <w:r>
              <w:rPr>
                <w:szCs w:val="21"/>
              </w:rPr>
              <w:t>1</w:t>
            </w:r>
            <w:r>
              <w:rPr>
                <w:szCs w:val="21"/>
              </w:rPr>
              <w:t>月</w:t>
            </w:r>
            <w:r>
              <w:rPr>
                <w:szCs w:val="21"/>
              </w:rPr>
              <w:t>31</w:t>
            </w:r>
            <w:r>
              <w:rPr>
                <w:szCs w:val="21"/>
              </w:rPr>
              <w:t>日除息后的基金份额净值转换为基金份额，再投资所得的基金份额自</w:t>
            </w:r>
            <w:r>
              <w:rPr>
                <w:szCs w:val="21"/>
              </w:rPr>
              <w:t>2024</w:t>
            </w:r>
            <w:r>
              <w:rPr>
                <w:szCs w:val="21"/>
              </w:rPr>
              <w:t>年</w:t>
            </w:r>
            <w:r>
              <w:rPr>
                <w:szCs w:val="21"/>
              </w:rPr>
              <w:t>2</w:t>
            </w:r>
            <w:r>
              <w:rPr>
                <w:szCs w:val="21"/>
              </w:rPr>
              <w:t>月</w:t>
            </w:r>
            <w:r>
              <w:rPr>
                <w:szCs w:val="21"/>
              </w:rPr>
              <w:t>2</w:t>
            </w:r>
            <w:r>
              <w:rPr>
                <w:szCs w:val="21"/>
              </w:rPr>
              <w:t>日可以查询、赎回。</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9E154D">
            <w:r>
              <w:rPr>
                <w:szCs w:val="21"/>
              </w:rPr>
              <w:t>税收相关事项的说明</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根据财政部、国家税务总局的相关规定，基金向基金份额持有人分配的</w:t>
            </w:r>
            <w:r>
              <w:rPr>
                <w:szCs w:val="21"/>
              </w:rPr>
              <w:t>基金收益，暂免征收所得税。</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9E154D">
            <w:r>
              <w:rPr>
                <w:szCs w:val="21"/>
              </w:rPr>
              <w:t>费用相关事项的说明</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9E154D">
            <w:r>
              <w:rPr>
                <w:szCs w:val="21"/>
              </w:rPr>
              <w:t>本基金本次分红免收分红手续费。投资人选择红利再投资，红利再投资的份额免收申购费用。</w:t>
            </w:r>
          </w:p>
        </w:tc>
      </w:tr>
    </w:tbl>
    <w:p w:rsidR="00000000" w:rsidRDefault="009E154D">
      <w:pPr>
        <w:adjustRightInd w:val="0"/>
        <w:snapToGrid w:val="0"/>
        <w:spacing w:beforeLines="50" w:line="360" w:lineRule="auto"/>
        <w:jc w:val="left"/>
      </w:pPr>
      <w:r>
        <w:rPr>
          <w:rFonts w:cs="宋体"/>
        </w:rPr>
        <w:t>注：</w:t>
      </w:r>
      <w:r>
        <w:rPr>
          <w:rFonts w:cs="宋体"/>
          <w:szCs w:val="24"/>
        </w:rPr>
        <w:t>1</w:t>
      </w:r>
      <w:r>
        <w:rPr>
          <w:rFonts w:cs="宋体"/>
          <w:szCs w:val="24"/>
        </w:rPr>
        <w:t>、本分红方案经本基金管理人计算并由基金托管人中国农业银行股份有限公司复核。</w:t>
      </w:r>
      <w:r>
        <w:rPr>
          <w:rFonts w:cs="宋体"/>
          <w:szCs w:val="24"/>
        </w:rPr>
        <w:br/>
      </w:r>
      <w:r>
        <w:rPr>
          <w:rFonts w:cs="宋体"/>
          <w:szCs w:val="24"/>
        </w:rPr>
        <w:t>2</w:t>
      </w:r>
      <w:r>
        <w:rPr>
          <w:rFonts w:cs="宋体"/>
          <w:szCs w:val="24"/>
        </w:rPr>
        <w:t>、本基金的基金份额持有人事先未做出收益分配方式选择的，则默认方式为现金分红。选择现金红利方式的基金份额持有人的红利款将于现金红利发放日自基金托管账户划出。</w:t>
      </w:r>
      <w:r>
        <w:rPr>
          <w:rFonts w:cs="宋体"/>
          <w:szCs w:val="24"/>
        </w:rPr>
        <w:t xml:space="preserve"> </w:t>
      </w:r>
    </w:p>
    <w:p w:rsidR="00000000" w:rsidRDefault="009E154D">
      <w:pPr>
        <w:pStyle w:val="XBRLTitle1"/>
        <w:spacing w:before="156" w:line="360" w:lineRule="auto"/>
        <w:jc w:val="left"/>
      </w:pPr>
      <w:bookmarkStart w:id="22" w:name="_Toc34322063"/>
      <w:bookmarkStart w:id="23" w:name="_Toc513295941"/>
      <w:bookmarkStart w:id="24" w:name="_Toc513295878"/>
      <w:bookmarkStart w:id="25" w:name="_Toc438646481"/>
      <w:bookmarkStart w:id="26" w:name="_Toc481075097"/>
      <w:bookmarkStart w:id="27" w:name="_Toc490050049"/>
      <w:bookmarkStart w:id="28" w:name="_Toc512519529"/>
      <w:bookmarkStart w:id="29" w:name="_Toc17897969"/>
      <w:bookmarkStart w:id="30" w:name="_Toc17898228"/>
      <w:bookmarkStart w:id="31" w:name="m201_01"/>
      <w:r>
        <w:rPr>
          <w:rFonts w:hAnsi="宋体"/>
          <w:szCs w:val="24"/>
          <w:lang w:val="en-US"/>
        </w:rPr>
        <w:lastRenderedPageBreak/>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9E154D">
      <w:pPr>
        <w:spacing w:line="360" w:lineRule="auto"/>
        <w:ind w:firstLineChars="200" w:firstLine="420"/>
        <w:jc w:val="left"/>
      </w:pPr>
      <w:r>
        <w:rPr>
          <w:rFonts w:cs="宋体"/>
          <w:szCs w:val="21"/>
        </w:rPr>
        <w:t>1</w:t>
      </w:r>
      <w:r>
        <w:rPr>
          <w:rFonts w:cs="宋体"/>
          <w:szCs w:val="21"/>
        </w:rPr>
        <w:t>、本基金收益分配方式分为两种：现金分红与红利再投资。基金份额持有人可选择现金红利或将现金红利按除息日除息后的</w:t>
      </w:r>
      <w:r>
        <w:rPr>
          <w:rFonts w:cs="宋体"/>
          <w:szCs w:val="21"/>
        </w:rPr>
        <w:t>基金份额净值自动转为基金份额进行再投资，本基金默认的收益分配方式是现金分红。</w:t>
      </w:r>
      <w:r>
        <w:rPr>
          <w:rFonts w:cs="宋体"/>
          <w:szCs w:val="21"/>
        </w:rPr>
        <w:br/>
      </w:r>
      <w:r>
        <w:rPr>
          <w:rFonts w:cs="宋体"/>
          <w:szCs w:val="21"/>
        </w:rPr>
        <w:t xml:space="preserve">　　</w:t>
      </w:r>
      <w:r>
        <w:rPr>
          <w:rFonts w:cs="宋体"/>
          <w:szCs w:val="21"/>
        </w:rPr>
        <w:t>2</w:t>
      </w:r>
      <w:r>
        <w:rPr>
          <w:rFonts w:cs="宋体"/>
          <w:szCs w:val="21"/>
        </w:rPr>
        <w:t>、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cs="宋体"/>
          <w:szCs w:val="21"/>
        </w:rPr>
        <w:br/>
      </w:r>
      <w:r>
        <w:rPr>
          <w:rFonts w:cs="宋体"/>
          <w:szCs w:val="21"/>
        </w:rPr>
        <w:t xml:space="preserve">　　</w:t>
      </w:r>
      <w:r>
        <w:rPr>
          <w:rFonts w:cs="宋体"/>
          <w:szCs w:val="21"/>
        </w:rPr>
        <w:t>3</w:t>
      </w:r>
      <w:r>
        <w:rPr>
          <w:rFonts w:cs="宋体"/>
          <w:szCs w:val="21"/>
        </w:rPr>
        <w:t>、权益登记日申请申购的基金份额不享有本次分红权益，权益登记日申请赎回的基金份额享有本次分红权益。</w:t>
      </w:r>
      <w:r>
        <w:rPr>
          <w:rFonts w:cs="宋体"/>
          <w:szCs w:val="21"/>
        </w:rPr>
        <w:br/>
      </w:r>
      <w:r>
        <w:rPr>
          <w:rFonts w:cs="宋体"/>
          <w:szCs w:val="21"/>
        </w:rPr>
        <w:t xml:space="preserve">　　</w:t>
      </w:r>
      <w:r>
        <w:rPr>
          <w:rFonts w:cs="宋体"/>
          <w:szCs w:val="21"/>
        </w:rPr>
        <w:t>4</w:t>
      </w:r>
      <w:r>
        <w:rPr>
          <w:rFonts w:cs="宋体"/>
          <w:szCs w:val="21"/>
        </w:rPr>
        <w:t>、本基金管理人有权根据市</w:t>
      </w:r>
      <w:r>
        <w:rPr>
          <w:rFonts w:cs="宋体"/>
          <w:szCs w:val="21"/>
        </w:rPr>
        <w:t>场情况及本基金净值波动的客观因素，在不违反本基金基金合同的前提下，于权益登记日调整最终的分红方案并届时公告。</w:t>
      </w:r>
      <w:r>
        <w:rPr>
          <w:rFonts w:cs="宋体"/>
          <w:szCs w:val="21"/>
        </w:rPr>
        <w:br/>
      </w:r>
      <w:r>
        <w:rPr>
          <w:rFonts w:cs="宋体"/>
          <w:szCs w:val="21"/>
        </w:rPr>
        <w:t xml:space="preserve">　　</w:t>
      </w:r>
      <w:r>
        <w:rPr>
          <w:rFonts w:cs="宋体"/>
          <w:szCs w:val="21"/>
        </w:rPr>
        <w:t>5</w:t>
      </w:r>
      <w:r>
        <w:rPr>
          <w:rFonts w:cs="宋体"/>
          <w:szCs w:val="21"/>
        </w:rPr>
        <w:t>、基金份额持有人可随时拨打本公司客服电话（</w:t>
      </w:r>
      <w:r>
        <w:rPr>
          <w:rFonts w:cs="宋体"/>
          <w:szCs w:val="21"/>
        </w:rPr>
        <w:t>400-700-5000</w:t>
      </w:r>
      <w:r>
        <w:rPr>
          <w:rFonts w:cs="宋体"/>
          <w:szCs w:val="21"/>
        </w:rPr>
        <w:t>，</w:t>
      </w:r>
      <w:r>
        <w:rPr>
          <w:rFonts w:cs="宋体"/>
          <w:szCs w:val="21"/>
        </w:rPr>
        <w:t>021-61055000</w:t>
      </w:r>
      <w:r>
        <w:rPr>
          <w:rFonts w:cs="宋体"/>
          <w:szCs w:val="21"/>
        </w:rPr>
        <w:t>）或登录本公司网站（</w:t>
      </w:r>
      <w:r>
        <w:rPr>
          <w:rFonts w:cs="宋体"/>
          <w:szCs w:val="21"/>
        </w:rPr>
        <w:t>www.fund001.com</w:t>
      </w:r>
      <w:r>
        <w:rPr>
          <w:rFonts w:cs="宋体"/>
          <w:szCs w:val="21"/>
        </w:rPr>
        <w:t>）查询当前的分红方式。</w:t>
      </w:r>
      <w:r>
        <w:rPr>
          <w:rFonts w:cs="宋体"/>
          <w:szCs w:val="21"/>
        </w:rPr>
        <w:br/>
      </w:r>
      <w:r>
        <w:rPr>
          <w:rFonts w:cs="宋体"/>
          <w:szCs w:val="21"/>
        </w:rP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w:t>
      </w:r>
      <w:r>
        <w:rPr>
          <w:rFonts w:cs="宋体"/>
          <w:szCs w:val="21"/>
        </w:rPr>
        <w:t>敬请投资人认真阅读基金的相关法律文件，并选择适合自身风险承受能力的投资品种进行投资。</w:t>
      </w:r>
      <w:r>
        <w:rPr>
          <w:rFonts w:cs="宋体"/>
          <w:szCs w:val="21"/>
        </w:rPr>
        <w:br/>
      </w:r>
      <w:r>
        <w:rPr>
          <w:rFonts w:cs="宋体"/>
          <w:szCs w:val="21"/>
        </w:rPr>
        <w:t xml:space="preserve">　　特此公告。</w:t>
      </w:r>
    </w:p>
    <w:p w:rsidR="00000000" w:rsidRDefault="009E154D">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9E154D">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bookmarkEnd w:id="31"/>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E154D">
      <w:r>
        <w:separator/>
      </w:r>
    </w:p>
  </w:endnote>
  <w:endnote w:type="continuationSeparator" w:id="0">
    <w:p w:rsidR="00000000" w:rsidRDefault="009E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auto"/>
    <w:pitch w:val="default"/>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auto"/>
    <w:pitch w:val="default"/>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4D">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2</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2</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4D">
    <w:pPr>
      <w:pStyle w:val="a6"/>
      <w:rPr>
        <w:rFonts w:cs="宋体"/>
      </w:rPr>
    </w:pPr>
    <w:r>
      <w:rPr>
        <w:rFonts w:cs="宋体"/>
      </w:rPr>
      <w:t xml:space="preserve"> </w:t>
    </w:r>
  </w:p>
  <w:p w:rsidR="00000000" w:rsidRDefault="009E154D">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9E154D">
    <w:pPr>
      <w:pStyle w:val="a6"/>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E154D">
      <w:r>
        <w:separator/>
      </w:r>
    </w:p>
  </w:footnote>
  <w:footnote w:type="continuationSeparator" w:id="0">
    <w:p w:rsidR="00000000" w:rsidRDefault="009E1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4D">
    <w:pPr>
      <w:pStyle w:val="a7"/>
      <w:jc w:val="right"/>
    </w:pPr>
    <w:r>
      <w:rPr>
        <w:rFonts w:cs="宋体"/>
      </w:rPr>
      <w:t>交银施罗德基金管理有限公司关于交银施罗德中高等级信用债债券型证券投资基金分红公告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4D">
    <w:pPr>
      <w:pStyle w:val="a7"/>
      <w:jc w:val="right"/>
    </w:pPr>
    <w:r>
      <w:rPr>
        <w:rFonts w:cs="宋体"/>
      </w:rPr>
      <w:t>交银施罗德基金管理有限公司关于交银施罗德中高等级信用债债券型证券投资基金分红公告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614"/>
    <w:multiLevelType w:val="multilevel"/>
    <w:tmpl w:val="0E545614"/>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54D"/>
    <w:rsid w:val="009E154D"/>
    <w:rsid w:val="5C6175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2"/>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bCs/>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Pr>
      <w:b/>
      <w:bCs/>
      <w:kern w:val="44"/>
      <w:sz w:val="44"/>
      <w:szCs w:val="44"/>
    </w:rPr>
  </w:style>
  <w:style w:type="character" w:customStyle="1" w:styleId="2Char1">
    <w:name w:val="标题 2 Char1"/>
    <w:basedOn w:val="a0"/>
    <w:link w:val="2"/>
    <w:locked/>
    <w:rPr>
      <w:rFonts w:ascii="Cambria" w:eastAsia="宋体" w:hAnsi="Cambria" w:cs="宋体" w:hint="default"/>
      <w:b/>
      <w:bCs/>
      <w:sz w:val="32"/>
      <w:szCs w:val="32"/>
    </w:rPr>
  </w:style>
  <w:style w:type="character" w:customStyle="1" w:styleId="3Char1">
    <w:name w:val="标题 3 Char1"/>
    <w:basedOn w:val="a0"/>
    <w:link w:val="3"/>
    <w:locked/>
    <w:rPr>
      <w:b/>
      <w:bCs/>
      <w:sz w:val="32"/>
      <w:szCs w:val="32"/>
    </w:rPr>
  </w:style>
  <w:style w:type="character" w:customStyle="1" w:styleId="4Char2">
    <w:name w:val="标题 4 Char2"/>
    <w:basedOn w:val="a0"/>
    <w:link w:val="4"/>
    <w:locked/>
    <w:rPr>
      <w:rFonts w:ascii="Cambria" w:eastAsia="宋体" w:hAnsi="Cambria" w:cs="Times New Roman" w:hint="default"/>
      <w:b/>
      <w:bCs/>
      <w:kern w:val="2"/>
      <w:sz w:val="24"/>
      <w:szCs w:val="24"/>
    </w:rPr>
  </w:style>
  <w:style w:type="character" w:customStyle="1" w:styleId="5Char1">
    <w:name w:val="标题 5 Char1"/>
    <w:basedOn w:val="a0"/>
    <w:link w:val="5"/>
    <w:locked/>
    <w:rPr>
      <w:b/>
      <w:bCs/>
      <w:kern w:val="2"/>
      <w:sz w:val="24"/>
      <w:szCs w:val="24"/>
    </w:rPr>
  </w:style>
  <w:style w:type="character" w:customStyle="1" w:styleId="6Char1">
    <w:name w:val="标题 6 Char1"/>
    <w:basedOn w:val="a0"/>
    <w:link w:val="6"/>
    <w:locked/>
    <w:rPr>
      <w:rFonts w:ascii="Cambria" w:eastAsia="宋体" w:hAnsi="Cambria" w:cs="Times New Roman" w:hint="default"/>
      <w:b/>
      <w:bCs/>
      <w:kern w:val="2"/>
      <w:sz w:val="24"/>
      <w:szCs w:val="24"/>
    </w:rPr>
  </w:style>
  <w:style w:type="paragraph" w:styleId="a3">
    <w:name w:val="Document Map"/>
    <w:basedOn w:val="a"/>
    <w:link w:val="Char2"/>
    <w:pPr>
      <w:shd w:val="clear" w:color="auto" w:fill="000080"/>
    </w:pPr>
  </w:style>
  <w:style w:type="character" w:customStyle="1" w:styleId="Char2">
    <w:name w:val="文档结构图 Char2"/>
    <w:basedOn w:val="a0"/>
    <w:link w:val="a3"/>
    <w:locked/>
    <w:rPr>
      <w:rFonts w:ascii="Microsoft YaHei UI" w:eastAsia="Microsoft YaHei UI" w:hAnsi="Microsoft YaHei UI" w:cs="Microsoft YaHei UI" w:hint="eastAsia"/>
      <w:kern w:val="2"/>
      <w:sz w:val="18"/>
      <w:szCs w:val="18"/>
    </w:rPr>
  </w:style>
  <w:style w:type="paragraph" w:styleId="30">
    <w:name w:val="toc 3"/>
    <w:basedOn w:val="a"/>
    <w:next w:val="a"/>
    <w:uiPriority w:val="39"/>
  </w:style>
  <w:style w:type="paragraph" w:styleId="a4">
    <w:name w:val="Date"/>
    <w:basedOn w:val="a"/>
    <w:next w:val="a"/>
    <w:link w:val="Char20"/>
    <w:rPr>
      <w:sz w:val="32"/>
    </w:rPr>
  </w:style>
  <w:style w:type="character" w:customStyle="1" w:styleId="Char20">
    <w:name w:val="日期 Char2"/>
    <w:basedOn w:val="a0"/>
    <w:link w:val="a4"/>
    <w:locked/>
    <w:rPr>
      <w:kern w:val="2"/>
      <w:sz w:val="21"/>
    </w:rPr>
  </w:style>
  <w:style w:type="paragraph" w:styleId="a5">
    <w:name w:val="Balloon Text"/>
    <w:basedOn w:val="a"/>
    <w:link w:val="Char21"/>
    <w:uiPriority w:val="99"/>
    <w:unhideWhenUsed/>
    <w:rPr>
      <w:sz w:val="18"/>
      <w:szCs w:val="18"/>
    </w:rPr>
  </w:style>
  <w:style w:type="character" w:customStyle="1" w:styleId="Char21">
    <w:name w:val="批注框文本 Char2"/>
    <w:basedOn w:val="a0"/>
    <w:link w:val="a5"/>
    <w:locked/>
    <w:rPr>
      <w:kern w:val="2"/>
      <w:sz w:val="18"/>
      <w:szCs w:val="18"/>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1"/>
    <w:basedOn w:val="a0"/>
    <w:link w:val="a6"/>
    <w:locked/>
    <w:rPr>
      <w:kern w:val="2"/>
      <w:sz w:val="18"/>
      <w:szCs w:val="18"/>
    </w:rPr>
  </w:style>
  <w:style w:type="paragraph" w:styleId="a7">
    <w:name w:val="header"/>
    <w:basedOn w:val="a"/>
    <w:link w:val="Char10"/>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11"/>
    <w:qFormat/>
    <w:pPr>
      <w:spacing w:before="240" w:after="60" w:line="312" w:lineRule="auto"/>
      <w:jc w:val="left"/>
    </w:pPr>
    <w:rPr>
      <w:rFonts w:eastAsia="宋体"/>
      <w:bCs w:val="0"/>
      <w:kern w:val="24"/>
      <w:sz w:val="24"/>
    </w:rPr>
  </w:style>
  <w:style w:type="character" w:customStyle="1" w:styleId="Char11">
    <w:name w:val="副标题 Char1"/>
    <w:basedOn w:val="a0"/>
    <w:link w:val="a8"/>
    <w:locked/>
    <w:rPr>
      <w:rFonts w:ascii="Cambria" w:eastAsia="宋体" w:hAnsi="Cambria" w:cs="宋体" w:hint="default"/>
      <w:b/>
      <w:bCs w:val="0"/>
      <w:kern w:val="24"/>
      <w:sz w:val="24"/>
      <w:szCs w:val="32"/>
    </w:rPr>
  </w:style>
  <w:style w:type="paragraph" w:styleId="a9">
    <w:name w:val="footnote text"/>
    <w:basedOn w:val="a"/>
    <w:link w:val="Char12"/>
    <w:pPr>
      <w:snapToGrid w:val="0"/>
      <w:jc w:val="left"/>
    </w:pPr>
    <w:rPr>
      <w:sz w:val="18"/>
      <w:szCs w:val="18"/>
    </w:rPr>
  </w:style>
  <w:style w:type="character" w:customStyle="1" w:styleId="Char12">
    <w:name w:val="脚注文本 Char1"/>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22"/>
    <w:uiPriority w:val="10"/>
    <w:qFormat/>
    <w:pPr>
      <w:keepNext w:val="0"/>
      <w:keepLines w:val="0"/>
      <w:spacing w:before="240" w:after="60"/>
      <w:jc w:val="center"/>
    </w:pPr>
    <w:rPr>
      <w:rFonts w:ascii="Cambria" w:hAnsi="Cambria" w:hint="default"/>
      <w:kern w:val="0"/>
      <w:sz w:val="32"/>
      <w:szCs w:val="32"/>
    </w:rPr>
  </w:style>
  <w:style w:type="character" w:customStyle="1" w:styleId="Char22">
    <w:name w:val="标题 Char2"/>
    <w:basedOn w:val="a0"/>
    <w:link w:val="ab"/>
    <w:locked/>
    <w:rPr>
      <w:rFonts w:ascii="Cambria" w:eastAsia="宋体" w:hAnsi="Cambria" w:cs="Times New Roman" w:hint="default"/>
      <w:b/>
      <w:bCs/>
      <w:kern w:val="2"/>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character" w:customStyle="1" w:styleId="Char">
    <w:name w:val="脚注文本 Char"/>
    <w:basedOn w:val="a0"/>
    <w:link w:val="a9"/>
    <w:locked/>
    <w:rPr>
      <w:kern w:val="2"/>
      <w:sz w:val="18"/>
      <w:szCs w:val="18"/>
    </w:rPr>
  </w:style>
  <w:style w:type="character" w:customStyle="1" w:styleId="4Char">
    <w:name w:val="标题 4 Char"/>
    <w:basedOn w:val="a0"/>
    <w:link w:val="4"/>
    <w:locked/>
    <w:rPr>
      <w:rFonts w:ascii="Cambria" w:eastAsia="宋体" w:hAnsi="Cambria" w:cs="Times New Roman" w:hint="default"/>
      <w:b/>
      <w:bCs/>
      <w:kern w:val="2"/>
      <w:sz w:val="24"/>
      <w:szCs w:val="24"/>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6">
    <w:name w:val="XBRL标题6"/>
    <w:basedOn w:val="a8"/>
    <w:next w:val="4"/>
    <w:pPr>
      <w:spacing w:beforeLines="50" w:after="0"/>
    </w:pPr>
    <w:rPr>
      <w:bCs/>
    </w:rPr>
  </w:style>
  <w:style w:type="character" w:customStyle="1" w:styleId="1Char">
    <w:name w:val="标题 1 Char"/>
    <w:basedOn w:val="a0"/>
    <w:link w:val="1"/>
    <w:locked/>
    <w:rPr>
      <w:b/>
      <w:bCs/>
      <w:kern w:val="44"/>
      <w:sz w:val="44"/>
      <w:szCs w:val="44"/>
    </w:rPr>
  </w:style>
  <w:style w:type="character" w:customStyle="1" w:styleId="Char0">
    <w:name w:val="页眉 Char"/>
    <w:basedOn w:val="a0"/>
    <w:link w:val="a7"/>
    <w:locked/>
    <w:rPr>
      <w:kern w:val="2"/>
      <w:sz w:val="18"/>
      <w:szCs w:val="18"/>
    </w:rPr>
  </w:style>
  <w:style w:type="character" w:customStyle="1" w:styleId="Char3">
    <w:name w:val="日期 Char"/>
    <w:basedOn w:val="a0"/>
    <w:link w:val="a4"/>
    <w:locked/>
    <w:rPr>
      <w:kern w:val="2"/>
      <w:sz w:val="21"/>
    </w:rPr>
  </w:style>
  <w:style w:type="character" w:customStyle="1" w:styleId="6Char">
    <w:name w:val="标题 6 Char"/>
    <w:basedOn w:val="a0"/>
    <w:link w:val="6"/>
    <w:locked/>
    <w:rPr>
      <w:rFonts w:ascii="Cambria" w:eastAsia="宋体" w:hAnsi="Cambria" w:cs="Times New Roman" w:hint="default"/>
      <w:b/>
      <w:bCs/>
      <w:kern w:val="2"/>
      <w:sz w:val="24"/>
      <w:szCs w:val="24"/>
    </w:rPr>
  </w:style>
  <w:style w:type="paragraph" w:customStyle="1" w:styleId="XBRLTitle4">
    <w:name w:val="XBRLTitle4"/>
    <w:basedOn w:val="a8"/>
    <w:next w:val="4"/>
    <w:pPr>
      <w:numPr>
        <w:ilvl w:val="3"/>
        <w:numId w:val="1"/>
      </w:numPr>
      <w:spacing w:beforeLines="50" w:after="0"/>
    </w:pPr>
    <w:rPr>
      <w:bCs/>
    </w:rPr>
  </w:style>
  <w:style w:type="character" w:customStyle="1" w:styleId="Char4">
    <w:name w:val="标题 Char"/>
    <w:basedOn w:val="a0"/>
    <w:link w:val="ab"/>
    <w:locked/>
    <w:rPr>
      <w:rFonts w:ascii="Cambria" w:eastAsia="Cambria" w:hAnsi="Cambria" w:cs="Times New Roman" w:hint="default"/>
      <w:b/>
      <w:bCs/>
      <w:kern w:val="2"/>
      <w:sz w:val="32"/>
      <w:szCs w:val="32"/>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character" w:customStyle="1" w:styleId="Char5">
    <w:name w:val="副标题 Char"/>
    <w:basedOn w:val="a0"/>
    <w:link w:val="a8"/>
    <w:locked/>
    <w:rPr>
      <w:rFonts w:ascii="Cambria" w:eastAsia="Cambria" w:hAnsi="Cambria" w:cs="Times New Roman" w:hint="default"/>
      <w:b/>
      <w:bCs/>
      <w:kern w:val="24"/>
      <w:sz w:val="32"/>
      <w:szCs w:val="32"/>
    </w:rPr>
  </w:style>
  <w:style w:type="character" w:customStyle="1" w:styleId="Char6">
    <w:name w:val="批注框文本 Char"/>
    <w:basedOn w:val="a0"/>
    <w:link w:val="a5"/>
    <w:locked/>
    <w:rPr>
      <w:kern w:val="2"/>
      <w:sz w:val="18"/>
      <w:szCs w:val="18"/>
    </w:rPr>
  </w:style>
  <w:style w:type="character" w:customStyle="1" w:styleId="Char13">
    <w:name w:val="日期 Char1"/>
    <w:basedOn w:val="a0"/>
    <w:link w:val="a4"/>
    <w:locked/>
    <w:rPr>
      <w:rFonts w:ascii="宋体" w:eastAsia="宋体" w:hAnsi="宋体" w:cs="宋体" w:hint="eastAsia"/>
      <w:kern w:val="2"/>
      <w:sz w:val="32"/>
    </w:rPr>
  </w:style>
  <w:style w:type="character" w:customStyle="1" w:styleId="Char14">
    <w:name w:val="标题 Char1"/>
    <w:basedOn w:val="a0"/>
    <w:link w:val="ab"/>
    <w:locked/>
    <w:rPr>
      <w:rFonts w:ascii="Cambria" w:eastAsia="Cambria" w:hAnsi="Cambria" w:cs="宋体" w:hint="default"/>
      <w:b/>
      <w:bCs/>
      <w:sz w:val="32"/>
      <w:szCs w:val="32"/>
    </w:rPr>
  </w:style>
  <w:style w:type="character" w:customStyle="1" w:styleId="3Char">
    <w:name w:val="标题 3 Char"/>
    <w:basedOn w:val="a0"/>
    <w:link w:val="3"/>
    <w:locked/>
    <w:rPr>
      <w:b/>
      <w:bCs/>
      <w:kern w:val="2"/>
      <w:sz w:val="32"/>
      <w:szCs w:val="32"/>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Char7">
    <w:name w:val="Char"/>
    <w:basedOn w:val="a"/>
  </w:style>
  <w:style w:type="paragraph" w:customStyle="1" w:styleId="af0">
    <w:name w:val="次标题"/>
    <w:basedOn w:val="3"/>
    <w:next w:val="a"/>
    <w:pPr>
      <w:spacing w:before="120" w:after="120"/>
      <w:jc w:val="left"/>
    </w:pPr>
    <w:rPr>
      <w:sz w:val="21"/>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Title5">
    <w:name w:val="XBRLTitle5"/>
    <w:basedOn w:val="a8"/>
    <w:next w:val="4"/>
    <w:pPr>
      <w:numPr>
        <w:ilvl w:val="4"/>
        <w:numId w:val="1"/>
      </w:numPr>
      <w:spacing w:beforeLines="50" w:after="0"/>
    </w:pPr>
    <w:rPr>
      <w:bCs/>
    </w:rPr>
  </w:style>
  <w:style w:type="character" w:customStyle="1" w:styleId="Char15">
    <w:name w:val="文档结构图 Char1"/>
    <w:basedOn w:val="a0"/>
    <w:link w:val="a3"/>
    <w:locked/>
    <w:rPr>
      <w:rFonts w:ascii="宋体" w:eastAsia="宋体" w:hAnsi="宋体" w:cs="宋体" w:hint="eastAsia"/>
      <w:kern w:val="2"/>
      <w:sz w:val="18"/>
      <w:szCs w:val="18"/>
    </w:rPr>
  </w:style>
  <w:style w:type="character" w:customStyle="1" w:styleId="2Char">
    <w:name w:val="标题 2 Char"/>
    <w:basedOn w:val="a0"/>
    <w:link w:val="2"/>
    <w:locked/>
    <w:rPr>
      <w:rFonts w:ascii="Cambria" w:eastAsia="宋体" w:hAnsi="Cambria" w:cs="Times New Roman" w:hint="default"/>
      <w:b/>
      <w:bCs/>
      <w:kern w:val="2"/>
      <w:sz w:val="32"/>
      <w:szCs w:val="32"/>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3">
    <w:name w:val="XBRL标题3"/>
    <w:basedOn w:val="a8"/>
    <w:next w:val="4"/>
    <w:pPr>
      <w:spacing w:beforeLines="50" w:after="0"/>
    </w:pPr>
    <w:rPr>
      <w:bCs/>
    </w:rPr>
  </w:style>
  <w:style w:type="character" w:customStyle="1" w:styleId="5Char">
    <w:name w:val="标题 5 Char"/>
    <w:basedOn w:val="a0"/>
    <w:link w:val="5"/>
    <w:locked/>
    <w:rPr>
      <w:b/>
      <w:bCs/>
      <w:kern w:val="2"/>
      <w:sz w:val="24"/>
      <w:szCs w:val="24"/>
    </w:rPr>
  </w:style>
  <w:style w:type="character" w:customStyle="1" w:styleId="Char8">
    <w:name w:val="页脚 Char"/>
    <w:basedOn w:val="a0"/>
    <w:link w:val="a6"/>
    <w:locked/>
    <w:rPr>
      <w:kern w:val="2"/>
      <w:sz w:val="18"/>
      <w:szCs w:val="18"/>
    </w:rPr>
  </w:style>
  <w:style w:type="character" w:customStyle="1" w:styleId="Char9">
    <w:name w:val="文档结构图 Char"/>
    <w:basedOn w:val="a0"/>
    <w:link w:val="a3"/>
    <w:locked/>
    <w:rPr>
      <w:rFonts w:ascii="宋体" w:eastAsia="宋体" w:hAnsi="宋体" w:cs="宋体" w:hint="eastAsia"/>
      <w:kern w:val="2"/>
      <w:sz w:val="18"/>
      <w:szCs w:val="18"/>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6">
    <w:name w:val="XBRLTitle6"/>
    <w:basedOn w:val="a8"/>
    <w:next w:val="4"/>
    <w:pPr>
      <w:numPr>
        <w:ilvl w:val="5"/>
        <w:numId w:val="1"/>
      </w:numPr>
      <w:spacing w:beforeLines="50" w:after="0"/>
    </w:pPr>
    <w:rPr>
      <w:bCs/>
    </w:rPr>
  </w:style>
  <w:style w:type="character" w:customStyle="1" w:styleId="4Char1">
    <w:name w:val="标题 4 Char1"/>
    <w:basedOn w:val="a0"/>
    <w:link w:val="4"/>
    <w:locked/>
    <w:rPr>
      <w:rFonts w:ascii="Cambria" w:eastAsia="宋体" w:hAnsi="Cambria" w:cs="宋体" w:hint="default"/>
      <w:b/>
      <w:bCs/>
      <w:sz w:val="24"/>
      <w:szCs w:val="24"/>
    </w:rPr>
  </w:style>
  <w:style w:type="paragraph" w:customStyle="1" w:styleId="XBRL2">
    <w:name w:val="XBRL标题2"/>
    <w:basedOn w:val="a8"/>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character" w:customStyle="1" w:styleId="Char16">
    <w:name w:val="批注框文本 Char1"/>
    <w:basedOn w:val="a0"/>
    <w:link w:val="a5"/>
    <w:locked/>
    <w:rPr>
      <w:kern w:val="2"/>
      <w:sz w:val="18"/>
      <w:szCs w:val="18"/>
    </w:rPr>
  </w:style>
  <w:style w:type="paragraph" w:customStyle="1" w:styleId="XBRL5">
    <w:name w:val="XBRL标题5"/>
    <w:basedOn w:val="a8"/>
    <w:next w:val="4"/>
    <w:pPr>
      <w:spacing w:beforeLines="50" w:after="0"/>
    </w:pPr>
    <w:rPr>
      <w:bCs/>
    </w:rPr>
  </w:style>
  <w:style w:type="paragraph" w:customStyle="1" w:styleId="XBRL4">
    <w:name w:val="XBRL标题4"/>
    <w:basedOn w:val="a8"/>
    <w:next w:val="4"/>
    <w:pPr>
      <w:spacing w:beforeLines="50" w:after="0"/>
    </w:pPr>
    <w:rPr>
      <w:bCs/>
    </w:rPr>
  </w:style>
  <w:style w:type="character" w:customStyle="1" w:styleId="af1">
    <w:name w:val="页眉 字符"/>
    <w:basedOn w:val="a0"/>
    <w:link w:val="a7"/>
    <w:locked/>
    <w:rPr>
      <w:kern w:val="2"/>
      <w:sz w:val="18"/>
      <w:szCs w:val="18"/>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customStyle="1" w:styleId="11">
    <w:name w:val="标题 1 字符"/>
    <w:basedOn w:val="a0"/>
    <w:link w:val="1"/>
    <w:locked/>
    <w:rPr>
      <w:b/>
      <w:bCs/>
      <w:kern w:val="44"/>
      <w:sz w:val="44"/>
      <w:szCs w:val="44"/>
    </w:rPr>
  </w:style>
  <w:style w:type="character" w:customStyle="1" w:styleId="21">
    <w:name w:val="标题 2 字符"/>
    <w:basedOn w:val="a0"/>
    <w:link w:val="2"/>
    <w:locked/>
    <w:rPr>
      <w:rFonts w:ascii="Cambria" w:eastAsia="宋体" w:hAnsi="Cambria" w:cs="Times New Roman" w:hint="default"/>
      <w:b/>
      <w:bCs/>
      <w:kern w:val="2"/>
      <w:sz w:val="32"/>
      <w:szCs w:val="32"/>
    </w:rPr>
  </w:style>
  <w:style w:type="character" w:customStyle="1" w:styleId="31">
    <w:name w:val="标题 3 字符"/>
    <w:basedOn w:val="a0"/>
    <w:link w:val="3"/>
    <w:locked/>
    <w:rPr>
      <w:b/>
      <w:bCs/>
      <w:kern w:val="2"/>
      <w:sz w:val="32"/>
      <w:szCs w:val="32"/>
    </w:rPr>
  </w:style>
  <w:style w:type="character" w:customStyle="1" w:styleId="af2">
    <w:name w:val="脚注文本 字符"/>
    <w:basedOn w:val="a0"/>
    <w:link w:val="a9"/>
    <w:locked/>
    <w:rPr>
      <w:kern w:val="2"/>
      <w:sz w:val="18"/>
      <w:szCs w:val="18"/>
    </w:rPr>
  </w:style>
  <w:style w:type="character" w:customStyle="1" w:styleId="af3">
    <w:name w:val="页脚 字符"/>
    <w:basedOn w:val="a0"/>
    <w:link w:val="a6"/>
    <w:locked/>
    <w:rPr>
      <w:kern w:val="2"/>
      <w:sz w:val="18"/>
      <w:szCs w:val="18"/>
    </w:rPr>
  </w:style>
  <w:style w:type="character" w:customStyle="1" w:styleId="af4">
    <w:name w:val="副标题 字符"/>
    <w:basedOn w:val="a0"/>
    <w:link w:val="a8"/>
    <w:locked/>
    <w:rPr>
      <w:rFonts w:ascii="Calibri" w:eastAsia="宋体" w:hAnsi="Calibri" w:cs="Times New Roman" w:hint="default"/>
      <w:b/>
      <w:bCs/>
      <w:kern w:val="24"/>
      <w:sz w:val="32"/>
      <w:szCs w:val="32"/>
    </w:rPr>
  </w:style>
  <w:style w:type="character" w:customStyle="1" w:styleId="12">
    <w:name w:val="页眉 字符1"/>
    <w:basedOn w:val="a0"/>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1356</Characters>
  <Application>Microsoft Office Word</Application>
  <DocSecurity>4</DocSecurity>
  <Lines>11</Lines>
  <Paragraphs>3</Paragraphs>
  <ScaleCrop>false</ScaleCrop>
  <Company>CNSTOCK</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2024-01-28T16:00:00Z</dcterms:created>
  <dcterms:modified xsi:type="dcterms:W3CDTF">2024-01-28T16:00:00Z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F41CAD2EBC62475DACCC1403479F18DF</vt:lpwstr>
  </property>
</Properties>
</file>