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085E" w:rsidRDefault="007A085E">
      <w:pPr>
        <w:pStyle w:val="XBRL2"/>
        <w:spacing w:before="156"/>
        <w:rPr>
          <w:lang w:eastAsia="zh-CN"/>
        </w:rPr>
      </w:pPr>
      <w:bookmarkStart w:id="0" w:name="_Toc348410291"/>
      <w:bookmarkEnd w:id="0"/>
      <w:r>
        <w:rPr>
          <w:lang w:eastAsia="zh-CN"/>
        </w:rPr>
        <w:t xml:space="preserve">　</w:t>
      </w:r>
      <w:r>
        <w:rPr>
          <w:lang w:eastAsia="zh-CN"/>
        </w:rPr>
        <w:t xml:space="preserve"> </w:t>
      </w:r>
    </w:p>
    <w:p w:rsidR="007A085E" w:rsidRDefault="007A085E">
      <w:pPr>
        <w:jc w:val="center"/>
      </w:pPr>
      <w:r>
        <w:rPr>
          <w:rFonts w:cs="Times New Roman" w:hint="eastAsia"/>
          <w:b/>
          <w:sz w:val="48"/>
          <w:szCs w:val="48"/>
        </w:rPr>
        <w:t>红塔红土盛商一年定期开放债券型发起式证券投资基金开放申购（赎回、转换）业务的公告</w:t>
      </w:r>
    </w:p>
    <w:p w:rsidR="007A085E" w:rsidRDefault="007A085E">
      <w:pPr>
        <w:spacing w:line="360" w:lineRule="auto"/>
        <w:jc w:val="center"/>
        <w:rPr>
          <w:rFonts w:hint="eastAsia"/>
          <w:sz w:val="24"/>
          <w:szCs w:val="30"/>
        </w:rPr>
      </w:pPr>
      <w:r>
        <w:rPr>
          <w:rFonts w:hint="eastAsia"/>
          <w:sz w:val="24"/>
          <w:szCs w:val="30"/>
        </w:rPr>
        <w:t xml:space="preserve">　 </w:t>
      </w:r>
    </w:p>
    <w:p w:rsidR="007A085E" w:rsidRDefault="007A085E">
      <w:pPr>
        <w:spacing w:line="360" w:lineRule="auto"/>
        <w:jc w:val="center"/>
        <w:rPr>
          <w:rFonts w:hint="eastAsia"/>
          <w:sz w:val="24"/>
          <w:szCs w:val="30"/>
        </w:rPr>
      </w:pPr>
      <w:r>
        <w:rPr>
          <w:rFonts w:hint="eastAsia"/>
          <w:sz w:val="24"/>
          <w:szCs w:val="30"/>
        </w:rPr>
        <w:t xml:space="preserve">　 </w:t>
      </w:r>
    </w:p>
    <w:p w:rsidR="007A085E" w:rsidRDefault="007A085E">
      <w:pPr>
        <w:spacing w:line="360" w:lineRule="auto"/>
        <w:jc w:val="center"/>
        <w:rPr>
          <w:rFonts w:hint="eastAsia"/>
          <w:sz w:val="24"/>
          <w:szCs w:val="30"/>
        </w:rPr>
      </w:pPr>
      <w:r>
        <w:rPr>
          <w:rFonts w:hint="eastAsia"/>
          <w:sz w:val="24"/>
          <w:szCs w:val="30"/>
        </w:rPr>
        <w:t xml:space="preserve">　 </w:t>
      </w:r>
    </w:p>
    <w:p w:rsidR="007A085E" w:rsidRDefault="007A085E">
      <w:pPr>
        <w:spacing w:line="360" w:lineRule="auto"/>
        <w:jc w:val="center"/>
        <w:rPr>
          <w:rFonts w:hint="eastAsia"/>
          <w:sz w:val="24"/>
          <w:szCs w:val="30"/>
        </w:rPr>
      </w:pPr>
      <w:r>
        <w:rPr>
          <w:rFonts w:hint="eastAsia"/>
          <w:sz w:val="24"/>
          <w:szCs w:val="30"/>
        </w:rPr>
        <w:t xml:space="preserve">　 </w:t>
      </w:r>
    </w:p>
    <w:p w:rsidR="007A085E" w:rsidRDefault="007A085E">
      <w:pPr>
        <w:spacing w:line="360" w:lineRule="auto"/>
        <w:jc w:val="center"/>
        <w:rPr>
          <w:rFonts w:hint="eastAsia"/>
          <w:sz w:val="24"/>
          <w:szCs w:val="30"/>
        </w:rPr>
      </w:pPr>
      <w:r>
        <w:rPr>
          <w:rFonts w:hint="eastAsia"/>
          <w:sz w:val="24"/>
          <w:szCs w:val="30"/>
        </w:rPr>
        <w:t xml:space="preserve">　 </w:t>
      </w:r>
    </w:p>
    <w:p w:rsidR="007A085E" w:rsidRDefault="007A085E">
      <w:pPr>
        <w:spacing w:line="360" w:lineRule="auto"/>
        <w:jc w:val="center"/>
        <w:rPr>
          <w:rFonts w:hint="eastAsia"/>
          <w:sz w:val="24"/>
          <w:szCs w:val="30"/>
        </w:rPr>
      </w:pPr>
      <w:r>
        <w:rPr>
          <w:rFonts w:hint="eastAsia"/>
          <w:sz w:val="24"/>
          <w:szCs w:val="30"/>
        </w:rPr>
        <w:t xml:space="preserve">　 </w:t>
      </w:r>
    </w:p>
    <w:p w:rsidR="007A085E" w:rsidRDefault="007A085E">
      <w:pPr>
        <w:spacing w:line="360" w:lineRule="auto"/>
        <w:jc w:val="center"/>
        <w:rPr>
          <w:rFonts w:hint="eastAsia"/>
          <w:sz w:val="24"/>
          <w:szCs w:val="30"/>
        </w:rPr>
      </w:pPr>
      <w:r>
        <w:rPr>
          <w:rFonts w:hint="eastAsia"/>
          <w:sz w:val="24"/>
          <w:szCs w:val="30"/>
        </w:rPr>
        <w:t xml:space="preserve">　 </w:t>
      </w:r>
    </w:p>
    <w:p w:rsidR="007A085E" w:rsidRDefault="007A085E">
      <w:pPr>
        <w:spacing w:line="360" w:lineRule="auto"/>
        <w:jc w:val="center"/>
        <w:rPr>
          <w:rFonts w:hint="eastAsia"/>
          <w:sz w:val="24"/>
          <w:szCs w:val="30"/>
        </w:rPr>
      </w:pPr>
      <w:r>
        <w:rPr>
          <w:rFonts w:hint="eastAsia"/>
          <w:sz w:val="24"/>
          <w:szCs w:val="30"/>
        </w:rPr>
        <w:t xml:space="preserve">　 </w:t>
      </w:r>
    </w:p>
    <w:p w:rsidR="007A085E" w:rsidRDefault="007A085E">
      <w:pPr>
        <w:spacing w:line="360" w:lineRule="auto"/>
        <w:jc w:val="center"/>
        <w:rPr>
          <w:rFonts w:hint="eastAsia"/>
          <w:sz w:val="24"/>
          <w:szCs w:val="30"/>
        </w:rPr>
      </w:pPr>
      <w:r>
        <w:rPr>
          <w:rFonts w:hint="eastAsia"/>
          <w:sz w:val="24"/>
          <w:szCs w:val="30"/>
        </w:rPr>
        <w:t xml:space="preserve">　 </w:t>
      </w:r>
    </w:p>
    <w:p w:rsidR="007A085E" w:rsidRDefault="007A085E">
      <w:pPr>
        <w:spacing w:line="360" w:lineRule="auto"/>
        <w:jc w:val="center"/>
        <w:rPr>
          <w:rFonts w:hint="eastAsia"/>
          <w:sz w:val="24"/>
          <w:szCs w:val="30"/>
        </w:rPr>
      </w:pPr>
      <w:r>
        <w:rPr>
          <w:rFonts w:hint="eastAsia"/>
          <w:sz w:val="24"/>
          <w:szCs w:val="30"/>
        </w:rPr>
        <w:t xml:space="preserve">　 </w:t>
      </w:r>
    </w:p>
    <w:p w:rsidR="007A085E" w:rsidRDefault="007A085E">
      <w:pPr>
        <w:spacing w:line="360" w:lineRule="auto"/>
        <w:jc w:val="center"/>
        <w:rPr>
          <w:rFonts w:hint="eastAsia"/>
        </w:rPr>
      </w:pPr>
      <w:r>
        <w:rPr>
          <w:rFonts w:hint="eastAsia"/>
          <w:b/>
          <w:bCs/>
          <w:sz w:val="24"/>
          <w:szCs w:val="30"/>
        </w:rPr>
        <w:t>公告送出日期：2024年1月29日</w:t>
      </w:r>
    </w:p>
    <w:p w:rsidR="007A085E" w:rsidRDefault="007A085E">
      <w:pPr>
        <w:pStyle w:val="XBRLTitle1"/>
        <w:spacing w:before="156" w:line="360" w:lineRule="auto"/>
        <w:rPr>
          <w:rFonts w:hint="eastAsia"/>
        </w:rPr>
      </w:pPr>
      <w:r>
        <w:rPr>
          <w:rFonts w:hint="eastAsia"/>
          <w:color w:val="404040"/>
          <w:kern w:val="0"/>
        </w:rPr>
        <w:br w:type="page"/>
      </w:r>
      <w:bookmarkStart w:id="1" w:name="_Toc34841028"/>
      <w:bookmarkStart w:id="2" w:name="_Toc17898178"/>
      <w:bookmarkStart w:id="3" w:name="_Toc17897936"/>
      <w:bookmarkStart w:id="4" w:name="_Toc512519480"/>
      <w:bookmarkStart w:id="5" w:name="_Toc481075046"/>
      <w:bookmarkStart w:id="6" w:name="_Toc438646451"/>
      <w:bookmarkStart w:id="7" w:name="_Toc490050000"/>
      <w:bookmarkStart w:id="8" w:name="_Toc513295846"/>
      <w:bookmarkStart w:id="9" w:name="_Toc513295892"/>
      <w:bookmarkStart w:id="10" w:name="_Toc34758519"/>
      <w:bookmarkStart w:id="11" w:name="m101"/>
      <w:bookmarkStart w:id="12" w:name="_Toc194311890"/>
      <w:bookmarkStart w:id="13" w:name="m01_01"/>
      <w:r>
        <w:rPr>
          <w:rFonts w:hAnsi="宋体" w:hint="eastAsia"/>
        </w:rPr>
        <w:t>公告基本信息</w:t>
      </w:r>
      <w:bookmarkEnd w:id="1"/>
      <w:bookmarkEnd w:id="2"/>
      <w:bookmarkEnd w:id="3"/>
      <w:bookmarkEnd w:id="4"/>
      <w:bookmarkEnd w:id="5"/>
      <w:bookmarkEnd w:id="6"/>
      <w:bookmarkEnd w:id="7"/>
      <w:bookmarkEnd w:id="8"/>
      <w:bookmarkEnd w:id="9"/>
      <w:bookmarkEnd w:id="10"/>
      <w:r>
        <w:rPr>
          <w:rFonts w:hAnsi="宋体" w:hint="eastAsia"/>
          <w:szCs w:val="44"/>
        </w:rPr>
        <w:t xml:space="preserve"> </w:t>
      </w:r>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0"/>
        <w:gridCol w:w="2840"/>
        <w:gridCol w:w="2840"/>
      </w:tblGrid>
      <w:tr w:rsidR="007A085E" w:rsidRPr="00F955D3" w:rsidTr="00F955D3">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rsidP="00F955D3">
            <w:pPr>
              <w:rPr>
                <w:rFonts w:hint="eastAsia"/>
              </w:rPr>
            </w:pPr>
            <w:r w:rsidRPr="00F955D3">
              <w:rPr>
                <w:rFonts w:hint="eastAsia"/>
              </w:rPr>
              <w:t xml:space="preserve">基金名称 </w:t>
            </w:r>
          </w:p>
        </w:tc>
        <w:tc>
          <w:tcPr>
            <w:tcW w:w="5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红塔红土盛商一年定期开放债券型发起式证券投资基金</w:t>
            </w:r>
          </w:p>
        </w:tc>
      </w:tr>
      <w:tr w:rsidR="007A085E" w:rsidRPr="00F955D3" w:rsidTr="00F955D3">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 xml:space="preserve">基金简称 </w:t>
            </w:r>
          </w:p>
        </w:tc>
        <w:tc>
          <w:tcPr>
            <w:tcW w:w="5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红塔红土盛商一年定期开放债券</w:t>
            </w:r>
          </w:p>
        </w:tc>
      </w:tr>
      <w:tr w:rsidR="007A085E" w:rsidRPr="00F955D3" w:rsidTr="00F955D3">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 xml:space="preserve">基金主代码 </w:t>
            </w:r>
          </w:p>
        </w:tc>
        <w:tc>
          <w:tcPr>
            <w:tcW w:w="5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004708</w:t>
            </w:r>
          </w:p>
        </w:tc>
      </w:tr>
      <w:tr w:rsidR="007A085E" w:rsidRPr="00F955D3" w:rsidTr="00F955D3">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 xml:space="preserve">基金运作方式 </w:t>
            </w:r>
          </w:p>
        </w:tc>
        <w:tc>
          <w:tcPr>
            <w:tcW w:w="5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契约型定期开放式</w:t>
            </w:r>
          </w:p>
        </w:tc>
      </w:tr>
      <w:tr w:rsidR="007A085E" w:rsidRPr="00F955D3" w:rsidTr="00F955D3">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 xml:space="preserve">基金合同生效日 </w:t>
            </w:r>
          </w:p>
        </w:tc>
        <w:tc>
          <w:tcPr>
            <w:tcW w:w="5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2017年9月15日</w:t>
            </w:r>
          </w:p>
        </w:tc>
      </w:tr>
      <w:tr w:rsidR="007A085E" w:rsidRPr="00F955D3" w:rsidTr="00F955D3">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 xml:space="preserve">基金管理人名称 </w:t>
            </w:r>
          </w:p>
        </w:tc>
        <w:tc>
          <w:tcPr>
            <w:tcW w:w="5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红塔红土基金管理有限公司</w:t>
            </w:r>
          </w:p>
        </w:tc>
      </w:tr>
      <w:tr w:rsidR="007A085E" w:rsidRPr="00F955D3" w:rsidTr="00F955D3">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 xml:space="preserve">基金托管人名称 </w:t>
            </w:r>
          </w:p>
        </w:tc>
        <w:tc>
          <w:tcPr>
            <w:tcW w:w="5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中国工商银行股份有限公司</w:t>
            </w:r>
          </w:p>
        </w:tc>
      </w:tr>
      <w:tr w:rsidR="007A085E" w:rsidRPr="00F955D3" w:rsidTr="00F955D3">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 xml:space="preserve">基金注册登记机构名称 </w:t>
            </w:r>
          </w:p>
        </w:tc>
        <w:tc>
          <w:tcPr>
            <w:tcW w:w="5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红塔红土基金管理有限公司</w:t>
            </w:r>
          </w:p>
        </w:tc>
      </w:tr>
      <w:tr w:rsidR="007A085E" w:rsidRPr="00F955D3" w:rsidTr="00F955D3">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 xml:space="preserve">公告依据 </w:t>
            </w:r>
          </w:p>
        </w:tc>
        <w:tc>
          <w:tcPr>
            <w:tcW w:w="5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中华人民共和国证券投资基金法》《公开募集证券投资基金运作管理办法》等法律法规以及《红塔红土盛商一年定期开放债券型发起式证券投资基金基金合同》《红塔红土盛商一年定期开放债券型发起式证券投资基金招募说明书》</w:t>
            </w:r>
          </w:p>
        </w:tc>
      </w:tr>
      <w:tr w:rsidR="007A085E" w:rsidRPr="00F955D3" w:rsidTr="00F955D3">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 xml:space="preserve">申购起始日 </w:t>
            </w:r>
          </w:p>
        </w:tc>
        <w:tc>
          <w:tcPr>
            <w:tcW w:w="5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2024年2月1日</w:t>
            </w:r>
          </w:p>
        </w:tc>
      </w:tr>
      <w:tr w:rsidR="007A085E" w:rsidRPr="00F955D3" w:rsidTr="00F955D3">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 xml:space="preserve">赎回起始日 </w:t>
            </w:r>
          </w:p>
        </w:tc>
        <w:tc>
          <w:tcPr>
            <w:tcW w:w="5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2024年2月1日</w:t>
            </w:r>
          </w:p>
        </w:tc>
      </w:tr>
      <w:tr w:rsidR="007A085E" w:rsidRPr="00F955D3" w:rsidTr="00F955D3">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 xml:space="preserve">转换转入起始日 </w:t>
            </w:r>
          </w:p>
        </w:tc>
        <w:tc>
          <w:tcPr>
            <w:tcW w:w="5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2024年2月1日</w:t>
            </w:r>
          </w:p>
        </w:tc>
      </w:tr>
      <w:tr w:rsidR="007A085E" w:rsidRPr="00F955D3" w:rsidTr="00F955D3">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 xml:space="preserve">转换转出起始日 </w:t>
            </w:r>
          </w:p>
        </w:tc>
        <w:tc>
          <w:tcPr>
            <w:tcW w:w="5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hint="eastAsia"/>
              </w:rPr>
              <w:t>2024年2月1日</w:t>
            </w:r>
          </w:p>
        </w:tc>
      </w:tr>
      <w:tr w:rsidR="007A085E" w:rsidRPr="00F955D3" w:rsidTr="00F955D3">
        <w:tc>
          <w:tcPr>
            <w:tcW w:w="3652" w:type="dxa"/>
            <w:tcBorders>
              <w:top w:val="single" w:sz="4" w:space="0" w:color="000000"/>
              <w:left w:val="single" w:sz="4" w:space="0" w:color="000000"/>
              <w:bottom w:val="single" w:sz="4" w:space="0" w:color="000000"/>
              <w:right w:val="nil"/>
            </w:tcBorders>
            <w:shd w:val="clear" w:color="auto" w:fill="auto"/>
            <w:vAlign w:val="center"/>
            <w:hideMark/>
          </w:tcPr>
          <w:p w:rsidR="007A085E" w:rsidRDefault="007A085E">
            <w:pPr>
              <w:rPr>
                <w:rFonts w:hint="eastAsia"/>
              </w:rPr>
            </w:pPr>
            <w:r w:rsidRPr="00F955D3">
              <w:rPr>
                <w:rFonts w:ascii="Times New Roman" w:hAnsi="Times New Roman" w:hint="eastAsia"/>
              </w:rPr>
              <w:t>下属分级基金的基金简称</w:t>
            </w:r>
            <w:r>
              <w:rPr>
                <w:rFonts w:hint="eastAsia"/>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ascii="Times New Roman" w:hAnsi="Times New Roman" w:hint="eastAsia"/>
              </w:rPr>
              <w:t>红塔红土盛商一年定期开放债券</w:t>
            </w:r>
            <w:r w:rsidRPr="00F955D3">
              <w:rPr>
                <w:rFonts w:ascii="Times New Roman" w:hAnsi="Times New Roman" w:hint="eastAsia"/>
              </w:rPr>
              <w:t>A</w:t>
            </w:r>
            <w:r>
              <w:rPr>
                <w:rFonts w:hint="eastAsia"/>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ascii="Times New Roman" w:hAnsi="Times New Roman" w:hint="eastAsia"/>
              </w:rPr>
              <w:t>红塔红土盛商一年定期开放债券</w:t>
            </w:r>
            <w:r w:rsidRPr="00F955D3">
              <w:rPr>
                <w:rFonts w:ascii="Times New Roman" w:hAnsi="Times New Roman" w:hint="eastAsia"/>
              </w:rPr>
              <w:t>C</w:t>
            </w:r>
            <w:r>
              <w:rPr>
                <w:rFonts w:hint="eastAsia"/>
              </w:rPr>
              <w:t xml:space="preserve"> </w:t>
            </w:r>
          </w:p>
        </w:tc>
      </w:tr>
      <w:tr w:rsidR="007A085E" w:rsidRPr="00F955D3" w:rsidTr="00F955D3">
        <w:tc>
          <w:tcPr>
            <w:tcW w:w="3652" w:type="dxa"/>
            <w:tcBorders>
              <w:top w:val="single" w:sz="4" w:space="0" w:color="000000"/>
              <w:left w:val="single" w:sz="4" w:space="0" w:color="000000"/>
              <w:bottom w:val="single" w:sz="4" w:space="0" w:color="000000"/>
              <w:right w:val="nil"/>
            </w:tcBorders>
            <w:shd w:val="clear" w:color="auto" w:fill="auto"/>
            <w:vAlign w:val="center"/>
            <w:hideMark/>
          </w:tcPr>
          <w:p w:rsidR="007A085E" w:rsidRDefault="007A085E">
            <w:pPr>
              <w:rPr>
                <w:rFonts w:hint="eastAsia"/>
              </w:rPr>
            </w:pPr>
            <w:r w:rsidRPr="00F955D3">
              <w:rPr>
                <w:rFonts w:ascii="Times New Roman" w:hAnsi="Times New Roman" w:hint="eastAsia"/>
              </w:rPr>
              <w:t>下属分级基金的交易代码</w:t>
            </w:r>
            <w:r>
              <w:rPr>
                <w:rFonts w:hint="eastAsia"/>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ascii="Times New Roman" w:hAnsi="Times New Roman" w:hint="eastAsia"/>
              </w:rPr>
              <w:t>004708</w:t>
            </w:r>
            <w:r>
              <w:rPr>
                <w:rFonts w:hint="eastAsia"/>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ascii="Times New Roman" w:hAnsi="Times New Roman" w:hint="eastAsia"/>
              </w:rPr>
              <w:t>004709</w:t>
            </w:r>
            <w:r>
              <w:rPr>
                <w:rFonts w:hint="eastAsia"/>
              </w:rPr>
              <w:t xml:space="preserve"> </w:t>
            </w:r>
          </w:p>
        </w:tc>
      </w:tr>
      <w:tr w:rsidR="007A085E" w:rsidRPr="00F955D3" w:rsidTr="00F955D3">
        <w:tc>
          <w:tcPr>
            <w:tcW w:w="3652" w:type="dxa"/>
            <w:tcBorders>
              <w:top w:val="single" w:sz="4" w:space="0" w:color="000000"/>
              <w:left w:val="single" w:sz="4" w:space="0" w:color="000000"/>
              <w:bottom w:val="single" w:sz="4" w:space="0" w:color="000000"/>
              <w:right w:val="nil"/>
            </w:tcBorders>
            <w:shd w:val="clear" w:color="auto" w:fill="auto"/>
            <w:vAlign w:val="center"/>
            <w:hideMark/>
          </w:tcPr>
          <w:p w:rsidR="007A085E" w:rsidRDefault="007A085E">
            <w:pPr>
              <w:rPr>
                <w:rFonts w:hint="eastAsia"/>
              </w:rPr>
            </w:pPr>
            <w:r w:rsidRPr="00F955D3">
              <w:rPr>
                <w:rFonts w:ascii="Times New Roman" w:hAnsi="Times New Roman" w:hint="eastAsia"/>
              </w:rPr>
              <w:t>该分级基金是否开放申购、赎回（转换、定期定额投资）</w:t>
            </w:r>
            <w:r>
              <w:rPr>
                <w:rFonts w:hint="eastAsia"/>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ascii="Times New Roman" w:hAnsi="Times New Roman" w:hint="eastAsia"/>
              </w:rPr>
              <w:t>是</w:t>
            </w:r>
            <w:r>
              <w:rPr>
                <w:rFonts w:hint="eastAsia"/>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5E" w:rsidRDefault="007A085E">
            <w:pPr>
              <w:rPr>
                <w:rFonts w:hint="eastAsia"/>
              </w:rPr>
            </w:pPr>
            <w:r w:rsidRPr="00F955D3">
              <w:rPr>
                <w:rFonts w:ascii="Times New Roman" w:hAnsi="Times New Roman" w:hint="eastAsia"/>
              </w:rPr>
              <w:t>是</w:t>
            </w:r>
            <w:r>
              <w:rPr>
                <w:rFonts w:hint="eastAsia"/>
              </w:rPr>
              <w:t xml:space="preserve"> </w:t>
            </w:r>
          </w:p>
        </w:tc>
      </w:tr>
    </w:tbl>
    <w:p w:rsidR="007A085E" w:rsidRDefault="007A085E">
      <w:pPr>
        <w:pStyle w:val="XBRLTitle1"/>
        <w:spacing w:before="156" w:line="360" w:lineRule="auto"/>
        <w:rPr>
          <w:rFonts w:hint="eastAsia"/>
        </w:rPr>
      </w:pPr>
      <w:bookmarkStart w:id="14" w:name="_Toc34841029"/>
      <w:bookmarkStart w:id="15" w:name="_Toc34758520"/>
      <w:bookmarkStart w:id="16" w:name="_Toc17898179"/>
      <w:bookmarkStart w:id="17" w:name="_Toc17897937"/>
      <w:bookmarkStart w:id="18" w:name="_Toc512519481"/>
      <w:bookmarkStart w:id="19" w:name="_Toc481075047"/>
      <w:bookmarkStart w:id="20" w:name="_Toc438646452"/>
      <w:bookmarkStart w:id="21" w:name="_Toc490050001"/>
      <w:bookmarkStart w:id="22" w:name="_Toc513295847"/>
      <w:bookmarkStart w:id="23" w:name="_Toc513295893"/>
      <w:r>
        <w:rPr>
          <w:rFonts w:hAnsi="宋体" w:hint="eastAsia"/>
        </w:rPr>
        <w:t>日常申购、赎回(转换、定期定额投资)业务的办理时间</w:t>
      </w:r>
      <w:bookmarkEnd w:id="14"/>
      <w:bookmarkEnd w:id="15"/>
      <w:r>
        <w:rPr>
          <w:rFonts w:hAnsi="宋体" w:hint="eastAsia"/>
        </w:rPr>
        <w:t xml:space="preserve"> </w:t>
      </w:r>
    </w:p>
    <w:p w:rsidR="007A085E" w:rsidRDefault="007A085E">
      <w:pPr>
        <w:spacing w:line="360" w:lineRule="auto"/>
        <w:ind w:firstLineChars="200" w:firstLine="420"/>
        <w:rPr>
          <w:rFonts w:hint="eastAsia"/>
        </w:rPr>
      </w:pPr>
      <w:bookmarkStart w:id="24" w:name="m07_04_13_00"/>
      <w:bookmarkStart w:id="25" w:name="m201"/>
      <w:bookmarkStart w:id="26" w:name="m07_04_07_09_tab"/>
      <w:bookmarkStart w:id="27" w:name="m07_04_07_09"/>
      <w:bookmarkStart w:id="28" w:name="m201_01"/>
      <w:r>
        <w:rPr>
          <w:rFonts w:hint="eastAsia"/>
          <w:lang/>
        </w:rPr>
        <w:t>（1）开放日</w:t>
      </w:r>
      <w:r>
        <w:rPr>
          <w:rFonts w:hint="eastAsia"/>
          <w:lang/>
        </w:rPr>
        <w:br/>
        <w:t xml:space="preserve">　　根据本基金《基金合同》《招募说明书》的规定，本基金的第一个封闭期为自本基金《基金合同》生效之日起（包括该日）至一年后对应日的期间。第二个封闭期为自首个开放期结束之日次日起（包括该日）至一年后对应日的期间，以此类推。如不存在对应日期的，则顺延至下一工作日的前一日止。本基金封闭期结束前不办理申购、赎回、转换业务，也不上市交易。本基金办理申购、赎回、转换业务的开放期为本基金每个封闭期结束之后第一个工作日起（包括该日）不少于5个工作日且最长不超过20个工作日的期间。</w:t>
      </w:r>
      <w:r>
        <w:rPr>
          <w:rFonts w:hint="eastAsia"/>
          <w:lang/>
        </w:rPr>
        <w:br/>
        <w:t xml:space="preserve">　　本基金本次办理申购、赎回、转换业务的开放期为2024年1月31日之后第一个工作日（含）起20个工作日的期间，即2024年2月1日至2024年3月7日（包括该日）。</w:t>
      </w:r>
      <w:r>
        <w:rPr>
          <w:rFonts w:hint="eastAsia"/>
          <w:lang/>
        </w:rPr>
        <w:br/>
        <w:t xml:space="preserve">　　下一个封闭期为自本次开放期结束之日次日起（包括该日）至一年后对应日的期间，即自2024年3月8日起至2025年3月8日止，封闭期内本基金不办理申购、赎回、转换业务，也不上市交易。</w:t>
      </w:r>
      <w:r>
        <w:rPr>
          <w:rFonts w:hint="eastAsia"/>
          <w:lang/>
        </w:rPr>
        <w:br/>
        <w:t xml:space="preserve">　　如在开放期内发生不可抗力或其他情形致使基金无法按时开放或需依据《基金合同》暂停申购、赎回、转换业务的，基金管理人有权合理调整申购、赎回、转换业务的办理期间并予以公告。</w:t>
      </w:r>
      <w:r>
        <w:rPr>
          <w:rFonts w:hint="eastAsia"/>
          <w:lang/>
        </w:rPr>
        <w:br/>
        <w:t xml:space="preserve">　　（2）开放时间</w:t>
      </w:r>
      <w:r>
        <w:rPr>
          <w:rFonts w:hint="eastAsia"/>
          <w:lang/>
        </w:rPr>
        <w:br/>
        <w:t xml:space="preserve">　　本基金开放期内，投资人在开放日办理基金份额的申购、赎回、转换业务，具体办理时间为上海证券交易所、深圳证券交易所的正常交易日的交易时间，但基金管理人根据法律法规、中国证监会的要求或本基金合同的规定公告暂停申购、赎回、转换业务时除外。在封闭期内，本基金不办理申购、赎回、转换业务，也不上市交易。</w:t>
      </w:r>
      <w:r>
        <w:rPr>
          <w:rFonts w:hint="eastAsia"/>
          <w:lang/>
        </w:rPr>
        <w:br/>
        <w:t xml:space="preserve">　　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7A085E" w:rsidRDefault="007A085E">
      <w:pPr>
        <w:pStyle w:val="XBRLTitle1"/>
        <w:spacing w:before="156" w:line="360" w:lineRule="auto"/>
        <w:rPr>
          <w:rFonts w:hint="eastAsia"/>
        </w:rPr>
      </w:pPr>
      <w:bookmarkStart w:id="29" w:name="_Toc34841030"/>
      <w:bookmarkStart w:id="30" w:name="_Toc34758521"/>
      <w:bookmarkStart w:id="31" w:name="_Toc17898180"/>
      <w:bookmarkStart w:id="32" w:name="_Toc17897938"/>
      <w:bookmarkStart w:id="33" w:name="_Toc512519482"/>
      <w:bookmarkStart w:id="34" w:name="_Toc481075049"/>
      <w:bookmarkStart w:id="35" w:name="_Toc438646455"/>
      <w:bookmarkStart w:id="36" w:name="_Toc490050003"/>
      <w:bookmarkStart w:id="37" w:name="_Toc513295848"/>
      <w:bookmarkStart w:id="38" w:name="_Toc513295894"/>
      <w:bookmarkStart w:id="39" w:name="m401_tab"/>
      <w:bookmarkStart w:id="40" w:name="m401"/>
      <w:r>
        <w:rPr>
          <w:rFonts w:hAnsi="宋体" w:hint="eastAsia"/>
        </w:rPr>
        <w:t>日常申购业务</w:t>
      </w:r>
      <w:bookmarkEnd w:id="29"/>
      <w:bookmarkEnd w:id="30"/>
      <w:r>
        <w:rPr>
          <w:rFonts w:hAnsi="宋体" w:hint="eastAsia"/>
        </w:rPr>
        <w:t xml:space="preserve"> </w:t>
      </w:r>
    </w:p>
    <w:p w:rsidR="007A085E" w:rsidRDefault="007A085E">
      <w:pPr>
        <w:pStyle w:val="XBRLTitle2"/>
        <w:spacing w:before="156" w:line="360" w:lineRule="auto"/>
        <w:rPr>
          <w:rFonts w:hint="eastAsia"/>
        </w:rPr>
      </w:pPr>
      <w:bookmarkStart w:id="41" w:name="_Toc34841031"/>
      <w:bookmarkStart w:id="42" w:name="_Toc17898181"/>
      <w:bookmarkStart w:id="43" w:name="_Toc17897939"/>
      <w:bookmarkStart w:id="44" w:name="_Toc512519483"/>
      <w:bookmarkStart w:id="45" w:name="_Toc481075050"/>
      <w:bookmarkStart w:id="46" w:name="_Toc438646456"/>
      <w:bookmarkStart w:id="47" w:name="_Toc490050004"/>
      <w:bookmarkStart w:id="48" w:name="_Toc513295849"/>
      <w:bookmarkStart w:id="49" w:name="_Toc513295895"/>
      <w:bookmarkStart w:id="50" w:name="_Toc34758522"/>
      <w:r>
        <w:rPr>
          <w:rFonts w:hAnsi="宋体" w:hint="eastAsia"/>
        </w:rPr>
        <w:t>申购金额限制</w:t>
      </w:r>
      <w:bookmarkEnd w:id="41"/>
      <w:bookmarkEnd w:id="42"/>
      <w:bookmarkEnd w:id="43"/>
      <w:bookmarkEnd w:id="44"/>
      <w:bookmarkEnd w:id="45"/>
      <w:bookmarkEnd w:id="46"/>
      <w:bookmarkEnd w:id="47"/>
      <w:bookmarkEnd w:id="48"/>
      <w:bookmarkEnd w:id="49"/>
      <w:bookmarkEnd w:id="50"/>
      <w:r>
        <w:rPr>
          <w:rFonts w:hAnsi="宋体" w:hint="eastAsia"/>
        </w:rPr>
        <w:t xml:space="preserve"> </w:t>
      </w:r>
    </w:p>
    <w:p w:rsidR="007A085E" w:rsidRDefault="007A085E">
      <w:pPr>
        <w:spacing w:line="360" w:lineRule="auto"/>
        <w:ind w:firstLineChars="200" w:firstLine="420"/>
        <w:rPr>
          <w:rFonts w:hint="eastAsia"/>
        </w:rPr>
      </w:pPr>
      <w:r>
        <w:rPr>
          <w:rFonts w:hint="eastAsia"/>
          <w:lang/>
        </w:rPr>
        <w:t>首次申购基金份额的最低金额为10元（含申购费），追加申购最低金额为10元（含申购费）；详情请见当地销售机构公告。</w:t>
      </w:r>
    </w:p>
    <w:p w:rsidR="007A085E" w:rsidRDefault="007A085E">
      <w:pPr>
        <w:pStyle w:val="XBRLTitle2"/>
        <w:spacing w:before="156" w:line="360" w:lineRule="auto"/>
        <w:rPr>
          <w:rFonts w:hint="eastAsia"/>
        </w:rPr>
      </w:pPr>
      <w:bookmarkStart w:id="51" w:name="_Toc513465658"/>
      <w:bookmarkStart w:id="52" w:name="_Toc490050005"/>
      <w:bookmarkStart w:id="53" w:name="_Toc438646457"/>
      <w:bookmarkStart w:id="54" w:name="_Toc481075051"/>
      <w:bookmarkStart w:id="55" w:name="_Toc512519484"/>
      <w:r>
        <w:rPr>
          <w:rFonts w:hAnsi="宋体" w:hint="eastAsia"/>
        </w:rPr>
        <w:t>申购费率</w:t>
      </w:r>
      <w:bookmarkEnd w:id="51"/>
      <w:r>
        <w:rPr>
          <w:rFonts w:hAnsi="宋体" w:hint="eastAsia"/>
        </w:rPr>
        <w:t xml:space="preserve"> </w:t>
      </w:r>
    </w:p>
    <w:p w:rsidR="007A085E" w:rsidRDefault="007A085E">
      <w:pPr>
        <w:spacing w:line="360" w:lineRule="auto"/>
        <w:ind w:firstLineChars="200" w:firstLine="420"/>
        <w:rPr>
          <w:rFonts w:hint="eastAsia"/>
        </w:rPr>
      </w:pPr>
      <w:r>
        <w:rPr>
          <w:rFonts w:hint="eastAsia"/>
          <w:lang/>
        </w:rPr>
        <w:t>本基金的申购费用由投资者承担，主要用于本基金的市场推广、销售、注册登记等各项费用，不列入基金财产。</w:t>
      </w:r>
    </w:p>
    <w:p w:rsidR="007A085E" w:rsidRDefault="007A085E">
      <w:pPr>
        <w:pStyle w:val="XBRLTitle3"/>
        <w:spacing w:before="156"/>
        <w:rPr>
          <w:rFonts w:hint="eastAsia"/>
        </w:rPr>
      </w:pPr>
      <w:bookmarkStart w:id="56" w:name="_Toc513465659"/>
      <w:bookmarkStart w:id="57" w:name="_Toc490050006"/>
      <w:bookmarkStart w:id="58" w:name="_Toc481075052"/>
      <w:bookmarkStart w:id="59" w:name="_Toc512519485"/>
      <w:r>
        <w:rPr>
          <w:rFonts w:hint="eastAsia"/>
        </w:rPr>
        <w:t>前端收费</w:t>
      </w:r>
      <w:bookmarkEnd w:id="56"/>
      <w:r>
        <w:rPr>
          <w:rFonts w:hint="eastAsia"/>
          <w:lang w:eastAsia="zh-CN"/>
        </w:rPr>
        <w:t xml:space="preserve"> </w:t>
      </w:r>
    </w:p>
    <w:p w:rsidR="007A085E" w:rsidRDefault="007A085E">
      <w:pPr>
        <w:spacing w:line="360" w:lineRule="auto"/>
        <w:jc w:val="center"/>
        <w:divId w:val="515506476"/>
        <w:rPr>
          <w:rFonts w:hint="eastAsia"/>
        </w:rPr>
      </w:pPr>
      <w:r>
        <w:rPr>
          <w:rFonts w:hint="eastAsia"/>
        </w:rPr>
        <w:t>红塔红土盛商一年定期开放债券A</w:t>
      </w:r>
      <w:r>
        <w:rPr>
          <w:rFonts w:hint="eastAsia"/>
          <w:kern w:val="0"/>
        </w:rPr>
        <w:t xml:space="preserve">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369"/>
        <w:gridCol w:w="2551"/>
        <w:gridCol w:w="2602"/>
      </w:tblGrid>
      <w:tr w:rsidR="007A085E" w:rsidTr="00F955D3">
        <w:trPr>
          <w:divId w:val="515506476"/>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7A085E" w:rsidRDefault="007A085E">
            <w:pPr>
              <w:jc w:val="center"/>
              <w:rPr>
                <w:rFonts w:hint="eastAsia"/>
              </w:rPr>
            </w:pPr>
            <w:r w:rsidRPr="00F955D3">
              <w:rPr>
                <w:rFonts w:hint="eastAsia"/>
              </w:rPr>
              <w:t xml:space="preserve">申购金额(M)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A085E" w:rsidRDefault="007A085E">
            <w:pPr>
              <w:jc w:val="center"/>
              <w:rPr>
                <w:rFonts w:hint="eastAsia"/>
              </w:rPr>
            </w:pPr>
            <w:r w:rsidRPr="00F955D3">
              <w:rPr>
                <w:rFonts w:hint="eastAsia"/>
              </w:rPr>
              <w:t xml:space="preserve">申购费率 </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7A085E" w:rsidRDefault="007A085E">
            <w:pPr>
              <w:jc w:val="center"/>
              <w:rPr>
                <w:rFonts w:hint="eastAsia"/>
              </w:rPr>
            </w:pPr>
            <w:r w:rsidRPr="00F955D3">
              <w:rPr>
                <w:rFonts w:hint="eastAsia"/>
              </w:rPr>
              <w:t xml:space="preserve">备注 </w:t>
            </w:r>
          </w:p>
        </w:tc>
      </w:tr>
      <w:tr w:rsidR="007A085E" w:rsidTr="00F955D3">
        <w:trPr>
          <w:divId w:val="515506476"/>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A085E" w:rsidRDefault="007A085E">
            <w:pPr>
              <w:jc w:val="center"/>
              <w:rPr>
                <w:rFonts w:hint="eastAsia"/>
              </w:rPr>
            </w:pPr>
            <w:r w:rsidRPr="00F955D3">
              <w:rPr>
                <w:rFonts w:hint="eastAsia"/>
              </w:rPr>
              <w:t>M&lt;1,000,000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A085E" w:rsidRDefault="007A085E">
            <w:pPr>
              <w:jc w:val="center"/>
              <w:rPr>
                <w:rFonts w:hint="eastAsia"/>
              </w:rPr>
            </w:pPr>
            <w:r w:rsidRPr="00F955D3">
              <w:rPr>
                <w:rFonts w:hint="eastAsia"/>
              </w:rPr>
              <w:t>0.60%</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7A085E" w:rsidRDefault="007A085E">
            <w:pPr>
              <w:jc w:val="center"/>
              <w:rPr>
                <w:rFonts w:hint="eastAsia"/>
              </w:rPr>
            </w:pPr>
            <w:r w:rsidRPr="00F955D3">
              <w:rPr>
                <w:rFonts w:hint="eastAsia"/>
              </w:rPr>
              <w:t>-</w:t>
            </w:r>
          </w:p>
        </w:tc>
      </w:tr>
      <w:tr w:rsidR="007A085E" w:rsidTr="00F955D3">
        <w:trPr>
          <w:divId w:val="515506476"/>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A085E" w:rsidRDefault="007A085E">
            <w:pPr>
              <w:jc w:val="center"/>
              <w:rPr>
                <w:rFonts w:hint="eastAsia"/>
              </w:rPr>
            </w:pPr>
            <w:r w:rsidRPr="00F955D3">
              <w:rPr>
                <w:rFonts w:hint="eastAsia"/>
              </w:rPr>
              <w:t>1,000,000≤M＜5,000,000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A085E" w:rsidRDefault="007A085E">
            <w:pPr>
              <w:jc w:val="center"/>
              <w:rPr>
                <w:rFonts w:hint="eastAsia"/>
              </w:rPr>
            </w:pPr>
            <w:r w:rsidRPr="00F955D3">
              <w:rPr>
                <w:rFonts w:hint="eastAsia"/>
              </w:rPr>
              <w:t>0.40%</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7A085E" w:rsidRDefault="007A085E">
            <w:pPr>
              <w:jc w:val="center"/>
              <w:rPr>
                <w:rFonts w:hint="eastAsia"/>
              </w:rPr>
            </w:pPr>
            <w:r w:rsidRPr="00F955D3">
              <w:rPr>
                <w:rFonts w:hint="eastAsia"/>
              </w:rPr>
              <w:t>-</w:t>
            </w:r>
          </w:p>
        </w:tc>
      </w:tr>
      <w:tr w:rsidR="007A085E" w:rsidTr="00F955D3">
        <w:trPr>
          <w:divId w:val="515506476"/>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A085E" w:rsidRDefault="007A085E">
            <w:pPr>
              <w:jc w:val="center"/>
              <w:rPr>
                <w:rFonts w:hint="eastAsia"/>
              </w:rPr>
            </w:pPr>
            <w:r w:rsidRPr="00F955D3">
              <w:rPr>
                <w:rFonts w:hint="eastAsia"/>
              </w:rPr>
              <w:t>M≥5,000,000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A085E" w:rsidRDefault="007A085E">
            <w:pPr>
              <w:jc w:val="center"/>
              <w:rPr>
                <w:rFonts w:hint="eastAsia"/>
              </w:rPr>
            </w:pPr>
            <w:r w:rsidRPr="00F955D3">
              <w:rPr>
                <w:rFonts w:hint="eastAsia"/>
              </w:rPr>
              <w:t>1,000元/笔</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7A085E" w:rsidRDefault="007A085E">
            <w:pPr>
              <w:jc w:val="center"/>
              <w:rPr>
                <w:rFonts w:hint="eastAsia"/>
              </w:rPr>
            </w:pPr>
            <w:r w:rsidRPr="00F955D3">
              <w:rPr>
                <w:rFonts w:hint="eastAsia"/>
              </w:rPr>
              <w:t>-</w:t>
            </w:r>
          </w:p>
        </w:tc>
      </w:tr>
    </w:tbl>
    <w:p w:rsidR="007A085E" w:rsidRDefault="007A085E">
      <w:pPr>
        <w:spacing w:line="360" w:lineRule="auto"/>
        <w:jc w:val="left"/>
        <w:rPr>
          <w:rFonts w:hint="eastAsia"/>
        </w:rPr>
      </w:pPr>
      <w:r>
        <w:rPr>
          <w:rFonts w:hint="eastAsia"/>
          <w:szCs w:val="21"/>
        </w:rPr>
        <w:t>注：本基金A类基金份额采用前端收费模式收取基金申购费用，C类基金份额不收取申购费。</w:t>
      </w:r>
      <w:r>
        <w:rPr>
          <w:rFonts w:hint="eastAsia"/>
          <w:szCs w:val="21"/>
        </w:rPr>
        <w:br/>
        <w:t xml:space="preserve">　　在销售机构优惠活动期间，销售机构办理各项基金代销业务的具体时间、流程及折扣费率以销售机构公示为准。</w:t>
      </w:r>
    </w:p>
    <w:p w:rsidR="007A085E" w:rsidRDefault="007A085E">
      <w:pPr>
        <w:pStyle w:val="XBRLTitle3"/>
        <w:spacing w:before="156"/>
        <w:divId w:val="774133942"/>
        <w:rPr>
          <w:rFonts w:hint="eastAsia"/>
        </w:rPr>
      </w:pPr>
      <w:bookmarkStart w:id="60" w:name="_Toc513465660"/>
      <w:bookmarkStart w:id="61" w:name="_Toc490050007"/>
      <w:bookmarkStart w:id="62" w:name="_Toc481075053"/>
      <w:bookmarkStart w:id="63" w:name="_Toc512519486"/>
      <w:r>
        <w:rPr>
          <w:rFonts w:hint="eastAsia"/>
        </w:rPr>
        <w:t>后端收费</w:t>
      </w:r>
      <w:bookmarkEnd w:id="60"/>
    </w:p>
    <w:p w:rsidR="007A085E" w:rsidRDefault="007A085E">
      <w:pPr>
        <w:spacing w:line="360" w:lineRule="auto"/>
        <w:divId w:val="774133942"/>
        <w:rPr>
          <w:rFonts w:hint="eastAsia"/>
        </w:rPr>
      </w:pPr>
      <w:bookmarkStart w:id="64" w:name="m07_04_07_02"/>
      <w:r>
        <w:rPr>
          <w:rFonts w:hint="eastAsia"/>
          <w:kern w:val="0"/>
          <w:szCs w:val="21"/>
        </w:rPr>
        <w:t>注:</w:t>
      </w:r>
      <w:bookmarkStart w:id="65" w:name="OLE_LINK46"/>
      <w:bookmarkStart w:id="66" w:name="OLE_LINK45"/>
      <w:bookmarkStart w:id="67" w:name="OLE_LINK42"/>
      <w:bookmarkStart w:id="68" w:name="OLE_LINK41"/>
      <w:bookmarkStart w:id="69" w:name="m07_04_13_04_02_01"/>
      <w:bookmarkEnd w:id="64"/>
      <w:r>
        <w:rPr>
          <w:rFonts w:hint="eastAsia"/>
          <w:szCs w:val="24"/>
          <w:lang/>
        </w:rPr>
        <w:t>无。</w:t>
      </w:r>
      <w:bookmarkEnd w:id="65"/>
      <w:bookmarkEnd w:id="66"/>
      <w:bookmarkEnd w:id="67"/>
      <w:bookmarkEnd w:id="68"/>
      <w:bookmarkEnd w:id="69"/>
      <w:r>
        <w:rPr>
          <w:rFonts w:hint="eastAsia"/>
          <w:szCs w:val="24"/>
          <w:lang/>
        </w:rPr>
        <w:t xml:space="preserve"> </w:t>
      </w:r>
    </w:p>
    <w:p w:rsidR="007A085E" w:rsidRDefault="007A085E">
      <w:pPr>
        <w:pStyle w:val="XBRLTitle2"/>
        <w:spacing w:before="156"/>
        <w:rPr>
          <w:rFonts w:hint="eastAsia"/>
        </w:rPr>
      </w:pPr>
      <w:bookmarkStart w:id="70" w:name="_Toc34841033"/>
      <w:bookmarkStart w:id="71" w:name="_Toc34758524"/>
      <w:bookmarkStart w:id="72" w:name="_Toc17898185"/>
      <w:bookmarkStart w:id="73" w:name="_Toc17897941"/>
      <w:bookmarkStart w:id="74" w:name="_Toc497398101"/>
      <w:bookmarkStart w:id="75" w:name="_Toc506208214"/>
      <w:bookmarkStart w:id="76" w:name="_Toc433036679"/>
      <w:bookmarkStart w:id="77" w:name="_Toc247616208"/>
      <w:bookmarkStart w:id="78" w:name="_Toc245003735"/>
      <w:bookmarkStart w:id="79" w:name="_Toc244948694"/>
      <w:bookmarkStart w:id="80" w:name="_Toc485300223"/>
      <w:bookmarkStart w:id="81" w:name="_Toc453852604"/>
      <w:bookmarkStart w:id="82" w:name="_Toc452398732"/>
      <w:bookmarkStart w:id="83" w:name="_Toc454983260"/>
      <w:bookmarkStart w:id="84" w:name="m03_03"/>
      <w:r>
        <w:rPr>
          <w:rFonts w:hint="eastAsia"/>
        </w:rPr>
        <w:t>其他与申购相关的事项</w:t>
      </w:r>
      <w:bookmarkEnd w:id="70"/>
      <w:bookmarkEnd w:id="71"/>
    </w:p>
    <w:p w:rsidR="007A085E" w:rsidRDefault="007A085E">
      <w:pPr>
        <w:spacing w:line="360" w:lineRule="auto"/>
        <w:ind w:firstLineChars="200" w:firstLine="420"/>
        <w:rPr>
          <w:rFonts w:hint="eastAsia"/>
        </w:rPr>
      </w:pPr>
      <w:r>
        <w:rPr>
          <w:rFonts w:hint="eastAsia"/>
          <w:lang/>
        </w:rPr>
        <w:t>（1）基金管理人可根据有关法律规定和市场情况，调整申购金额的数量限制，基金管理人必须最迟在调整前依照《信息披露办法》的有关规定在规定媒介上公告。</w:t>
      </w:r>
      <w:r>
        <w:rPr>
          <w:rFonts w:hint="eastAsia"/>
          <w:lang/>
        </w:rPr>
        <w:br/>
        <w:t xml:space="preserve">　　（2）基金管理人可以在基金合同约定的范围内调整费率或收费方式，并最迟应于新的费率或收费方式实施日前依照《信息披露办法》的有关规定在规定媒介上公告。</w:t>
      </w:r>
    </w:p>
    <w:p w:rsidR="007A085E" w:rsidRDefault="007A085E">
      <w:pPr>
        <w:pStyle w:val="XBRLTitle1"/>
        <w:spacing w:before="156" w:line="360" w:lineRule="auto"/>
        <w:rPr>
          <w:rFonts w:hint="eastAsia"/>
        </w:rPr>
      </w:pPr>
      <w:bookmarkStart w:id="85" w:name="_Toc34841034"/>
      <w:bookmarkStart w:id="86" w:name="_Toc17898186"/>
      <w:bookmarkStart w:id="87" w:name="_Toc17897942"/>
      <w:bookmarkStart w:id="88" w:name="_Toc481075054"/>
      <w:bookmarkStart w:id="89" w:name="_Toc438646458"/>
      <w:bookmarkStart w:id="90" w:name="_Toc490050008"/>
      <w:bookmarkStart w:id="91" w:name="_Toc512519487"/>
      <w:bookmarkStart w:id="92" w:name="_Toc513295851"/>
      <w:bookmarkStart w:id="93" w:name="_Toc513295899"/>
      <w:bookmarkStart w:id="94" w:name="_Toc34758525"/>
      <w:r>
        <w:rPr>
          <w:rFonts w:hAnsi="宋体" w:hint="eastAsia"/>
        </w:rPr>
        <w:t>日常赎回业务</w:t>
      </w:r>
      <w:bookmarkEnd w:id="85"/>
      <w:bookmarkEnd w:id="86"/>
      <w:bookmarkEnd w:id="87"/>
      <w:bookmarkEnd w:id="88"/>
      <w:bookmarkEnd w:id="89"/>
      <w:bookmarkEnd w:id="90"/>
      <w:bookmarkEnd w:id="91"/>
      <w:bookmarkEnd w:id="92"/>
      <w:bookmarkEnd w:id="93"/>
      <w:bookmarkEnd w:id="94"/>
      <w:r>
        <w:rPr>
          <w:rFonts w:hAnsi="宋体" w:hint="eastAsia"/>
          <w:szCs w:val="44"/>
        </w:rPr>
        <w:t xml:space="preserve"> </w:t>
      </w:r>
    </w:p>
    <w:p w:rsidR="007A085E" w:rsidRDefault="007A085E">
      <w:pPr>
        <w:pStyle w:val="XBRLTitle2"/>
        <w:spacing w:before="156" w:line="360" w:lineRule="auto"/>
        <w:rPr>
          <w:rFonts w:hint="eastAsia"/>
        </w:rPr>
      </w:pPr>
      <w:bookmarkStart w:id="95" w:name="_Toc34841035"/>
      <w:bookmarkStart w:id="96" w:name="_Toc17898187"/>
      <w:bookmarkStart w:id="97" w:name="_Toc17897943"/>
      <w:bookmarkStart w:id="98" w:name="_Toc481075055"/>
      <w:bookmarkStart w:id="99" w:name="_Toc438646459"/>
      <w:bookmarkStart w:id="100" w:name="_Toc490050009"/>
      <w:bookmarkStart w:id="101" w:name="_Toc512519488"/>
      <w:bookmarkStart w:id="102" w:name="_Toc513295852"/>
      <w:bookmarkStart w:id="103" w:name="_Toc513295900"/>
      <w:bookmarkStart w:id="104" w:name="_Toc34758526"/>
      <w:r>
        <w:rPr>
          <w:rFonts w:hAnsi="宋体" w:hint="eastAsia"/>
        </w:rPr>
        <w:t>赎回份额限制</w:t>
      </w:r>
      <w:bookmarkEnd w:id="95"/>
      <w:bookmarkEnd w:id="96"/>
      <w:bookmarkEnd w:id="97"/>
      <w:bookmarkEnd w:id="98"/>
      <w:bookmarkEnd w:id="99"/>
      <w:bookmarkEnd w:id="100"/>
      <w:bookmarkEnd w:id="101"/>
      <w:bookmarkEnd w:id="102"/>
      <w:bookmarkEnd w:id="103"/>
      <w:bookmarkEnd w:id="104"/>
      <w:r>
        <w:rPr>
          <w:rFonts w:hAnsi="宋体" w:hint="eastAsia"/>
        </w:rPr>
        <w:t xml:space="preserve"> </w:t>
      </w:r>
    </w:p>
    <w:p w:rsidR="007A085E" w:rsidRDefault="007A085E">
      <w:pPr>
        <w:spacing w:line="360" w:lineRule="auto"/>
        <w:ind w:firstLineChars="200" w:firstLine="420"/>
        <w:rPr>
          <w:rFonts w:hint="eastAsia"/>
        </w:rPr>
      </w:pPr>
      <w:r>
        <w:rPr>
          <w:rFonts w:hint="eastAsia"/>
          <w:lang/>
        </w:rPr>
        <w:t>每个交易账户最低持有基金份额余额为10份，若某笔赎回导致单个交易账户的基金份额余额少于10份时，余额部分基金份额必须一同赎回。</w:t>
      </w:r>
    </w:p>
    <w:p w:rsidR="007A085E" w:rsidRDefault="007A085E">
      <w:pPr>
        <w:pStyle w:val="XBRLTitle2"/>
        <w:spacing w:before="156" w:line="360" w:lineRule="auto"/>
        <w:rPr>
          <w:rFonts w:hint="eastAsia"/>
        </w:rPr>
      </w:pPr>
      <w:bookmarkStart w:id="105" w:name="_Toc34841036"/>
      <w:bookmarkStart w:id="106" w:name="_Toc17898188"/>
      <w:bookmarkStart w:id="107" w:name="_Toc17897944"/>
      <w:bookmarkStart w:id="108" w:name="_Toc481075056"/>
      <w:bookmarkStart w:id="109" w:name="_Toc438646460"/>
      <w:bookmarkStart w:id="110" w:name="_Toc490050010"/>
      <w:bookmarkStart w:id="111" w:name="_Toc512519489"/>
      <w:bookmarkStart w:id="112" w:name="_Toc513295853"/>
      <w:bookmarkStart w:id="113" w:name="_Toc513295901"/>
      <w:bookmarkStart w:id="114" w:name="_Toc34758527"/>
      <w:bookmarkStart w:id="115" w:name="m402"/>
      <w:r>
        <w:rPr>
          <w:rFonts w:hAnsi="宋体" w:hint="eastAsia"/>
        </w:rPr>
        <w:t>赎回费率</w:t>
      </w:r>
      <w:bookmarkEnd w:id="105"/>
      <w:bookmarkEnd w:id="106"/>
      <w:bookmarkEnd w:id="107"/>
      <w:bookmarkEnd w:id="108"/>
      <w:bookmarkEnd w:id="109"/>
      <w:bookmarkEnd w:id="110"/>
      <w:bookmarkEnd w:id="111"/>
      <w:bookmarkEnd w:id="112"/>
      <w:bookmarkEnd w:id="113"/>
      <w:bookmarkEnd w:id="114"/>
      <w:r>
        <w:rPr>
          <w:rFonts w:hAnsi="宋体" w:hint="eastAsia"/>
        </w:rPr>
        <w:t xml:space="preserve"> </w:t>
      </w:r>
    </w:p>
    <w:bookmarkEnd w:id="115"/>
    <w:p w:rsidR="007A085E" w:rsidRDefault="007A085E">
      <w:pPr>
        <w:wordWrap w:val="0"/>
        <w:spacing w:line="360" w:lineRule="auto"/>
        <w:ind w:firstLineChars="200" w:firstLine="420"/>
        <w:rPr>
          <w:rFonts w:hint="eastAsia"/>
        </w:rPr>
      </w:pPr>
      <w:r>
        <w:rPr>
          <w:rFonts w:hint="eastAsia"/>
          <w:lang/>
        </w:rPr>
        <w:t>在同一开放期内申购后又赎回且持续持有期少于7日的A、C类份额收取1.5%的赎回费，在同一开放期内申购后又赎回且持续持有期不少于7日的A、C类份额收取0.5%的赎回费，持有一个或一个以上封闭期的A、C类份额不收取赎回费。</w:t>
      </w:r>
      <w:r>
        <w:rPr>
          <w:rFonts w:hint="eastAsia"/>
          <w:lang/>
        </w:rPr>
        <w:br/>
        <w:t xml:space="preserve">　　本基金的赎回费由赎回基金份额的基金份额持有人承担，在基金份额持有人赎回基金份额时收取。本基金所收取的赎回费，基金管理人将对持续持有期少于7日的投资者收取的赎回费全额计入基金财产，对其他投资者所收取的赎回费中不低于其总额的25%计入基金财产。</w:t>
      </w:r>
      <w:r>
        <w:rPr>
          <w:rFonts w:hint="eastAsia"/>
        </w:rPr>
        <w:t xml:space="preserve"> </w:t>
      </w:r>
    </w:p>
    <w:p w:rsidR="007A085E" w:rsidRDefault="007A085E">
      <w:pPr>
        <w:pStyle w:val="XBRLTitle2"/>
        <w:spacing w:before="156" w:line="360" w:lineRule="auto"/>
        <w:rPr>
          <w:rFonts w:hint="eastAsia"/>
        </w:rPr>
      </w:pPr>
      <w:bookmarkStart w:id="116" w:name="m403"/>
      <w:bookmarkStart w:id="117" w:name="_Toc34841037"/>
      <w:bookmarkStart w:id="118" w:name="_Toc17898192"/>
      <w:bookmarkStart w:id="119" w:name="_Toc17897946"/>
      <w:bookmarkStart w:id="120" w:name="_Toc481075061"/>
      <w:bookmarkStart w:id="121" w:name="_Toc490050014"/>
      <w:bookmarkStart w:id="122" w:name="_Toc512519493"/>
      <w:bookmarkStart w:id="123" w:name="_Toc513295855"/>
      <w:bookmarkStart w:id="124" w:name="_Toc513295905"/>
      <w:bookmarkStart w:id="125" w:name="_Toc34758528"/>
      <w:bookmarkStart w:id="126" w:name="m405_01_2550"/>
      <w:bookmarkEnd w:id="116"/>
      <w:r>
        <w:rPr>
          <w:rFonts w:hAnsi="宋体" w:hint="eastAsia"/>
        </w:rPr>
        <w:t>其他与赎回相关的事项</w:t>
      </w:r>
      <w:bookmarkEnd w:id="117"/>
      <w:bookmarkEnd w:id="118"/>
      <w:bookmarkEnd w:id="119"/>
      <w:bookmarkEnd w:id="120"/>
      <w:bookmarkEnd w:id="121"/>
      <w:bookmarkEnd w:id="122"/>
      <w:bookmarkEnd w:id="123"/>
      <w:bookmarkEnd w:id="124"/>
      <w:bookmarkEnd w:id="125"/>
      <w:r>
        <w:rPr>
          <w:rFonts w:hAnsi="宋体" w:hint="eastAsia"/>
        </w:rPr>
        <w:t xml:space="preserve"> </w:t>
      </w:r>
    </w:p>
    <w:p w:rsidR="007A085E" w:rsidRDefault="007A085E">
      <w:pPr>
        <w:spacing w:line="360" w:lineRule="auto"/>
        <w:ind w:firstLineChars="200" w:firstLine="420"/>
        <w:rPr>
          <w:rFonts w:hint="eastAsia"/>
        </w:rPr>
      </w:pPr>
      <w:r>
        <w:rPr>
          <w:rFonts w:hint="eastAsia"/>
          <w:lang/>
        </w:rPr>
        <w:t>（1）基金管理人可根据有关法律规定和市场情况，调整赎回金额的数量限制，基金管理人必须最迟在调整前依照《信息披露办法》的有关规定在规定媒介上公告。</w:t>
      </w:r>
      <w:r>
        <w:rPr>
          <w:rFonts w:hint="eastAsia"/>
          <w:lang/>
        </w:rPr>
        <w:br/>
        <w:t xml:space="preserve">　　（2）基金管理人可以在法律法规和基金合同规定范围内调整赎回费率。费率如发生变更，基金管理人应在调整前依照《信息披露办法》的有关规定在规定媒介上公告。</w:t>
      </w:r>
    </w:p>
    <w:p w:rsidR="007A085E" w:rsidRDefault="007A085E">
      <w:pPr>
        <w:pStyle w:val="XBRLTitle1"/>
        <w:spacing w:before="156" w:line="360" w:lineRule="auto"/>
        <w:rPr>
          <w:rFonts w:hint="eastAsia"/>
        </w:rPr>
      </w:pPr>
      <w:bookmarkStart w:id="127" w:name="_Toc34841038"/>
      <w:bookmarkStart w:id="128" w:name="_Toc17898195"/>
      <w:bookmarkStart w:id="129" w:name="_Toc17897949"/>
      <w:bookmarkStart w:id="130" w:name="_Toc512519496"/>
      <w:bookmarkStart w:id="131" w:name="_Toc481075064"/>
      <w:bookmarkStart w:id="132" w:name="_Toc438646466"/>
      <w:bookmarkStart w:id="133" w:name="_Toc490050017"/>
      <w:bookmarkStart w:id="134" w:name="_Toc513295858"/>
      <w:bookmarkStart w:id="135" w:name="_Toc513295908"/>
      <w:bookmarkStart w:id="136" w:name="_Toc34758529"/>
      <w:bookmarkEnd w:id="126"/>
      <w:r>
        <w:rPr>
          <w:rFonts w:hAnsi="宋体" w:hint="eastAsia"/>
        </w:rPr>
        <w:t>日常转换业务</w:t>
      </w:r>
      <w:bookmarkEnd w:id="127"/>
      <w:bookmarkEnd w:id="128"/>
      <w:bookmarkEnd w:id="129"/>
      <w:bookmarkEnd w:id="130"/>
      <w:bookmarkEnd w:id="131"/>
      <w:bookmarkEnd w:id="132"/>
      <w:bookmarkEnd w:id="133"/>
      <w:bookmarkEnd w:id="134"/>
      <w:bookmarkEnd w:id="135"/>
      <w:bookmarkEnd w:id="136"/>
      <w:r>
        <w:rPr>
          <w:rFonts w:hAnsi="宋体" w:hint="eastAsia"/>
        </w:rPr>
        <w:t xml:space="preserve"> </w:t>
      </w:r>
    </w:p>
    <w:p w:rsidR="007A085E" w:rsidRDefault="007A085E">
      <w:pPr>
        <w:pStyle w:val="XBRLTitle2"/>
        <w:spacing w:before="156" w:line="360" w:lineRule="auto"/>
        <w:rPr>
          <w:rFonts w:hint="eastAsia"/>
        </w:rPr>
      </w:pPr>
      <w:bookmarkStart w:id="137" w:name="_Toc34841039"/>
      <w:bookmarkStart w:id="138" w:name="_Toc17898196"/>
      <w:bookmarkStart w:id="139" w:name="_Toc17897950"/>
      <w:bookmarkStart w:id="140" w:name="_Toc481075065"/>
      <w:bookmarkStart w:id="141" w:name="_Toc438646467"/>
      <w:bookmarkStart w:id="142" w:name="_Toc490050018"/>
      <w:bookmarkStart w:id="143" w:name="_Toc512519497"/>
      <w:bookmarkStart w:id="144" w:name="_Toc513295859"/>
      <w:bookmarkStart w:id="145" w:name="_Toc513295909"/>
      <w:bookmarkStart w:id="146" w:name="_Toc34758530"/>
      <w:bookmarkStart w:id="147" w:name="m501"/>
      <w:r>
        <w:rPr>
          <w:rFonts w:hAnsi="宋体" w:hint="eastAsia"/>
        </w:rPr>
        <w:t>转换费率</w:t>
      </w:r>
      <w:bookmarkEnd w:id="137"/>
      <w:bookmarkEnd w:id="138"/>
      <w:bookmarkEnd w:id="139"/>
      <w:bookmarkEnd w:id="140"/>
      <w:bookmarkEnd w:id="141"/>
      <w:bookmarkEnd w:id="142"/>
      <w:bookmarkEnd w:id="143"/>
      <w:bookmarkEnd w:id="144"/>
      <w:bookmarkEnd w:id="145"/>
      <w:bookmarkEnd w:id="146"/>
      <w:r>
        <w:rPr>
          <w:rFonts w:hAnsi="宋体" w:hint="eastAsia"/>
        </w:rPr>
        <w:t xml:space="preserve"> </w:t>
      </w:r>
    </w:p>
    <w:p w:rsidR="007A085E" w:rsidRDefault="007A085E">
      <w:pPr>
        <w:spacing w:line="360" w:lineRule="auto"/>
        <w:ind w:firstLineChars="200" w:firstLine="420"/>
        <w:rPr>
          <w:rFonts w:hint="eastAsia"/>
        </w:rPr>
      </w:pPr>
      <w:r>
        <w:rPr>
          <w:rFonts w:hint="eastAsia"/>
          <w:lang/>
        </w:rPr>
        <w:t xml:space="preserve">基金转换费用由补差费和转出费两部分构成，具体收取情况视每次转换时两只基金的申购费率差异情况和转出基金的赎回费率而定，基金转换费用由转换申请人承担。 </w:t>
      </w:r>
      <w:r>
        <w:rPr>
          <w:rFonts w:hint="eastAsia"/>
          <w:lang/>
        </w:rPr>
        <w:br/>
        <w:t xml:space="preserve">　　（1）补差费：从申购费用低的基金转换为申购费用高的基金时，每次按照转换金额对应的转入基金与转出基金的申购费差额收取补差费； 从申购费用高的基金转换为申购费用低的基金时， 不收取补差费。 </w:t>
      </w:r>
      <w:r>
        <w:rPr>
          <w:rFonts w:hint="eastAsia"/>
          <w:lang/>
        </w:rPr>
        <w:br/>
        <w:t xml:space="preserve">　　（2）转出费：按转出基金正常赎回时的赎回费率收取费用。 </w:t>
      </w:r>
      <w:r>
        <w:rPr>
          <w:rFonts w:hint="eastAsia"/>
          <w:lang/>
        </w:rPr>
        <w:br/>
        <w:t xml:space="preserve">　　具体赎回费率、申购费率及计算公式详见基金合同、更新招募说明书及相关公告。投资者通过本公司网上直销平台办理转换业务的，转入基金适用的申购费率比照该基金网上直销相应优惠费率执行。</w:t>
      </w:r>
    </w:p>
    <w:p w:rsidR="007A085E" w:rsidRDefault="007A085E">
      <w:pPr>
        <w:pStyle w:val="XBRLTitle2"/>
        <w:spacing w:before="156" w:line="360" w:lineRule="auto"/>
        <w:rPr>
          <w:rFonts w:hint="eastAsia"/>
        </w:rPr>
      </w:pPr>
      <w:bookmarkStart w:id="148" w:name="_Toc34841040"/>
      <w:bookmarkStart w:id="149" w:name="_Toc17898200"/>
      <w:bookmarkStart w:id="150" w:name="_Toc17897952"/>
      <w:bookmarkStart w:id="151" w:name="_Toc481075069"/>
      <w:bookmarkStart w:id="152" w:name="_Toc490050022"/>
      <w:bookmarkStart w:id="153" w:name="_Toc512519501"/>
      <w:bookmarkStart w:id="154" w:name="_Toc513295861"/>
      <w:bookmarkStart w:id="155" w:name="_Toc513295913"/>
      <w:bookmarkStart w:id="156" w:name="_Toc34758531"/>
      <w:bookmarkStart w:id="157" w:name="m504"/>
      <w:bookmarkStart w:id="158" w:name="_Toc438646470"/>
      <w:bookmarkStart w:id="159" w:name="m502"/>
      <w:bookmarkEnd w:id="147"/>
      <w:r>
        <w:rPr>
          <w:rFonts w:hAnsi="宋体" w:hint="eastAsia"/>
        </w:rPr>
        <w:t>其他与转换相关的事项</w:t>
      </w:r>
      <w:bookmarkEnd w:id="148"/>
      <w:bookmarkEnd w:id="149"/>
      <w:bookmarkEnd w:id="150"/>
      <w:bookmarkEnd w:id="151"/>
      <w:bookmarkEnd w:id="152"/>
      <w:bookmarkEnd w:id="153"/>
      <w:bookmarkEnd w:id="154"/>
      <w:bookmarkEnd w:id="155"/>
      <w:bookmarkEnd w:id="156"/>
      <w:r>
        <w:rPr>
          <w:rFonts w:hAnsi="宋体" w:hint="eastAsia"/>
        </w:rPr>
        <w:t xml:space="preserve"> </w:t>
      </w:r>
      <w:bookmarkEnd w:id="157"/>
      <w:bookmarkEnd w:id="158"/>
      <w:bookmarkEnd w:id="159"/>
    </w:p>
    <w:p w:rsidR="007A085E" w:rsidRDefault="007A085E">
      <w:pPr>
        <w:spacing w:line="360" w:lineRule="auto"/>
        <w:ind w:firstLineChars="200" w:firstLine="420"/>
        <w:rPr>
          <w:rFonts w:hint="eastAsia"/>
        </w:rPr>
      </w:pPr>
      <w:r>
        <w:rPr>
          <w:rFonts w:hint="eastAsia"/>
          <w:lang/>
        </w:rPr>
        <w:t xml:space="preserve">（1）目前本基金在本公司开通以下基金的转换： </w:t>
      </w:r>
      <w:r>
        <w:rPr>
          <w:rFonts w:hint="eastAsia"/>
          <w:lang/>
        </w:rPr>
        <w:br/>
        <w:t xml:space="preserve">　　000743 红塔红土盛世普益灵活配置混合型发起式证券投资基金 </w:t>
      </w:r>
      <w:r>
        <w:rPr>
          <w:rFonts w:hint="eastAsia"/>
          <w:lang/>
        </w:rPr>
        <w:br/>
        <w:t xml:space="preserve">　　005231 红塔红土盛通灵活配置混合型发起式证券投资基金 A 类 </w:t>
      </w:r>
      <w:r>
        <w:rPr>
          <w:rFonts w:hint="eastAsia"/>
          <w:lang/>
        </w:rPr>
        <w:br/>
        <w:t xml:space="preserve">　　005232 红塔红土盛通灵活配置混合型发起式证券投资基金 C 类 </w:t>
      </w:r>
      <w:r>
        <w:rPr>
          <w:rFonts w:hint="eastAsia"/>
          <w:lang/>
        </w:rPr>
        <w:br/>
        <w:t xml:space="preserve">　　002717 红塔红土盛隆灵活配置混合型证券投资基金 A 类 </w:t>
      </w:r>
      <w:r>
        <w:rPr>
          <w:rFonts w:hint="eastAsia"/>
          <w:lang/>
        </w:rPr>
        <w:br/>
        <w:t xml:space="preserve">　　002718 红塔红土盛隆灵活配置混合型证券投资基金 C 类 </w:t>
      </w:r>
      <w:r>
        <w:rPr>
          <w:rFonts w:hint="eastAsia"/>
          <w:lang/>
        </w:rPr>
        <w:br/>
        <w:t xml:space="preserve">　　006547 红塔红土盛弘灵活配置混合型发起式证券投资基金 A 类 </w:t>
      </w:r>
      <w:r>
        <w:rPr>
          <w:rFonts w:hint="eastAsia"/>
          <w:lang/>
        </w:rPr>
        <w:br/>
        <w:t xml:space="preserve">　　006548 红塔红土盛弘灵活配置混合型发起式证券投资基金 C 类 </w:t>
      </w:r>
      <w:r>
        <w:rPr>
          <w:rFonts w:hint="eastAsia"/>
          <w:lang/>
        </w:rPr>
        <w:br/>
        <w:t xml:space="preserve">　　009817 红塔红土稳健精选混合型证券投资基金 A 类</w:t>
      </w:r>
      <w:r>
        <w:rPr>
          <w:rFonts w:hint="eastAsia"/>
          <w:lang/>
        </w:rPr>
        <w:br/>
        <w:t xml:space="preserve">　　009818 红塔红土稳健精选混合型证券投资基金 C 类</w:t>
      </w:r>
      <w:r>
        <w:rPr>
          <w:rFonts w:hint="eastAsia"/>
          <w:lang/>
        </w:rPr>
        <w:br/>
        <w:t xml:space="preserve">　　012216 红塔红土盛利混合型证券投资基金 A 类</w:t>
      </w:r>
      <w:r>
        <w:rPr>
          <w:rFonts w:hint="eastAsia"/>
          <w:lang/>
        </w:rPr>
        <w:br/>
        <w:t xml:space="preserve">　　012217 红塔红土盛利混合型证券投资基金 C 类</w:t>
      </w:r>
      <w:r>
        <w:rPr>
          <w:rFonts w:hint="eastAsia"/>
          <w:lang/>
        </w:rPr>
        <w:br/>
        <w:t xml:space="preserve">　　013733 红塔红土盛丰混合型证券投资基金 A 类</w:t>
      </w:r>
      <w:r>
        <w:rPr>
          <w:rFonts w:hint="eastAsia"/>
          <w:lang/>
        </w:rPr>
        <w:br/>
        <w:t xml:space="preserve">　　013734 红塔红土盛丰混合型证券投资基金 C 类</w:t>
      </w:r>
      <w:r>
        <w:rPr>
          <w:rFonts w:hint="eastAsia"/>
          <w:lang/>
        </w:rPr>
        <w:br/>
        <w:t xml:space="preserve">　　014360 红塔红土稳健添利混合型证券投资基金 A 类</w:t>
      </w:r>
      <w:r>
        <w:rPr>
          <w:rFonts w:hint="eastAsia"/>
          <w:lang/>
        </w:rPr>
        <w:br/>
        <w:t xml:space="preserve">　　014361 红塔红土稳健添利混合型证券投资基金 C 类</w:t>
      </w:r>
      <w:r>
        <w:rPr>
          <w:rFonts w:hint="eastAsia"/>
          <w:lang/>
        </w:rPr>
        <w:br/>
        <w:t xml:space="preserve">　　015537 红塔红土新能源主题精选股票型证券投资基金 A 类</w:t>
      </w:r>
      <w:r>
        <w:rPr>
          <w:rFonts w:hint="eastAsia"/>
          <w:lang/>
        </w:rPr>
        <w:br/>
        <w:t xml:space="preserve">　　015538 红塔红土新能源主题精选股票型证券投资基金 C 类</w:t>
      </w:r>
      <w:r>
        <w:rPr>
          <w:rFonts w:hint="eastAsia"/>
          <w:lang/>
        </w:rPr>
        <w:br/>
        <w:t xml:space="preserve">　　015734 红塔红土信息产业精选股票型发起式证券投资基金 A 类</w:t>
      </w:r>
      <w:r>
        <w:rPr>
          <w:rFonts w:hint="eastAsia"/>
          <w:lang/>
        </w:rPr>
        <w:br/>
        <w:t xml:space="preserve">　　015735 红塔红土信息产业精选股票型发起式证券投资基金 C 类</w:t>
      </w:r>
      <w:r>
        <w:rPr>
          <w:rFonts w:hint="eastAsia"/>
          <w:lang/>
        </w:rPr>
        <w:br/>
        <w:t xml:space="preserve">　　002688 红塔红土长益定期开放债券型证券投资基金 A 类 </w:t>
      </w:r>
      <w:r>
        <w:rPr>
          <w:rFonts w:hint="eastAsia"/>
          <w:lang/>
        </w:rPr>
        <w:br/>
        <w:t xml:space="preserve">　　002689 红塔红土长益定期开放债券型证券投资基金 C 类 </w:t>
      </w:r>
      <w:r>
        <w:rPr>
          <w:rFonts w:hint="eastAsia"/>
          <w:lang/>
        </w:rPr>
        <w:br/>
        <w:t xml:space="preserve">　　007981 红塔红土瑞祥纯债债券型证券投资基金 A 类</w:t>
      </w:r>
      <w:r>
        <w:rPr>
          <w:rFonts w:hint="eastAsia"/>
          <w:lang/>
        </w:rPr>
        <w:br/>
        <w:t xml:space="preserve">　　007982 红塔红土瑞祥纯债债券型证券投资基金 C 类</w:t>
      </w:r>
      <w:r>
        <w:rPr>
          <w:rFonts w:hint="eastAsia"/>
          <w:lang/>
        </w:rPr>
        <w:br/>
        <w:t xml:space="preserve">　　010733 红塔红土瑞景纯债债券型证券投资基金 A 类</w:t>
      </w:r>
      <w:r>
        <w:rPr>
          <w:rFonts w:hint="eastAsia"/>
          <w:lang/>
        </w:rPr>
        <w:br/>
        <w:t xml:space="preserve">　　010734 红塔红土瑞景纯债债券型证券投资基金 C 类</w:t>
      </w:r>
      <w:r>
        <w:rPr>
          <w:rFonts w:hint="eastAsia"/>
          <w:lang/>
        </w:rPr>
        <w:br/>
        <w:t xml:space="preserve">　　015533 红塔红土瑞鑫纯债债券型证券投资基金 A 类</w:t>
      </w:r>
      <w:r>
        <w:rPr>
          <w:rFonts w:hint="eastAsia"/>
          <w:lang/>
        </w:rPr>
        <w:br/>
        <w:t xml:space="preserve">　　015534 红塔红土瑞鑫纯债债券型证券投资基金 C 类</w:t>
      </w:r>
      <w:r>
        <w:rPr>
          <w:rFonts w:hint="eastAsia"/>
          <w:lang/>
        </w:rPr>
        <w:br/>
        <w:t xml:space="preserve">　　016320 红塔红土瑞恒纯债债券型证券投资基金 A 类</w:t>
      </w:r>
      <w:r>
        <w:rPr>
          <w:rFonts w:hint="eastAsia"/>
          <w:lang/>
        </w:rPr>
        <w:br/>
        <w:t xml:space="preserve">　　016321 红塔红土瑞恒纯债债券型证券投资基金 C 类</w:t>
      </w:r>
      <w:r>
        <w:rPr>
          <w:rFonts w:hint="eastAsia"/>
          <w:lang/>
        </w:rPr>
        <w:br/>
        <w:t xml:space="preserve">　　002709 红塔红土人人宝货币市场基金 A 类 </w:t>
      </w:r>
      <w:r>
        <w:rPr>
          <w:rFonts w:hint="eastAsia"/>
          <w:lang/>
        </w:rPr>
        <w:br/>
        <w:t xml:space="preserve">　　002710 红塔红土人人宝货币市场基金 B 类</w:t>
      </w:r>
      <w:r>
        <w:rPr>
          <w:rFonts w:hint="eastAsia"/>
          <w:lang/>
        </w:rPr>
        <w:br/>
        <w:t xml:space="preserve">　　018613 红塔红土中证同业存单AAA指数7天持有期证券投资基金</w:t>
      </w:r>
      <w:r>
        <w:rPr>
          <w:rFonts w:hint="eastAsia"/>
          <w:lang/>
        </w:rPr>
        <w:br/>
        <w:t xml:space="preserve">　　020048 红塔红土中债0-3年政策性金融债指数证券投资基金 A 类</w:t>
      </w:r>
      <w:r>
        <w:rPr>
          <w:rFonts w:hint="eastAsia"/>
          <w:lang/>
        </w:rPr>
        <w:br/>
        <w:t xml:space="preserve">　　020049 红塔红土中债0-3年政策性金融债指数证券投资基金 C 类</w:t>
      </w:r>
      <w:r>
        <w:rPr>
          <w:rFonts w:hint="eastAsia"/>
          <w:lang/>
        </w:rPr>
        <w:br/>
        <w:t xml:space="preserve">　　（2）转换业务规则 </w:t>
      </w:r>
      <w:r>
        <w:rPr>
          <w:rFonts w:hint="eastAsia"/>
          <w:lang/>
        </w:rPr>
        <w:br/>
        <w:t xml:space="preserve">　　①基金转换只能在同一销售机构办理，且该销售机构同时代理转出基金及转入基金的销售。 </w:t>
      </w:r>
      <w:r>
        <w:rPr>
          <w:rFonts w:hint="eastAsia"/>
          <w:lang/>
        </w:rPr>
        <w:br/>
        <w:t xml:space="preserve">　　②基金转换，以申请当日基金份额净值为基础计算。投资者采用“份额转换”的原则提交申请，基金转换遵循“先进先出”的原则。 </w:t>
      </w:r>
      <w:r>
        <w:rPr>
          <w:rFonts w:hint="eastAsia"/>
          <w:lang/>
        </w:rPr>
        <w:br/>
        <w:t xml:space="preserve">　　③投资者办理基金转换业务时，转出的基金必须处于可赎回状态，转入的基金必须处于可申购状态，已经冻结的基金份额不得申请基金转换。 </w:t>
      </w:r>
      <w:r>
        <w:rPr>
          <w:rFonts w:hint="eastAsia"/>
          <w:lang/>
        </w:rPr>
        <w:br/>
        <w:t xml:space="preserve">　　④投资者仅能申请办理相同收费模式下基金份额的转换，即“前端收费转前端收费、后端收费转后端收费”，不能将前端收费模式的基金份额转换为后端收费模式的基金份额。 </w:t>
      </w:r>
      <w:r>
        <w:rPr>
          <w:rFonts w:hint="eastAsia"/>
          <w:lang/>
        </w:rPr>
        <w:br/>
        <w:t xml:space="preserve">　　（3）转换限额 </w:t>
      </w:r>
      <w:r>
        <w:rPr>
          <w:rFonts w:hint="eastAsia"/>
          <w:lang/>
        </w:rPr>
        <w:br/>
        <w:t xml:space="preserve">　　投资者在办理转换业务时，单笔转换基金份额不得低于10份；代销机构有不同规定的，投资者在代销机构办理相关业务时，需遵循该代销机构的相关规定。 </w:t>
      </w:r>
      <w:r>
        <w:rPr>
          <w:rFonts w:hint="eastAsia"/>
          <w:lang/>
        </w:rPr>
        <w:br/>
        <w:t xml:space="preserve">　　当投资者的某笔转换申请导致单个交易账户的基金份额余额少于相应基金的最低持有份额时，余额部分基金份额将被强制赎回。敬请投资者注意转换份额的设定。 </w:t>
      </w:r>
      <w:r>
        <w:rPr>
          <w:rFonts w:hint="eastAsia"/>
          <w:lang/>
        </w:rPr>
        <w:br/>
        <w:t xml:space="preserve">　　（4）交易确认 </w:t>
      </w:r>
      <w:r>
        <w:rPr>
          <w:rFonts w:hint="eastAsia"/>
          <w:lang/>
        </w:rPr>
        <w:br/>
        <w:t xml:space="preserve">　　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T＋2日。基金分红再投资的份额可在权益登记日的 T+2 日提交基金转换申请。</w:t>
      </w:r>
    </w:p>
    <w:p w:rsidR="007A085E" w:rsidRDefault="007A085E">
      <w:pPr>
        <w:pStyle w:val="XBRLTitle1"/>
        <w:spacing w:before="156" w:line="360" w:lineRule="auto"/>
        <w:rPr>
          <w:rFonts w:hint="eastAsia"/>
        </w:rPr>
      </w:pPr>
      <w:bookmarkStart w:id="160" w:name="_Toc34841041"/>
      <w:bookmarkStart w:id="161" w:name="_Toc34758532"/>
      <w:r>
        <w:rPr>
          <w:rFonts w:hAnsi="宋体" w:hint="eastAsia"/>
        </w:rPr>
        <w:t>定期定额投资业务</w:t>
      </w:r>
      <w:bookmarkEnd w:id="160"/>
      <w:bookmarkEnd w:id="161"/>
      <w:r>
        <w:rPr>
          <w:rFonts w:hAnsi="宋体" w:hint="eastAsia"/>
        </w:rPr>
        <w:t xml:space="preserve"> </w:t>
      </w:r>
    </w:p>
    <w:p w:rsidR="007A085E" w:rsidRDefault="007A085E">
      <w:pPr>
        <w:pStyle w:val="XBRLTitle1"/>
        <w:spacing w:before="156" w:line="360" w:lineRule="auto"/>
        <w:rPr>
          <w:rFonts w:hint="eastAsia"/>
        </w:rPr>
      </w:pPr>
      <w:bookmarkStart w:id="162" w:name="_Toc34841042"/>
      <w:bookmarkStart w:id="163" w:name="_Toc3475852111"/>
      <w:r>
        <w:rPr>
          <w:rFonts w:hAnsi="宋体" w:hint="eastAsia"/>
        </w:rPr>
        <w:t>基金销售机构</w:t>
      </w:r>
      <w:bookmarkEnd w:id="31"/>
      <w:bookmarkEnd w:id="32"/>
      <w:bookmarkEnd w:id="33"/>
      <w:bookmarkEnd w:id="34"/>
      <w:bookmarkEnd w:id="35"/>
      <w:bookmarkEnd w:id="36"/>
      <w:bookmarkEnd w:id="37"/>
      <w:bookmarkEnd w:id="38"/>
      <w:bookmarkEnd w:id="162"/>
      <w:bookmarkEnd w:id="163"/>
      <w:r>
        <w:rPr>
          <w:rFonts w:hAnsi="宋体" w:hint="eastAsia"/>
        </w:rPr>
        <w:t xml:space="preserve"> </w:t>
      </w:r>
    </w:p>
    <w:p w:rsidR="007A085E" w:rsidRDefault="007A085E">
      <w:pPr>
        <w:pStyle w:val="XBRLTitle2"/>
        <w:spacing w:before="156" w:line="360" w:lineRule="auto"/>
        <w:rPr>
          <w:rFonts w:hint="eastAsia"/>
        </w:rPr>
      </w:pPr>
      <w:bookmarkStart w:id="164" w:name="_Toc51346565811"/>
      <w:r>
        <w:rPr>
          <w:rFonts w:hAnsi="宋体" w:hint="eastAsia"/>
        </w:rPr>
        <w:t>场外销售机构</w:t>
      </w:r>
      <w:bookmarkEnd w:id="52"/>
      <w:bookmarkEnd w:id="53"/>
      <w:bookmarkEnd w:id="54"/>
      <w:bookmarkEnd w:id="55"/>
      <w:bookmarkEnd w:id="164"/>
      <w:r>
        <w:rPr>
          <w:rFonts w:hAnsi="宋体" w:hint="eastAsia"/>
        </w:rPr>
        <w:t xml:space="preserve"> </w:t>
      </w:r>
    </w:p>
    <w:p w:rsidR="007A085E" w:rsidRDefault="007A085E">
      <w:pPr>
        <w:pStyle w:val="XBRLTitle3"/>
        <w:spacing w:before="156"/>
        <w:rPr>
          <w:rFonts w:hint="eastAsia"/>
        </w:rPr>
      </w:pPr>
      <w:bookmarkStart w:id="165" w:name="_Toc51346565911"/>
      <w:r>
        <w:rPr>
          <w:rFonts w:hint="eastAsia"/>
        </w:rPr>
        <w:t>直销机构</w:t>
      </w:r>
      <w:bookmarkEnd w:id="57"/>
      <w:bookmarkEnd w:id="58"/>
      <w:bookmarkEnd w:id="59"/>
      <w:bookmarkEnd w:id="165"/>
      <w:r>
        <w:rPr>
          <w:rFonts w:hint="eastAsia"/>
          <w:lang w:eastAsia="zh-CN"/>
        </w:rPr>
        <w:t xml:space="preserve"> </w:t>
      </w:r>
    </w:p>
    <w:p w:rsidR="007A085E" w:rsidRDefault="007A085E">
      <w:pPr>
        <w:spacing w:line="360" w:lineRule="auto"/>
        <w:ind w:firstLineChars="200" w:firstLine="420"/>
        <w:rPr>
          <w:rFonts w:hint="eastAsia"/>
        </w:rPr>
      </w:pPr>
      <w:r>
        <w:rPr>
          <w:rFonts w:hint="eastAsia"/>
          <w:lang/>
        </w:rPr>
        <w:t>红塔红土基金管理有限公司</w:t>
      </w:r>
    </w:p>
    <w:p w:rsidR="007A085E" w:rsidRDefault="007A085E">
      <w:pPr>
        <w:pStyle w:val="XBRLTitle3"/>
        <w:spacing w:before="156"/>
        <w:rPr>
          <w:rFonts w:hint="eastAsia"/>
        </w:rPr>
      </w:pPr>
      <w:bookmarkStart w:id="166" w:name="_Toc51346566011"/>
      <w:r>
        <w:rPr>
          <w:rFonts w:hint="eastAsia"/>
        </w:rPr>
        <w:t>场外非直销机构</w:t>
      </w:r>
      <w:bookmarkEnd w:id="61"/>
      <w:bookmarkEnd w:id="62"/>
      <w:bookmarkEnd w:id="63"/>
      <w:bookmarkEnd w:id="166"/>
    </w:p>
    <w:p w:rsidR="007A085E" w:rsidRDefault="007A085E">
      <w:pPr>
        <w:spacing w:line="360" w:lineRule="auto"/>
        <w:ind w:firstLineChars="200" w:firstLine="420"/>
        <w:divId w:val="1652441170"/>
        <w:rPr>
          <w:rFonts w:hint="eastAsia"/>
        </w:rPr>
      </w:pPr>
      <w:r>
        <w:rPr>
          <w:rFonts w:hint="eastAsia"/>
          <w:color w:val="404040"/>
          <w:kern w:val="0"/>
          <w:szCs w:val="21"/>
          <w:lang/>
        </w:rPr>
        <w:t>本公司已经与下述销售机构（排名不分先后）签订基金销售协议，投资人通过下述销售机构办理相关业务的，以下述销售机构的相关规定为准。</w:t>
      </w:r>
      <w:r>
        <w:rPr>
          <w:rFonts w:hint="eastAsia"/>
          <w:color w:val="404040"/>
          <w:kern w:val="0"/>
          <w:szCs w:val="21"/>
          <w:lang/>
        </w:rPr>
        <w:br/>
        <w:t xml:space="preserve">　　中国工商银行股份有限公司、兴业银行股份有限公司、平安银行股份有限公司、宁波银行股份有限公司、深圳市新兰德证券投资咨询有限公司、厦门市鑫鼎盛控股有限公司、江苏天鼎证券投资咨询有限公司、江苏汇林保大基金销售有限公司、上海挖财基金销售有限公司、大河财富基金销售有限公司、民商基金销售（上海）有限公司、诺亚正行基金销售有限公司、深圳众禄基金销售股份有限公司、上海天天基金销售有限公司、上海好买基金销售有限公司、蚂蚁（杭州）基金销售有限公司、上海长量基金销售有限公司、浙江同花顺基金销售有限公司、上海利得基金销售有限公司、乾道基金销售有限公司、泛华普益基金销售有限公司、宜信普泽(北京)基金销售有限公司、深圳腾元基金销售有限公司、北京汇成基金销售有限公司、天津国美基金销售有限公司、上海大智慧基金销售有限公司、上海万得基金销售有限公司、上海联泰基金销售有限公司、泰信财富基金销售有限公司、上海基煜基金销售有限公司、上海攀赢基金销售有限公司、珠海盈米基金销售有限公司、奕丰基金销售有限公司、中证金牛（北京）基金销售有限公司、上海爱建基金销售有限公司、京东肯特瑞基金销售有限公司、大连网金基金销售有限公司、深圳市金斧子基金销售有限公司、北京雪球基金销售有限公司、深圳市前海排排网基金销售有限责任公司、万家财富基金销售（天津）有限公司、中信期货有限公司、中信建投证券股份有限公司、招商证券股份有限公司、中信证券股份有限公司、中国银河证券股份有限公司、海通证券股份有限公司、国投证券股份有限公司、万联证券股份有限公司、中信证券（山东）有限责任公司、东吴证券股份有限公司、中信证券华南股份有限公司、中泰证券股份有限公司、五矿证券有限公司、红塔证券股份有限公司、东方财富证券股份有限公司、粤开证券股份有限公司、华源证券股份有限公司、爱建证券有限责任公司、英大证券有限责任公司、麦高证券有限责任公司、阳光人寿保险股份有限公司、中国人寿保险股份有限公司、云南红塔银行股份有限公司。</w:t>
      </w:r>
      <w:r>
        <w:rPr>
          <w:rFonts w:hint="eastAsia"/>
          <w:color w:val="404040"/>
          <w:kern w:val="0"/>
          <w:szCs w:val="21"/>
          <w:lang/>
        </w:rPr>
        <w:br/>
        <w:t xml:space="preserve">　　上述基金销售机构均已取得中国证监会办法的基金销售业务资格证书。基金管理人可根据情况变更或增减基金销售机构，并在基金管理人网站公示。</w:t>
      </w:r>
      <w:r>
        <w:rPr>
          <w:rFonts w:hint="eastAsia"/>
          <w:color w:val="404040"/>
          <w:kern w:val="0"/>
          <w:sz w:val="24"/>
        </w:rPr>
        <w:t xml:space="preserve"> </w:t>
      </w:r>
    </w:p>
    <w:p w:rsidR="007A085E" w:rsidRDefault="007A085E">
      <w:pPr>
        <w:pStyle w:val="XBRLTitle2"/>
        <w:spacing w:before="156"/>
        <w:divId w:val="647057484"/>
        <w:rPr>
          <w:rFonts w:hint="eastAsia"/>
        </w:rPr>
      </w:pPr>
      <w:bookmarkStart w:id="167" w:name="_Toc34841044"/>
      <w:bookmarkStart w:id="168" w:name="_Toc3475852411"/>
      <w:r>
        <w:rPr>
          <w:rFonts w:hint="eastAsia"/>
        </w:rPr>
        <w:t>场内销售机构</w:t>
      </w:r>
      <w:bookmarkEnd w:id="72"/>
      <w:bookmarkEnd w:id="73"/>
      <w:bookmarkEnd w:id="74"/>
      <w:bookmarkEnd w:id="75"/>
      <w:bookmarkEnd w:id="76"/>
      <w:bookmarkEnd w:id="77"/>
      <w:bookmarkEnd w:id="78"/>
      <w:bookmarkEnd w:id="79"/>
      <w:bookmarkEnd w:id="80"/>
      <w:bookmarkEnd w:id="81"/>
      <w:bookmarkEnd w:id="82"/>
      <w:bookmarkEnd w:id="83"/>
      <w:bookmarkEnd w:id="84"/>
      <w:bookmarkEnd w:id="167"/>
      <w:bookmarkEnd w:id="168"/>
    </w:p>
    <w:p w:rsidR="007A085E" w:rsidRDefault="007A085E">
      <w:pPr>
        <w:spacing w:line="360" w:lineRule="auto"/>
        <w:ind w:firstLineChars="200" w:firstLine="420"/>
        <w:divId w:val="647057484"/>
        <w:rPr>
          <w:rFonts w:hint="eastAsia"/>
        </w:rPr>
      </w:pPr>
      <w:r>
        <w:rPr>
          <w:rFonts w:hint="eastAsia"/>
          <w:lang/>
        </w:rPr>
        <w:t>无。</w:t>
      </w:r>
    </w:p>
    <w:p w:rsidR="007A085E" w:rsidRDefault="007A085E">
      <w:pPr>
        <w:pStyle w:val="XBRLTitle1"/>
        <w:spacing w:before="156" w:line="360" w:lineRule="auto"/>
        <w:rPr>
          <w:rFonts w:hint="eastAsia"/>
        </w:rPr>
      </w:pPr>
      <w:bookmarkStart w:id="169" w:name="_Toc34841045"/>
      <w:bookmarkStart w:id="170" w:name="_Toc3475853211"/>
      <w:r>
        <w:rPr>
          <w:rFonts w:hAnsi="宋体" w:hint="eastAsia"/>
        </w:rPr>
        <w:t>基金份额净值公告/基金收益公告的披露安排</w:t>
      </w:r>
      <w:bookmarkEnd w:id="169"/>
      <w:bookmarkEnd w:id="170"/>
      <w:r>
        <w:rPr>
          <w:rFonts w:hAnsi="宋体" w:hint="eastAsia"/>
        </w:rPr>
        <w:t xml:space="preserve"> </w:t>
      </w:r>
    </w:p>
    <w:p w:rsidR="007A085E" w:rsidRDefault="007A085E">
      <w:pPr>
        <w:spacing w:line="360" w:lineRule="auto"/>
        <w:ind w:firstLineChars="200" w:firstLine="420"/>
        <w:rPr>
          <w:rFonts w:hint="eastAsia"/>
        </w:rPr>
      </w:pPr>
      <w:r>
        <w:rPr>
          <w:rFonts w:hint="eastAsia"/>
          <w:lang/>
        </w:rPr>
        <w:t>（1）《基金合同》生效后，在基金封闭期内，基金管理人应当至少每周在指定网站披露一次基金份额净值和基金份额累计净值。</w:t>
      </w:r>
      <w:r>
        <w:rPr>
          <w:rFonts w:hint="eastAsia"/>
          <w:lang/>
        </w:rPr>
        <w:br/>
        <w:t xml:space="preserve">　　（2）在开始办理基金份额申购或者赎回后，基金管理人应当在不晚于每个开放日的次日，通过规定网站、销售机构网站或者营业网点，披露开放日的基金份额净值和基金份额累计净值。</w:t>
      </w:r>
      <w:r>
        <w:rPr>
          <w:rFonts w:hint="eastAsia"/>
          <w:lang/>
        </w:rPr>
        <w:br/>
        <w:t xml:space="preserve">　　（3）基金管理人应当在不晚于半年度和年度最后一日的次日，在指定网站披露半年度和年度最后一日的基金份额净值和基金份额累计净值。</w:t>
      </w:r>
    </w:p>
    <w:p w:rsidR="007A085E" w:rsidRDefault="007A085E">
      <w:pPr>
        <w:pStyle w:val="XBRLTitle1"/>
        <w:spacing w:before="156" w:line="360" w:lineRule="auto"/>
        <w:rPr>
          <w:rFonts w:hint="eastAsia"/>
        </w:rPr>
      </w:pPr>
      <w:bookmarkStart w:id="171" w:name="_Toc34841046"/>
      <w:bookmarkStart w:id="172" w:name="_Toc3475853212"/>
      <w:r>
        <w:rPr>
          <w:rFonts w:hAnsi="宋体" w:hint="eastAsia"/>
        </w:rPr>
        <w:t>其他需要提示的事项</w:t>
      </w:r>
      <w:bookmarkEnd w:id="16"/>
      <w:bookmarkEnd w:id="17"/>
      <w:bookmarkEnd w:id="18"/>
      <w:bookmarkEnd w:id="19"/>
      <w:bookmarkEnd w:id="20"/>
      <w:bookmarkEnd w:id="21"/>
      <w:bookmarkEnd w:id="22"/>
      <w:bookmarkEnd w:id="23"/>
      <w:bookmarkEnd w:id="171"/>
      <w:bookmarkEnd w:id="172"/>
      <w:r>
        <w:rPr>
          <w:rFonts w:hAnsi="宋体" w:hint="eastAsia"/>
        </w:rPr>
        <w:t xml:space="preserve"> </w:t>
      </w:r>
      <w:bookmarkEnd w:id="39"/>
      <w:bookmarkEnd w:id="40"/>
    </w:p>
    <w:bookmarkEnd w:id="11"/>
    <w:p w:rsidR="007A085E" w:rsidRDefault="007A085E">
      <w:pPr>
        <w:spacing w:line="360" w:lineRule="auto"/>
        <w:ind w:firstLineChars="200" w:firstLine="420"/>
        <w:rPr>
          <w:rFonts w:hint="eastAsia"/>
        </w:rPr>
      </w:pPr>
      <w:r>
        <w:rPr>
          <w:rFonts w:hint="eastAsia"/>
          <w:lang/>
        </w:rPr>
        <w:t>（1）本公告仅对红塔红土盛商一年定期开放债券型发起式证券投资基金本次办理申购、赎回、转换业务等相关事项予以说明。投资者欲了解本基金的详细情况，可于本基金管理人网站（www.htamc.com.cn）或相关代销机构查阅本基金相关法律文件及资料。本公告的解释权归本公司所有。</w:t>
      </w:r>
      <w:r>
        <w:rPr>
          <w:rFonts w:hint="eastAsia"/>
          <w:lang/>
        </w:rPr>
        <w:br/>
        <w:t xml:space="preserve">　　（2）开放期内，本基金采取开放运作模式，投资人可办理基金份额申购、赎回或其他业务。开放期未赎回的份额将自动转入下一个封闭期。如在开放期内发生不可抗力或其他情形致使基金无法按时开放或需依据《基金合同》暂停申购、赎回、转换业务的，基金管理人有权合理调整申购、赎回、转换业务的办理期间并予以公告。</w:t>
      </w:r>
      <w:r>
        <w:rPr>
          <w:rFonts w:hint="eastAsia"/>
          <w:lang/>
        </w:rPr>
        <w:br/>
        <w:t xml:space="preserve">　　（3）2024年2月1日至2024年3月7日为本基金的本次开放期，即在开放期内的每个工作日接受办理本基金份额的申购、赎回、转换业务，2024年3月7日15:00以后暂停接受办理本基金的申购、赎回、转换业务直至下一个开放期。届时将不再另行公告。</w:t>
      </w:r>
      <w:r>
        <w:rPr>
          <w:rFonts w:hint="eastAsia"/>
          <w:lang/>
        </w:rPr>
        <w:br/>
        <w:t xml:space="preserve">　　（4）风险提示：本基金管理人承诺以诚实信用、勤勉尽责的原则管理和运用基金资产，但不保证本基金一定盈利，也不保证最低收益。基金的过往业绩并不代表其未来表现。投资有风险，敬请投资人认真阅读基金的相关法律文件，充分了解基金的风险收益特征，选择适合自身风险承受能力的投资品种并审慎做出投资决定。</w:t>
      </w:r>
      <w:r>
        <w:rPr>
          <w:rFonts w:hint="eastAsia"/>
          <w:lang/>
        </w:rPr>
        <w:br/>
        <w:t xml:space="preserve">　　特此公告。</w:t>
      </w:r>
      <w:bookmarkEnd w:id="12"/>
      <w:bookmarkEnd w:id="13"/>
      <w:bookmarkEnd w:id="24"/>
      <w:bookmarkEnd w:id="25"/>
      <w:bookmarkEnd w:id="26"/>
      <w:bookmarkEnd w:id="27"/>
    </w:p>
    <w:p w:rsidR="007A085E" w:rsidRDefault="007A085E">
      <w:pPr>
        <w:spacing w:line="360" w:lineRule="auto"/>
        <w:ind w:firstLineChars="600" w:firstLine="1446"/>
        <w:jc w:val="left"/>
        <w:rPr>
          <w:rFonts w:hint="eastAsia"/>
        </w:rPr>
      </w:pPr>
      <w:r>
        <w:rPr>
          <w:rFonts w:hint="eastAsia"/>
          <w:b/>
          <w:bCs/>
          <w:sz w:val="24"/>
          <w:szCs w:val="30"/>
        </w:rPr>
        <w:t xml:space="preserve">　 </w:t>
      </w:r>
    </w:p>
    <w:p w:rsidR="007A085E" w:rsidRDefault="007A085E">
      <w:pPr>
        <w:spacing w:line="360" w:lineRule="auto"/>
        <w:ind w:firstLineChars="600" w:firstLine="1446"/>
        <w:jc w:val="left"/>
        <w:rPr>
          <w:rFonts w:hint="eastAsia"/>
        </w:rPr>
      </w:pPr>
      <w:r>
        <w:rPr>
          <w:rFonts w:hint="eastAsia"/>
          <w:b/>
          <w:bCs/>
          <w:sz w:val="24"/>
          <w:szCs w:val="30"/>
        </w:rPr>
        <w:t xml:space="preserve">　 </w:t>
      </w:r>
    </w:p>
    <w:p w:rsidR="007A085E" w:rsidRDefault="007A085E">
      <w:pPr>
        <w:spacing w:line="360" w:lineRule="auto"/>
        <w:ind w:firstLineChars="600" w:firstLine="1446"/>
        <w:jc w:val="right"/>
        <w:rPr>
          <w:rFonts w:hint="eastAsia"/>
        </w:rPr>
      </w:pPr>
      <w:r>
        <w:rPr>
          <w:rFonts w:hint="eastAsia"/>
          <w:b/>
          <w:bCs/>
          <w:sz w:val="24"/>
          <w:szCs w:val="24"/>
        </w:rPr>
        <w:t>红塔红土基金管理有限公司</w:t>
      </w:r>
    </w:p>
    <w:p w:rsidR="007A085E" w:rsidRDefault="007A085E">
      <w:pPr>
        <w:spacing w:line="360" w:lineRule="auto"/>
        <w:ind w:firstLineChars="600" w:firstLine="1446"/>
        <w:jc w:val="right"/>
        <w:rPr>
          <w:rFonts w:hint="eastAsia"/>
        </w:rPr>
      </w:pPr>
      <w:r>
        <w:rPr>
          <w:rFonts w:hint="eastAsia"/>
          <w:b/>
          <w:bCs/>
          <w:sz w:val="24"/>
          <w:szCs w:val="24"/>
        </w:rPr>
        <w:t>2024年1月29日</w:t>
      </w:r>
      <w:bookmarkEnd w:id="28"/>
    </w:p>
    <w:sectPr w:rsidR="007A085E">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85E" w:rsidRDefault="007A085E">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7A085E" w:rsidRDefault="007A085E">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5E" w:rsidRDefault="007A085E">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noProof/>
        <w:sz w:val="18"/>
        <w:szCs w:val="18"/>
      </w:rPr>
      <w:t>4</w:t>
    </w:r>
    <w:r>
      <w:rPr>
        <w:rFonts w:hint="eastAsia"/>
      </w:rPr>
      <w:t xml:space="preserve"> </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85E" w:rsidRDefault="007A085E">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7A085E" w:rsidRDefault="007A085E">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5E" w:rsidRDefault="007A085E">
    <w:pPr>
      <w:pStyle w:val="a7"/>
      <w:jc w:val="right"/>
      <w:rPr>
        <w:rFonts w:hint="eastAsia"/>
      </w:rPr>
    </w:pPr>
    <w:r>
      <w:rPr>
        <w:rFonts w:hint="eastAsia"/>
      </w:rPr>
      <w:t>红塔红土盛商一年定期开放债券型发起式证券投资基金开放申购（赎回、转换）业务的公告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24A63880"/>
    <w:lvl w:ilvl="0">
      <w:start w:val="1"/>
      <w:numFmt w:val="decimal"/>
      <w:pStyle w:val="XBRLTitle1"/>
      <w:suff w:val="space"/>
      <w:lvlText w:val="%1"/>
      <w:lvlJc w:val="left"/>
      <w:pPr>
        <w:ind w:left="425" w:hanging="425"/>
      </w:pPr>
      <w:rPr>
        <w:sz w:val="24"/>
        <w:szCs w:val="24"/>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55D3"/>
    <w:rsid w:val="00407824"/>
    <w:rsid w:val="007A085E"/>
    <w:rsid w:val="00F955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pPr>
      <w:ind w:leftChars="200" w:left="420"/>
    </w:pPr>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left"/>
    </w:pPr>
    <w:rPr>
      <w:rFonts w:hAnsi="Cambria"/>
      <w:sz w:val="24"/>
      <w:szCs w:val="32"/>
    </w:rPr>
  </w:style>
  <w:style w:type="paragraph" w:customStyle="1" w:styleId="XBRLTitle2">
    <w:name w:val="XBRLTitle2"/>
    <w:basedOn w:val="aa"/>
    <w:next w:val="4"/>
    <w:qFormat/>
    <w:pPr>
      <w:keepNext w:val="0"/>
      <w:keepLines w:val="0"/>
      <w:numPr>
        <w:ilvl w:val="1"/>
        <w:numId w:val="2"/>
      </w:numPr>
      <w:spacing w:beforeLines="50" w:after="0" w:line="240" w:lineRule="auto"/>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83574526">
      <w:marLeft w:val="0"/>
      <w:marRight w:val="0"/>
      <w:marTop w:val="0"/>
      <w:marBottom w:val="0"/>
      <w:divBdr>
        <w:top w:val="none" w:sz="0" w:space="0" w:color="auto"/>
        <w:left w:val="none" w:sz="0" w:space="0" w:color="auto"/>
        <w:bottom w:val="none" w:sz="0" w:space="0" w:color="auto"/>
        <w:right w:val="none" w:sz="0" w:space="0" w:color="auto"/>
      </w:divBdr>
      <w:divsChild>
        <w:div w:id="1868250073">
          <w:marLeft w:val="0"/>
          <w:marRight w:val="0"/>
          <w:marTop w:val="0"/>
          <w:marBottom w:val="0"/>
          <w:divBdr>
            <w:top w:val="none" w:sz="0" w:space="0" w:color="auto"/>
            <w:left w:val="none" w:sz="0" w:space="0" w:color="auto"/>
            <w:bottom w:val="none" w:sz="0" w:space="0" w:color="auto"/>
            <w:right w:val="none" w:sz="0" w:space="0" w:color="auto"/>
          </w:divBdr>
          <w:divsChild>
            <w:div w:id="5155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7484">
      <w:marLeft w:val="0"/>
      <w:marRight w:val="0"/>
      <w:marTop w:val="0"/>
      <w:marBottom w:val="0"/>
      <w:divBdr>
        <w:top w:val="none" w:sz="0" w:space="0" w:color="auto"/>
        <w:left w:val="none" w:sz="0" w:space="0" w:color="auto"/>
        <w:bottom w:val="none" w:sz="0" w:space="0" w:color="auto"/>
        <w:right w:val="none" w:sz="0" w:space="0" w:color="auto"/>
      </w:divBdr>
    </w:div>
    <w:div w:id="774133942">
      <w:marLeft w:val="0"/>
      <w:marRight w:val="0"/>
      <w:marTop w:val="0"/>
      <w:marBottom w:val="0"/>
      <w:divBdr>
        <w:top w:val="none" w:sz="0" w:space="0" w:color="auto"/>
        <w:left w:val="none" w:sz="0" w:space="0" w:color="auto"/>
        <w:bottom w:val="none" w:sz="0" w:space="0" w:color="auto"/>
        <w:right w:val="none" w:sz="0" w:space="0" w:color="auto"/>
      </w:divBdr>
    </w:div>
    <w:div w:id="16524411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2572-38D2-4689-BD7F-8E22AACA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5333</Characters>
  <Application>Microsoft Office Word</Application>
  <DocSecurity>4</DocSecurity>
  <Lines>44</Lines>
  <Paragraphs>12</Paragraphs>
  <ScaleCrop>false</ScaleCrop>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2024-01-28T16:00:00Z</dcterms:created>
  <dcterms:modified xsi:type="dcterms:W3CDTF">2024-01-28T16:00:00Z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