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49" w:rsidRPr="00C44D49" w:rsidRDefault="00C44D49" w:rsidP="00C44D49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C44D49">
        <w:rPr>
          <w:rFonts w:ascii="宋体" w:eastAsia="宋体" w:hAnsi="宋体" w:cs="宋体"/>
          <w:b/>
          <w:kern w:val="0"/>
          <w:sz w:val="28"/>
          <w:szCs w:val="28"/>
        </w:rPr>
        <w:t>华安基金管理有限公司关于基金经理暂停履行职务的公告</w:t>
      </w:r>
    </w:p>
    <w:p w:rsidR="00C44D49" w:rsidRDefault="00C44D49" w:rsidP="00C44D4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A54275" w:rsidRDefault="001D1446" w:rsidP="00C44D49">
      <w:pPr>
        <w:widowControl/>
        <w:spacing w:line="360" w:lineRule="auto"/>
        <w:ind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华安基金管理有限公司（以下简称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本公司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）旗下</w:t>
      </w:r>
      <w:r w:rsidR="004E0137" w:rsidRPr="002B37A1">
        <w:rPr>
          <w:rFonts w:ascii="宋体" w:eastAsia="宋体" w:cs="宋体" w:hint="eastAsia"/>
          <w:color w:val="000000"/>
          <w:kern w:val="0"/>
          <w:sz w:val="24"/>
          <w:szCs w:val="24"/>
        </w:rPr>
        <w:t>华安信用四季红债券型证券投资基金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040026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）、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华安顺穗债券型证券投资基金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013820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）、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华安乾煜债券型发起式证券投资基金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013650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）、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华安添锦债券型证券投资基金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015470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、华安添信债券型证券投资基金（基金代码：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014391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）、华安添顺债券型证券投资基金（基金代码：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014785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）、华安年年盈定期开放债券型证券投资基金（基金代码：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000239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）、华安添勤债券型证券投资基金（基金代码：</w:t>
      </w:r>
      <w:r w:rsidR="004E0137" w:rsidRPr="00B823B3">
        <w:rPr>
          <w:rFonts w:ascii="宋体" w:eastAsia="宋体" w:cs="宋体"/>
          <w:color w:val="000000"/>
          <w:kern w:val="0"/>
          <w:sz w:val="24"/>
          <w:szCs w:val="24"/>
        </w:rPr>
        <w:t>017120</w:t>
      </w:r>
      <w:r w:rsidR="004E0137"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）</w:t>
      </w:r>
      <w:r w:rsidRPr="00B823B3">
        <w:rPr>
          <w:rFonts w:ascii="宋体" w:eastAsia="宋体" w:cs="宋体" w:hint="eastAsia"/>
          <w:color w:val="000000"/>
          <w:kern w:val="0"/>
          <w:sz w:val="24"/>
          <w:szCs w:val="24"/>
        </w:rPr>
        <w:t>的基金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经理</w:t>
      </w:r>
      <w:r w:rsidR="00B92713">
        <w:rPr>
          <w:rFonts w:ascii="宋体" w:eastAsia="宋体" w:cs="宋体" w:hint="eastAsia"/>
          <w:color w:val="000000"/>
          <w:kern w:val="0"/>
          <w:sz w:val="24"/>
          <w:szCs w:val="24"/>
        </w:rPr>
        <w:t>魏媛媛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女士因个人原因（休产假）无法正常履行职务，本公司根据有关法规和公司制度批准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魏媛媛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女士于</w:t>
      </w:r>
      <w:r w:rsidR="00B92713">
        <w:rPr>
          <w:rFonts w:ascii="宋体" w:eastAsia="宋体" w:cs="宋体"/>
          <w:color w:val="000000"/>
          <w:kern w:val="0"/>
          <w:sz w:val="24"/>
          <w:szCs w:val="24"/>
        </w:rPr>
        <w:t>2024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 w:rsidR="00B92713">
        <w:rPr>
          <w:rFonts w:asci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月</w:t>
      </w:r>
      <w:r w:rsidR="00B92713">
        <w:rPr>
          <w:rFonts w:ascii="宋体" w:eastAsia="宋体" w:cs="宋体"/>
          <w:color w:val="000000"/>
          <w:kern w:val="0"/>
          <w:sz w:val="24"/>
          <w:szCs w:val="24"/>
        </w:rPr>
        <w:t>29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日开始休假，本次休假暂定持续至</w:t>
      </w:r>
      <w:r w:rsidR="00B92713">
        <w:rPr>
          <w:rFonts w:ascii="宋体" w:eastAsia="宋体" w:cs="宋体"/>
          <w:color w:val="000000"/>
          <w:kern w:val="0"/>
          <w:sz w:val="24"/>
          <w:szCs w:val="24"/>
        </w:rPr>
        <w:t>2024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 w:rsidR="00B92713">
        <w:rPr>
          <w:rFonts w:ascii="宋体" w:eastAsia="宋体" w:cs="宋体"/>
          <w:color w:val="000000"/>
          <w:kern w:val="0"/>
          <w:sz w:val="24"/>
          <w:szCs w:val="24"/>
        </w:rPr>
        <w:t>7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月</w:t>
      </w:r>
      <w:r w:rsidR="00B92713">
        <w:rPr>
          <w:rFonts w:ascii="宋体" w:eastAsia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日。</w:t>
      </w:r>
    </w:p>
    <w:p w:rsidR="00C44D49" w:rsidRDefault="001D1446" w:rsidP="00C44D4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在此期间，</w:t>
      </w:r>
      <w:r w:rsidR="00CF7687" w:rsidRPr="00CF7687">
        <w:rPr>
          <w:rFonts w:ascii="宋体" w:eastAsia="宋体" w:cs="宋体" w:hint="eastAsia"/>
          <w:color w:val="000000"/>
          <w:kern w:val="0"/>
          <w:sz w:val="24"/>
          <w:szCs w:val="24"/>
        </w:rPr>
        <w:t>华安信用四季红债券型证券投资基金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由</w:t>
      </w:r>
      <w:r w:rsidR="00A54275">
        <w:rPr>
          <w:rFonts w:ascii="宋体" w:eastAsia="宋体" w:cs="宋体" w:hint="eastAsia"/>
          <w:color w:val="000000"/>
          <w:kern w:val="0"/>
          <w:sz w:val="24"/>
          <w:szCs w:val="24"/>
        </w:rPr>
        <w:t>共同管理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此基金的基金经理吴文明先生继续管理，</w:t>
      </w:r>
      <w:r w:rsidR="00CF7687" w:rsidRPr="00CF7687">
        <w:rPr>
          <w:rFonts w:ascii="宋体" w:eastAsia="宋体" w:cs="宋体" w:hint="eastAsia"/>
          <w:color w:val="000000"/>
          <w:kern w:val="0"/>
          <w:sz w:val="24"/>
          <w:szCs w:val="24"/>
        </w:rPr>
        <w:t>华安顺穗债券型证券投资基金</w:t>
      </w:r>
      <w:r w:rsidR="00CF7687">
        <w:rPr>
          <w:rFonts w:ascii="宋体" w:eastAsia="宋体" w:cs="宋体" w:hint="eastAsia"/>
          <w:color w:val="000000"/>
          <w:kern w:val="0"/>
          <w:sz w:val="24"/>
          <w:szCs w:val="24"/>
        </w:rPr>
        <w:t>、</w:t>
      </w:r>
      <w:r w:rsidR="00D43014" w:rsidRPr="00D43014">
        <w:rPr>
          <w:rFonts w:ascii="宋体" w:eastAsia="宋体" w:cs="宋体" w:hint="eastAsia"/>
          <w:color w:val="000000"/>
          <w:kern w:val="0"/>
          <w:sz w:val="24"/>
          <w:szCs w:val="24"/>
        </w:rPr>
        <w:t>华安添顺债券型证券投资基金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、</w:t>
      </w:r>
      <w:r w:rsidR="00D43014" w:rsidRPr="00D43014">
        <w:rPr>
          <w:rFonts w:ascii="宋体" w:eastAsia="宋体" w:cs="宋体" w:hint="eastAsia"/>
          <w:color w:val="000000"/>
          <w:kern w:val="0"/>
          <w:sz w:val="24"/>
          <w:szCs w:val="24"/>
        </w:rPr>
        <w:t>华安添勤债券型证券投资基金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由</w:t>
      </w:r>
      <w:r w:rsidR="003458FE">
        <w:rPr>
          <w:rFonts w:ascii="宋体" w:eastAsia="宋体" w:cs="宋体" w:hint="eastAsia"/>
          <w:color w:val="000000"/>
          <w:kern w:val="0"/>
          <w:sz w:val="24"/>
          <w:szCs w:val="24"/>
        </w:rPr>
        <w:t>共同管理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上述基金的基金经理李振宇先生继续管理，</w:t>
      </w:r>
      <w:r w:rsidR="00D43014" w:rsidRPr="00D43014">
        <w:rPr>
          <w:rFonts w:ascii="宋体" w:eastAsia="宋体" w:cs="宋体" w:hint="eastAsia"/>
          <w:color w:val="000000"/>
          <w:kern w:val="0"/>
          <w:sz w:val="24"/>
          <w:szCs w:val="24"/>
        </w:rPr>
        <w:t>华安乾煜债券型发起式证券投资基金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由</w:t>
      </w:r>
      <w:r w:rsidR="003458FE">
        <w:rPr>
          <w:rFonts w:ascii="宋体" w:eastAsia="宋体" w:cs="宋体" w:hint="eastAsia"/>
          <w:color w:val="000000"/>
          <w:kern w:val="0"/>
          <w:sz w:val="24"/>
          <w:szCs w:val="24"/>
        </w:rPr>
        <w:t>共同管理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此基金的基金经理郑伟山先生、邹维娜女士继续管理，</w:t>
      </w:r>
      <w:r w:rsidR="00D43014" w:rsidRPr="00D43014">
        <w:rPr>
          <w:rFonts w:ascii="宋体" w:eastAsia="宋体" w:cs="宋体" w:hint="eastAsia"/>
          <w:color w:val="000000"/>
          <w:kern w:val="0"/>
          <w:sz w:val="24"/>
          <w:szCs w:val="24"/>
        </w:rPr>
        <w:t>华安添锦债券型证券投资基金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由</w:t>
      </w:r>
      <w:r w:rsidR="003458FE">
        <w:rPr>
          <w:rFonts w:ascii="宋体" w:eastAsia="宋体" w:cs="宋体" w:hint="eastAsia"/>
          <w:color w:val="000000"/>
          <w:kern w:val="0"/>
          <w:sz w:val="24"/>
          <w:szCs w:val="24"/>
        </w:rPr>
        <w:t>共同管理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此基金的基金经理邹维娜女士继续管理，</w:t>
      </w:r>
      <w:r w:rsidR="00D43014" w:rsidRPr="00D43014">
        <w:rPr>
          <w:rFonts w:ascii="宋体" w:eastAsia="宋体" w:cs="宋体" w:hint="eastAsia"/>
          <w:color w:val="000000"/>
          <w:kern w:val="0"/>
          <w:sz w:val="24"/>
          <w:szCs w:val="24"/>
        </w:rPr>
        <w:t>华安年年盈定期开放债券型证券投资基金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由</w:t>
      </w:r>
      <w:r w:rsidR="003458FE">
        <w:rPr>
          <w:rFonts w:ascii="宋体" w:eastAsia="宋体" w:cs="宋体" w:hint="eastAsia"/>
          <w:color w:val="000000"/>
          <w:kern w:val="0"/>
          <w:sz w:val="24"/>
          <w:szCs w:val="24"/>
        </w:rPr>
        <w:t>共同管理</w:t>
      </w:r>
      <w:r w:rsidR="00D43014">
        <w:rPr>
          <w:rFonts w:ascii="宋体" w:eastAsia="宋体" w:cs="宋体" w:hint="eastAsia"/>
          <w:color w:val="000000"/>
          <w:kern w:val="0"/>
          <w:sz w:val="24"/>
          <w:szCs w:val="24"/>
        </w:rPr>
        <w:t>此基金的基金经理朱才敏女士继续管理，同时由基金经理郑伟山先生代为管理</w:t>
      </w:r>
      <w:r w:rsidR="00731330">
        <w:rPr>
          <w:rFonts w:ascii="宋体" w:eastAsia="宋体" w:cs="宋体" w:hint="eastAsia"/>
          <w:color w:val="000000"/>
          <w:kern w:val="0"/>
          <w:sz w:val="24"/>
          <w:szCs w:val="24"/>
        </w:rPr>
        <w:t>，</w:t>
      </w:r>
      <w:r w:rsidR="00731330" w:rsidRPr="00D43014">
        <w:rPr>
          <w:rFonts w:ascii="宋体" w:eastAsia="宋体" w:cs="宋体" w:hint="eastAsia"/>
          <w:color w:val="000000"/>
          <w:kern w:val="0"/>
          <w:sz w:val="24"/>
          <w:szCs w:val="24"/>
        </w:rPr>
        <w:t>华安添信债券型证券投资基金</w:t>
      </w:r>
      <w:r w:rsidR="00731330">
        <w:rPr>
          <w:rFonts w:ascii="宋体" w:eastAsia="宋体" w:cs="宋体" w:hint="eastAsia"/>
          <w:color w:val="000000"/>
          <w:kern w:val="0"/>
          <w:sz w:val="24"/>
          <w:szCs w:val="24"/>
        </w:rPr>
        <w:t>由基金经理郑伟山先生代为管理。</w:t>
      </w:r>
    </w:p>
    <w:p w:rsidR="00C44D49" w:rsidRDefault="00C44D49" w:rsidP="00C44D4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>上述事项将根据有关法规向</w:t>
      </w:r>
      <w:r w:rsidR="003458FE" w:rsidRPr="003458FE">
        <w:rPr>
          <w:rFonts w:ascii="宋体" w:eastAsia="宋体" w:hAnsi="宋体" w:cs="宋体" w:hint="eastAsia"/>
          <w:kern w:val="0"/>
          <w:sz w:val="24"/>
          <w:szCs w:val="24"/>
        </w:rPr>
        <w:t>中国证券监督管理委员会</w:t>
      </w:r>
      <w:r w:rsidRPr="00C44D49">
        <w:rPr>
          <w:rFonts w:ascii="宋体" w:eastAsia="宋体" w:hAnsi="宋体" w:cs="宋体"/>
          <w:kern w:val="0"/>
          <w:sz w:val="24"/>
          <w:szCs w:val="24"/>
        </w:rPr>
        <w:t>上海监管局</w:t>
      </w:r>
      <w:r w:rsidRPr="00C44D49">
        <w:rPr>
          <w:rFonts w:ascii="宋体" w:eastAsia="宋体" w:hAnsi="宋体" w:cs="宋体" w:hint="eastAsia"/>
          <w:kern w:val="0"/>
          <w:sz w:val="24"/>
          <w:szCs w:val="24"/>
        </w:rPr>
        <w:t>报备</w:t>
      </w:r>
      <w:r w:rsidRPr="00C44D4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44D49" w:rsidRDefault="00C44D49" w:rsidP="00C44D4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 xml:space="preserve">特此公告 </w:t>
      </w:r>
      <w:bookmarkStart w:id="0" w:name="_GoBack"/>
      <w:bookmarkEnd w:id="0"/>
    </w:p>
    <w:p w:rsidR="00B363BF" w:rsidRDefault="00B363BF" w:rsidP="00C44D4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44D49" w:rsidRDefault="00C44D49" w:rsidP="00C44D49">
      <w:pPr>
        <w:widowControl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C44D49" w:rsidRDefault="00C44D49" w:rsidP="00C44D49">
      <w:pPr>
        <w:widowControl/>
        <w:spacing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44D49">
        <w:rPr>
          <w:rFonts w:ascii="宋体" w:eastAsia="宋体" w:hAnsi="宋体" w:cs="宋体"/>
          <w:kern w:val="0"/>
          <w:sz w:val="24"/>
          <w:szCs w:val="24"/>
        </w:rPr>
        <w:t>华安基金管理有限公司</w:t>
      </w:r>
    </w:p>
    <w:p w:rsidR="00DE0B32" w:rsidRDefault="00B92713" w:rsidP="006F48B1">
      <w:pPr>
        <w:widowControl/>
        <w:spacing w:line="360" w:lineRule="auto"/>
        <w:ind w:firstLine="480"/>
        <w:jc w:val="right"/>
      </w:pPr>
      <w:r w:rsidRPr="00C44D49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/>
          <w:kern w:val="0"/>
          <w:sz w:val="24"/>
          <w:szCs w:val="24"/>
        </w:rPr>
        <w:t>24</w:t>
      </w:r>
      <w:r w:rsidR="00C44D49" w:rsidRPr="00C44D49">
        <w:rPr>
          <w:rFonts w:ascii="宋体" w:eastAsia="宋体" w:hAnsi="宋体" w:cs="宋体"/>
          <w:kern w:val="0"/>
          <w:sz w:val="24"/>
          <w:szCs w:val="24"/>
        </w:rPr>
        <w:t>年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C44D49" w:rsidRPr="00C44D49">
        <w:rPr>
          <w:rFonts w:ascii="宋体" w:eastAsia="宋体" w:hAnsi="宋体" w:cs="宋体"/>
          <w:kern w:val="0"/>
          <w:sz w:val="24"/>
          <w:szCs w:val="24"/>
        </w:rPr>
        <w:t>月</w:t>
      </w:r>
      <w:r>
        <w:rPr>
          <w:rFonts w:ascii="宋体" w:eastAsia="宋体" w:hAnsi="宋体" w:cs="宋体"/>
          <w:kern w:val="0"/>
          <w:sz w:val="24"/>
          <w:szCs w:val="24"/>
        </w:rPr>
        <w:t>27</w:t>
      </w:r>
      <w:r w:rsidR="00C44D49" w:rsidRPr="00C44D49">
        <w:rPr>
          <w:rFonts w:ascii="宋体" w:eastAsia="宋体" w:hAnsi="宋体" w:cs="宋体"/>
          <w:kern w:val="0"/>
          <w:sz w:val="24"/>
          <w:szCs w:val="24"/>
        </w:rPr>
        <w:t xml:space="preserve">日 </w:t>
      </w:r>
    </w:p>
    <w:sectPr w:rsidR="00DE0B32" w:rsidSect="00FF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13" w:rsidRDefault="00370013" w:rsidP="00C44D49">
      <w:r>
        <w:separator/>
      </w:r>
    </w:p>
  </w:endnote>
  <w:endnote w:type="continuationSeparator" w:id="0">
    <w:p w:rsidR="00370013" w:rsidRDefault="00370013" w:rsidP="00C4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13" w:rsidRDefault="00370013" w:rsidP="00C44D49">
      <w:r>
        <w:separator/>
      </w:r>
    </w:p>
  </w:footnote>
  <w:footnote w:type="continuationSeparator" w:id="0">
    <w:p w:rsidR="00370013" w:rsidRDefault="00370013" w:rsidP="00C4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0E3"/>
    <w:rsid w:val="000120E3"/>
    <w:rsid w:val="000514C4"/>
    <w:rsid w:val="001D1446"/>
    <w:rsid w:val="002232BD"/>
    <w:rsid w:val="002B37A1"/>
    <w:rsid w:val="003458FE"/>
    <w:rsid w:val="00370013"/>
    <w:rsid w:val="00405A0E"/>
    <w:rsid w:val="00431D7C"/>
    <w:rsid w:val="00454A18"/>
    <w:rsid w:val="00457961"/>
    <w:rsid w:val="00493F5C"/>
    <w:rsid w:val="004E0137"/>
    <w:rsid w:val="004E2107"/>
    <w:rsid w:val="0052479A"/>
    <w:rsid w:val="00537B51"/>
    <w:rsid w:val="00581F97"/>
    <w:rsid w:val="00627BC6"/>
    <w:rsid w:val="006424E0"/>
    <w:rsid w:val="00660264"/>
    <w:rsid w:val="006D66D0"/>
    <w:rsid w:val="006F48B1"/>
    <w:rsid w:val="00731330"/>
    <w:rsid w:val="008E7B88"/>
    <w:rsid w:val="009B2605"/>
    <w:rsid w:val="00A54275"/>
    <w:rsid w:val="00B363BF"/>
    <w:rsid w:val="00B823B3"/>
    <w:rsid w:val="00B92713"/>
    <w:rsid w:val="00BB0E6F"/>
    <w:rsid w:val="00BE3403"/>
    <w:rsid w:val="00C20F08"/>
    <w:rsid w:val="00C44D49"/>
    <w:rsid w:val="00C51C4A"/>
    <w:rsid w:val="00CE5773"/>
    <w:rsid w:val="00CF7687"/>
    <w:rsid w:val="00D43014"/>
    <w:rsid w:val="00DA434D"/>
    <w:rsid w:val="00DE0B32"/>
    <w:rsid w:val="00EA4345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D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1D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1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张晓倩</dc:creator>
  <cp:keywords/>
  <dc:description/>
  <cp:lastModifiedBy>ZHONGM</cp:lastModifiedBy>
  <cp:revision>2</cp:revision>
  <dcterms:created xsi:type="dcterms:W3CDTF">2024-01-26T16:00:00Z</dcterms:created>
  <dcterms:modified xsi:type="dcterms:W3CDTF">2024-01-26T16:00:00Z</dcterms:modified>
</cp:coreProperties>
</file>