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09" w:rsidRPr="0077101F" w:rsidRDefault="00345829">
      <w:pPr>
        <w:jc w:val="center"/>
        <w:rPr>
          <w:b/>
          <w:sz w:val="28"/>
        </w:rPr>
      </w:pPr>
      <w:r w:rsidRPr="0077101F">
        <w:rPr>
          <w:rFonts w:hint="eastAsia"/>
          <w:b/>
          <w:sz w:val="28"/>
        </w:rPr>
        <w:t>海富通基金管理有限公司关于旗下部分基金</w:t>
      </w:r>
      <w:r w:rsidR="0077101F" w:rsidRPr="0077101F">
        <w:rPr>
          <w:rFonts w:hint="eastAsia"/>
          <w:b/>
          <w:sz w:val="28"/>
        </w:rPr>
        <w:t>新增</w:t>
      </w:r>
      <w:r w:rsidR="00CC420E">
        <w:rPr>
          <w:rFonts w:hint="eastAsia"/>
          <w:b/>
          <w:sz w:val="28"/>
        </w:rPr>
        <w:t>招商银行</w:t>
      </w:r>
      <w:r w:rsidR="000D6AD6" w:rsidRPr="000D6AD6">
        <w:rPr>
          <w:rFonts w:hint="eastAsia"/>
          <w:b/>
          <w:sz w:val="28"/>
        </w:rPr>
        <w:t>股份有限公司</w:t>
      </w:r>
      <w:r w:rsidRPr="0077101F">
        <w:rPr>
          <w:rFonts w:hint="eastAsia"/>
          <w:b/>
          <w:sz w:val="28"/>
        </w:rPr>
        <w:t>为销售机构的公告</w:t>
      </w:r>
    </w:p>
    <w:p w:rsidR="00E45809" w:rsidRPr="00C35D2C" w:rsidRDefault="00E45809">
      <w:pPr>
        <w:jc w:val="center"/>
      </w:pPr>
    </w:p>
    <w:p w:rsidR="00E45809" w:rsidRPr="0077101F" w:rsidRDefault="00CC420E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="000D6AD6" w:rsidRPr="000D6AD6">
        <w:rPr>
          <w:rFonts w:ascii="宋体" w:eastAsia="宋体" w:hAnsi="宋体" w:cs="宋体" w:hint="eastAsia"/>
          <w:color w:val="000000"/>
          <w:kern w:val="0"/>
          <w:szCs w:val="21"/>
        </w:rPr>
        <w:t>股份有限公司</w:t>
      </w:r>
      <w:r w:rsidR="006073B5" w:rsidRPr="006073B5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="006073B5" w:rsidRPr="006073B5">
        <w:rPr>
          <w:rFonts w:ascii="宋体" w:eastAsia="宋体" w:hAnsi="宋体" w:cs="宋体" w:hint="eastAsia"/>
          <w:color w:val="000000"/>
          <w:kern w:val="0"/>
          <w:szCs w:val="21"/>
        </w:rPr>
        <w:t>”）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的开放式基金销售资格已获中国证券监督管理委员会批准。根据海富通基金管理有限公司（以下简称"本公司"）与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签订的开放式证券投资基金销售协议，现增加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为本公司旗下部分基金的销售机构。现将有关事项公告如下：</w:t>
      </w:r>
    </w:p>
    <w:p w:rsidR="00E53E2F" w:rsidRPr="0077101F" w:rsidRDefault="00345829" w:rsidP="00BD1CA3">
      <w:pPr>
        <w:pStyle w:val="a8"/>
        <w:numPr>
          <w:ilvl w:val="0"/>
          <w:numId w:val="1"/>
        </w:numPr>
        <w:spacing w:line="360" w:lineRule="auto"/>
        <w:ind w:left="426" w:firstLineChars="0" w:firstLine="20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适用基金</w:t>
      </w:r>
    </w:p>
    <w:tbl>
      <w:tblPr>
        <w:tblW w:w="9100" w:type="dxa"/>
        <w:tblInd w:w="113" w:type="dxa"/>
        <w:tblLook w:val="04A0"/>
      </w:tblPr>
      <w:tblGrid>
        <w:gridCol w:w="1040"/>
        <w:gridCol w:w="1460"/>
        <w:gridCol w:w="6600"/>
      </w:tblGrid>
      <w:tr w:rsidR="0095673E" w:rsidRPr="00BD1CA3" w:rsidTr="00BD1CA3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序列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D1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95673E" w:rsidRPr="00BD1CA3" w:rsidTr="00BD1CA3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 w:rsidR="00CC420E" w:rsidRPr="00BD1CA3">
              <w:rPr>
                <w:rFonts w:ascii="宋体" w:eastAsia="宋体" w:hAnsi="宋体" w:cs="宋体"/>
                <w:color w:val="000000"/>
                <w:kern w:val="0"/>
                <w:sz w:val="22"/>
              </w:rPr>
              <w:t>006481</w:t>
            </w:r>
          </w:p>
        </w:tc>
        <w:tc>
          <w:tcPr>
            <w:tcW w:w="6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CC420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海富通上海清算所中高等级短期融资券指数证券投资基金</w:t>
            </w:r>
          </w:p>
        </w:tc>
      </w:tr>
      <w:tr w:rsidR="0095673E" w:rsidRPr="00BD1CA3" w:rsidTr="00BD1CA3">
        <w:trPr>
          <w:trHeight w:val="2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</w:t>
            </w:r>
            <w:r w:rsidR="00CC420E" w:rsidRPr="00BD1CA3">
              <w:rPr>
                <w:rFonts w:ascii="宋体" w:eastAsia="宋体" w:hAnsi="宋体" w:cs="宋体"/>
                <w:color w:val="000000"/>
                <w:kern w:val="0"/>
                <w:sz w:val="22"/>
              </w:rPr>
              <w:t>007073</w:t>
            </w:r>
          </w:p>
        </w:tc>
        <w:tc>
          <w:tcPr>
            <w:tcW w:w="6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5673E" w:rsidRPr="00BD1CA3" w:rsidTr="00BD1CA3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</w:t>
            </w:r>
            <w:r w:rsidR="00CC420E" w:rsidRPr="00BD1CA3">
              <w:rPr>
                <w:rFonts w:ascii="宋体" w:eastAsia="宋体" w:hAnsi="宋体" w:cs="宋体"/>
                <w:color w:val="000000"/>
                <w:kern w:val="0"/>
                <w:sz w:val="22"/>
              </w:rPr>
              <w:t>010262</w:t>
            </w:r>
          </w:p>
        </w:tc>
        <w:tc>
          <w:tcPr>
            <w:tcW w:w="6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CC420E" w:rsidP="00BD1CA3">
            <w:pPr>
              <w:widowControl/>
              <w:ind w:firstLine="198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海富通中债1-3年农发行债券指数证券投资基金</w:t>
            </w:r>
          </w:p>
        </w:tc>
      </w:tr>
      <w:tr w:rsidR="0095673E" w:rsidRPr="00BD1CA3" w:rsidTr="00BD1CA3">
        <w:trPr>
          <w:trHeight w:val="28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3E" w:rsidRPr="00BD1CA3" w:rsidRDefault="0095673E" w:rsidP="00BD1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</w:t>
            </w:r>
            <w:r w:rsidR="00CC420E" w:rsidRPr="00BD1CA3">
              <w:rPr>
                <w:rFonts w:ascii="宋体" w:eastAsia="宋体" w:hAnsi="宋体" w:cs="宋体"/>
                <w:color w:val="000000"/>
                <w:kern w:val="0"/>
                <w:sz w:val="22"/>
              </w:rPr>
              <w:t>010263</w:t>
            </w:r>
          </w:p>
        </w:tc>
        <w:tc>
          <w:tcPr>
            <w:tcW w:w="6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3E" w:rsidRPr="00BD1CA3" w:rsidRDefault="0095673E" w:rsidP="00BD1CA3">
            <w:pPr>
              <w:widowControl/>
              <w:ind w:firstLine="198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45809" w:rsidRPr="0077101F" w:rsidRDefault="00345829" w:rsidP="00BD1CA3">
      <w:pPr>
        <w:pStyle w:val="a8"/>
        <w:numPr>
          <w:ilvl w:val="0"/>
          <w:numId w:val="1"/>
        </w:numPr>
        <w:spacing w:line="360" w:lineRule="auto"/>
        <w:ind w:left="426" w:firstLineChars="0" w:firstLine="20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业务开通时间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自</w:t>
      </w:r>
      <w:r w:rsidR="006073B5" w:rsidRPr="0077101F">
        <w:rPr>
          <w:rFonts w:ascii="宋体" w:eastAsia="宋体" w:hAnsi="宋体" w:cs="宋体" w:hint="eastAsia"/>
          <w:color w:val="000000"/>
          <w:kern w:val="0"/>
          <w:szCs w:val="21"/>
        </w:rPr>
        <w:t>202</w:t>
      </w:r>
      <w:r w:rsidR="008A1FEA">
        <w:rPr>
          <w:rFonts w:ascii="宋体" w:eastAsia="宋体" w:hAnsi="宋体" w:cs="宋体"/>
          <w:color w:val="000000"/>
          <w:kern w:val="0"/>
          <w:szCs w:val="21"/>
        </w:rPr>
        <w:t>4</w:t>
      </w:r>
      <w:r w:rsidR="006073B5" w:rsidRPr="0077101F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8A1FEA">
        <w:rPr>
          <w:rFonts w:ascii="宋体" w:eastAsia="宋体" w:hAnsi="宋体" w:cs="宋体"/>
          <w:color w:val="000000"/>
          <w:kern w:val="0"/>
          <w:szCs w:val="21"/>
        </w:rPr>
        <w:t>1</w:t>
      </w:r>
      <w:r w:rsidR="00A2770B" w:rsidRPr="0077101F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CC420E">
        <w:rPr>
          <w:rFonts w:ascii="宋体" w:eastAsia="宋体" w:hAnsi="宋体" w:cs="宋体"/>
          <w:color w:val="000000"/>
          <w:kern w:val="0"/>
          <w:szCs w:val="21"/>
        </w:rPr>
        <w:t>30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日起，投资者可以在</w:t>
      </w:r>
      <w:r w:rsidR="00CC420E"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办理上述开放式基金的</w:t>
      </w:r>
      <w:r w:rsidR="00CC420E" w:rsidRPr="00CC420E">
        <w:rPr>
          <w:rFonts w:ascii="宋体" w:eastAsia="宋体" w:hAnsi="宋体" w:cs="宋体" w:hint="eastAsia"/>
          <w:color w:val="000000"/>
          <w:kern w:val="0"/>
          <w:szCs w:val="21"/>
        </w:rPr>
        <w:t>开户、申购、赎回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等业务。</w:t>
      </w:r>
      <w:r w:rsidR="00E25CB2" w:rsidRPr="00E25CB2">
        <w:rPr>
          <w:rFonts w:ascii="宋体" w:eastAsia="宋体" w:hAnsi="宋体" w:cs="宋体" w:hint="eastAsia"/>
          <w:color w:val="000000"/>
          <w:kern w:val="0"/>
          <w:szCs w:val="21"/>
        </w:rPr>
        <w:t>具体的购买端口、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业务流程、办理方式和办理时间等以</w:t>
      </w:r>
      <w:r w:rsidR="00CC420E"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的规定为准。</w:t>
      </w:r>
    </w:p>
    <w:p w:rsidR="00E45809" w:rsidRPr="0077101F" w:rsidRDefault="00345829" w:rsidP="00BD1CA3">
      <w:pPr>
        <w:pStyle w:val="a8"/>
        <w:numPr>
          <w:ilvl w:val="0"/>
          <w:numId w:val="1"/>
        </w:numPr>
        <w:spacing w:line="360" w:lineRule="auto"/>
        <w:ind w:left="426" w:firstLineChars="0" w:firstLine="20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适用投资者范围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符合法律法规及基金合同规定的投资者。</w:t>
      </w:r>
    </w:p>
    <w:p w:rsidR="00E45809" w:rsidRPr="0077101F" w:rsidRDefault="00345829" w:rsidP="00BD1CA3">
      <w:pPr>
        <w:pStyle w:val="a8"/>
        <w:numPr>
          <w:ilvl w:val="0"/>
          <w:numId w:val="1"/>
        </w:numPr>
        <w:spacing w:line="360" w:lineRule="auto"/>
        <w:ind w:left="426" w:firstLineChars="0" w:firstLine="20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重要提示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、投资者欲了解基金的详细信息，请仔细阅读上述开放式基金的基金合同、招募说明书及相关法律文件。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、特别提示投资人关注上述基金产品的基金合同、招募说明书等法律文件及基金管理人的风险提示。</w:t>
      </w:r>
    </w:p>
    <w:p w:rsidR="00E45809" w:rsidRPr="0077101F" w:rsidRDefault="00345829" w:rsidP="00BD1CA3">
      <w:pPr>
        <w:pStyle w:val="a8"/>
        <w:numPr>
          <w:ilvl w:val="0"/>
          <w:numId w:val="1"/>
        </w:numPr>
        <w:spacing w:line="360" w:lineRule="auto"/>
        <w:ind w:left="426" w:firstLineChars="0" w:firstLine="20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投资者可通过以下途径咨询有关详情：</w:t>
      </w:r>
    </w:p>
    <w:p w:rsidR="000D6AD6" w:rsidRPr="000D6AD6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CC420E">
        <w:rPr>
          <w:rFonts w:ascii="宋体" w:eastAsia="宋体" w:hAnsi="宋体" w:cs="宋体" w:hint="eastAsia"/>
          <w:color w:val="000000"/>
          <w:kern w:val="0"/>
          <w:szCs w:val="21"/>
        </w:rPr>
        <w:t>招商银行</w:t>
      </w:r>
      <w:r w:rsidR="000D6AD6" w:rsidRPr="000D6AD6">
        <w:rPr>
          <w:rFonts w:ascii="宋体" w:eastAsia="宋体" w:hAnsi="宋体" w:cs="宋体" w:hint="eastAsia"/>
          <w:color w:val="000000"/>
          <w:kern w:val="0"/>
          <w:szCs w:val="21"/>
        </w:rPr>
        <w:t>股份有限公司</w:t>
      </w:r>
    </w:p>
    <w:p w:rsidR="00CE6CB5" w:rsidRPr="00CE6CB5" w:rsidRDefault="00CE6CB5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CE6CB5">
        <w:rPr>
          <w:rFonts w:ascii="宋体" w:eastAsia="宋体" w:hAnsi="宋体" w:cs="宋体" w:hint="eastAsia"/>
          <w:color w:val="000000"/>
          <w:kern w:val="0"/>
          <w:szCs w:val="21"/>
        </w:rPr>
        <w:t>客户服务电话：95555</w:t>
      </w:r>
    </w:p>
    <w:p w:rsidR="00583A6E" w:rsidRDefault="00CE6CB5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CE6CB5">
        <w:rPr>
          <w:rFonts w:ascii="宋体" w:eastAsia="宋体" w:hAnsi="宋体" w:cs="宋体" w:hint="eastAsia"/>
          <w:color w:val="000000"/>
          <w:kern w:val="0"/>
          <w:szCs w:val="21"/>
        </w:rPr>
        <w:t>网站：www.cmbchina.com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、海富通基金管理有限公司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客户服务电话：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40088-40099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（免长途话费）</w:t>
      </w: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网站：</w:t>
      </w:r>
      <w:r w:rsidRPr="0077101F">
        <w:rPr>
          <w:rFonts w:ascii="宋体" w:eastAsia="宋体" w:hAnsi="宋体" w:cs="宋体"/>
          <w:color w:val="000000"/>
          <w:kern w:val="0"/>
          <w:szCs w:val="21"/>
        </w:rPr>
        <w:t>www.h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ftfund</w:t>
      </w:r>
      <w:r w:rsidRPr="0077101F">
        <w:rPr>
          <w:rFonts w:ascii="宋体" w:eastAsia="宋体" w:hAnsi="宋体" w:cs="宋体"/>
          <w:color w:val="000000"/>
          <w:kern w:val="0"/>
          <w:szCs w:val="21"/>
        </w:rPr>
        <w:t>.com</w:t>
      </w:r>
    </w:p>
    <w:p w:rsidR="00E45809" w:rsidRPr="0077101F" w:rsidRDefault="00E4580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本公告的解释权归海富通基金管理有限公司。</w:t>
      </w:r>
    </w:p>
    <w:p w:rsidR="00E45809" w:rsidRPr="0077101F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345829" w:rsidP="00BD1CA3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E45809" w:rsidRPr="0077101F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E45809" w:rsidP="00BD1CA3">
      <w:pPr>
        <w:spacing w:line="360" w:lineRule="auto"/>
        <w:ind w:firstLine="200"/>
        <w:rPr>
          <w:rFonts w:ascii="宋体" w:eastAsia="宋体" w:hAnsi="宋体" w:cs="宋体"/>
          <w:color w:val="000000"/>
          <w:kern w:val="0"/>
          <w:szCs w:val="21"/>
        </w:rPr>
      </w:pPr>
    </w:p>
    <w:p w:rsidR="00E45809" w:rsidRPr="0077101F" w:rsidRDefault="00345829" w:rsidP="00BD1CA3">
      <w:pPr>
        <w:spacing w:line="360" w:lineRule="auto"/>
        <w:ind w:firstLine="200"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海富通基金管理有限公司</w:t>
      </w:r>
    </w:p>
    <w:p w:rsidR="00E45809" w:rsidRPr="0077101F" w:rsidRDefault="006073B5" w:rsidP="00BD1CA3">
      <w:pPr>
        <w:spacing w:line="360" w:lineRule="auto"/>
        <w:ind w:firstLine="200"/>
        <w:jc w:val="right"/>
        <w:rPr>
          <w:szCs w:val="21"/>
        </w:rPr>
      </w:pP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202</w:t>
      </w:r>
      <w:r w:rsidR="000D6AD6">
        <w:rPr>
          <w:rFonts w:ascii="宋体" w:eastAsia="宋体" w:hAnsi="宋体" w:cs="宋体"/>
          <w:color w:val="000000"/>
          <w:kern w:val="0"/>
          <w:szCs w:val="21"/>
        </w:rPr>
        <w:t>4</w:t>
      </w:r>
      <w:r w:rsidRPr="0077101F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0D6AD6">
        <w:rPr>
          <w:rFonts w:ascii="宋体" w:eastAsia="宋体" w:hAnsi="宋体" w:cs="宋体"/>
          <w:color w:val="000000"/>
          <w:kern w:val="0"/>
          <w:szCs w:val="21"/>
        </w:rPr>
        <w:t>1</w:t>
      </w:r>
      <w:r w:rsidR="00A2770B" w:rsidRPr="0077101F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CE6CB5">
        <w:rPr>
          <w:rFonts w:ascii="宋体" w:eastAsia="宋体" w:hAnsi="宋体" w:cs="宋体"/>
          <w:color w:val="000000"/>
          <w:kern w:val="0"/>
          <w:szCs w:val="21"/>
        </w:rPr>
        <w:t>26</w:t>
      </w:r>
      <w:r w:rsidR="00C35D2C" w:rsidRPr="0077101F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E45809" w:rsidRPr="0077101F" w:rsidSect="00740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24" w:rsidRDefault="00682F24" w:rsidP="0077101F">
      <w:r>
        <w:separator/>
      </w:r>
    </w:p>
  </w:endnote>
  <w:endnote w:type="continuationSeparator" w:id="0">
    <w:p w:rsidR="00682F24" w:rsidRDefault="00682F24" w:rsidP="0077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24" w:rsidRDefault="00682F24" w:rsidP="0077101F">
      <w:r>
        <w:separator/>
      </w:r>
    </w:p>
  </w:footnote>
  <w:footnote w:type="continuationSeparator" w:id="0">
    <w:p w:rsidR="00682F24" w:rsidRDefault="00682F24" w:rsidP="0077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77A"/>
    <w:multiLevelType w:val="multilevel"/>
    <w:tmpl w:val="59DE577A"/>
    <w:lvl w:ilvl="0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4A55"/>
    <w:rsid w:val="00005469"/>
    <w:rsid w:val="00032C5D"/>
    <w:rsid w:val="000357F3"/>
    <w:rsid w:val="00083B73"/>
    <w:rsid w:val="0008502C"/>
    <w:rsid w:val="00096298"/>
    <w:rsid w:val="000B2573"/>
    <w:rsid w:val="000B6F9C"/>
    <w:rsid w:val="000D5889"/>
    <w:rsid w:val="000D6AD6"/>
    <w:rsid w:val="000E0C84"/>
    <w:rsid w:val="000E514C"/>
    <w:rsid w:val="00147B04"/>
    <w:rsid w:val="001C5C00"/>
    <w:rsid w:val="001C5ECD"/>
    <w:rsid w:val="001D0C26"/>
    <w:rsid w:val="001E4EF6"/>
    <w:rsid w:val="00222456"/>
    <w:rsid w:val="00223800"/>
    <w:rsid w:val="00246F55"/>
    <w:rsid w:val="00261808"/>
    <w:rsid w:val="002A0546"/>
    <w:rsid w:val="002A1B80"/>
    <w:rsid w:val="002C7225"/>
    <w:rsid w:val="00313FB2"/>
    <w:rsid w:val="00340105"/>
    <w:rsid w:val="00341DE2"/>
    <w:rsid w:val="0034274C"/>
    <w:rsid w:val="00345829"/>
    <w:rsid w:val="003A00B9"/>
    <w:rsid w:val="003A2C02"/>
    <w:rsid w:val="003A3742"/>
    <w:rsid w:val="003C3309"/>
    <w:rsid w:val="003D2B15"/>
    <w:rsid w:val="00401238"/>
    <w:rsid w:val="00404593"/>
    <w:rsid w:val="00413728"/>
    <w:rsid w:val="0041697B"/>
    <w:rsid w:val="00416E88"/>
    <w:rsid w:val="00462564"/>
    <w:rsid w:val="00466A31"/>
    <w:rsid w:val="004756F3"/>
    <w:rsid w:val="004D06C5"/>
    <w:rsid w:val="004D5917"/>
    <w:rsid w:val="004E79F4"/>
    <w:rsid w:val="00514067"/>
    <w:rsid w:val="0054092F"/>
    <w:rsid w:val="00543656"/>
    <w:rsid w:val="00547042"/>
    <w:rsid w:val="00555514"/>
    <w:rsid w:val="00573B45"/>
    <w:rsid w:val="00576A7E"/>
    <w:rsid w:val="00583A6E"/>
    <w:rsid w:val="00586C3E"/>
    <w:rsid w:val="005F4AD0"/>
    <w:rsid w:val="00606630"/>
    <w:rsid w:val="006073B5"/>
    <w:rsid w:val="00620A26"/>
    <w:rsid w:val="00653CC5"/>
    <w:rsid w:val="00682F24"/>
    <w:rsid w:val="0068338E"/>
    <w:rsid w:val="007030C6"/>
    <w:rsid w:val="00740FB5"/>
    <w:rsid w:val="007450F9"/>
    <w:rsid w:val="007474D4"/>
    <w:rsid w:val="00764A71"/>
    <w:rsid w:val="0077101F"/>
    <w:rsid w:val="007E3645"/>
    <w:rsid w:val="008337A4"/>
    <w:rsid w:val="00834AD7"/>
    <w:rsid w:val="00841E96"/>
    <w:rsid w:val="00851DE0"/>
    <w:rsid w:val="00890A40"/>
    <w:rsid w:val="008A1FEA"/>
    <w:rsid w:val="008C1285"/>
    <w:rsid w:val="008D0BC9"/>
    <w:rsid w:val="008D45B4"/>
    <w:rsid w:val="008D51C8"/>
    <w:rsid w:val="00903B22"/>
    <w:rsid w:val="00910BAA"/>
    <w:rsid w:val="0095673E"/>
    <w:rsid w:val="00962966"/>
    <w:rsid w:val="009C38FE"/>
    <w:rsid w:val="00A10B87"/>
    <w:rsid w:val="00A14140"/>
    <w:rsid w:val="00A2590C"/>
    <w:rsid w:val="00A2770B"/>
    <w:rsid w:val="00A305DB"/>
    <w:rsid w:val="00A50246"/>
    <w:rsid w:val="00A62F61"/>
    <w:rsid w:val="00A94191"/>
    <w:rsid w:val="00AA2004"/>
    <w:rsid w:val="00AA2324"/>
    <w:rsid w:val="00AB0B89"/>
    <w:rsid w:val="00AC191D"/>
    <w:rsid w:val="00AD69DB"/>
    <w:rsid w:val="00B01D22"/>
    <w:rsid w:val="00B5643F"/>
    <w:rsid w:val="00B663C1"/>
    <w:rsid w:val="00BD1CA3"/>
    <w:rsid w:val="00C01D25"/>
    <w:rsid w:val="00C11378"/>
    <w:rsid w:val="00C26CDD"/>
    <w:rsid w:val="00C35D2C"/>
    <w:rsid w:val="00C42286"/>
    <w:rsid w:val="00C44FED"/>
    <w:rsid w:val="00C63FFB"/>
    <w:rsid w:val="00C91B82"/>
    <w:rsid w:val="00C9395C"/>
    <w:rsid w:val="00CB762E"/>
    <w:rsid w:val="00CC420E"/>
    <w:rsid w:val="00CE6CB5"/>
    <w:rsid w:val="00CE7F61"/>
    <w:rsid w:val="00D37F37"/>
    <w:rsid w:val="00D46619"/>
    <w:rsid w:val="00E25CB2"/>
    <w:rsid w:val="00E305DD"/>
    <w:rsid w:val="00E45809"/>
    <w:rsid w:val="00E467D8"/>
    <w:rsid w:val="00E53E2F"/>
    <w:rsid w:val="00E667EB"/>
    <w:rsid w:val="00EA1D17"/>
    <w:rsid w:val="00ED6DEC"/>
    <w:rsid w:val="00EF1004"/>
    <w:rsid w:val="00EF4D5E"/>
    <w:rsid w:val="00F11396"/>
    <w:rsid w:val="00F156F9"/>
    <w:rsid w:val="00F2470B"/>
    <w:rsid w:val="00F86209"/>
    <w:rsid w:val="00F8796B"/>
    <w:rsid w:val="00F9076F"/>
    <w:rsid w:val="00FD1C3B"/>
    <w:rsid w:val="56B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40FB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4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40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40FB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740F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40F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40FB5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740FB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40FB5"/>
    <w:rPr>
      <w:sz w:val="18"/>
      <w:szCs w:val="18"/>
    </w:rPr>
  </w:style>
  <w:style w:type="paragraph" w:styleId="a9">
    <w:name w:val="Revision"/>
    <w:hidden/>
    <w:uiPriority w:val="99"/>
    <w:semiHidden/>
    <w:rsid w:val="00C35D2C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710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E5C35-1929-488F-80A5-39EB8B4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4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卢韵竹</dc:creator>
  <cp:lastModifiedBy>ZHONGM</cp:lastModifiedBy>
  <cp:revision>2</cp:revision>
  <dcterms:created xsi:type="dcterms:W3CDTF">2024-01-25T16:01:00Z</dcterms:created>
  <dcterms:modified xsi:type="dcterms:W3CDTF">2024-01-25T16:01:00Z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