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AD" w:rsidRDefault="001024EE" w:rsidP="00B31A6E">
      <w:pPr>
        <w:tabs>
          <w:tab w:val="left" w:pos="10440"/>
        </w:tabs>
        <w:jc w:val="center"/>
        <w:rPr>
          <w:b/>
          <w:bCs/>
          <w:color w:val="000000"/>
          <w:sz w:val="24"/>
          <w:szCs w:val="24"/>
        </w:rPr>
      </w:pPr>
      <w:bookmarkStart w:id="0" w:name="OLE_LINK1"/>
      <w:bookmarkStart w:id="1" w:name="_GoBack"/>
      <w:r>
        <w:rPr>
          <w:rFonts w:hAnsi="宋体" w:cs="宋体" w:hint="eastAsia"/>
          <w:b/>
          <w:bCs/>
          <w:color w:val="000000"/>
          <w:sz w:val="24"/>
          <w:szCs w:val="24"/>
        </w:rPr>
        <w:t>华夏基金管理有限公司关于旗下基金投资非公开发行股票的公告</w:t>
      </w:r>
      <w:bookmarkEnd w:id="0"/>
    </w:p>
    <w:p w:rsidR="005669AD" w:rsidRDefault="005669AD" w:rsidP="00B31A6E">
      <w:pPr>
        <w:tabs>
          <w:tab w:val="left" w:pos="10440"/>
        </w:tabs>
        <w:spacing w:line="360" w:lineRule="auto"/>
        <w:ind w:firstLineChars="200" w:firstLine="482"/>
        <w:jc w:val="center"/>
        <w:rPr>
          <w:b/>
          <w:bCs/>
          <w:color w:val="000000"/>
          <w:sz w:val="24"/>
          <w:szCs w:val="24"/>
        </w:rPr>
      </w:pPr>
    </w:p>
    <w:p w:rsidR="005669AD" w:rsidRDefault="001024EE" w:rsidP="00B31A6E">
      <w:pPr>
        <w:spacing w:line="360" w:lineRule="auto"/>
        <w:ind w:firstLine="420"/>
        <w:rPr>
          <w:sz w:val="24"/>
          <w:szCs w:val="24"/>
        </w:rPr>
      </w:pPr>
      <w:r>
        <w:rPr>
          <w:rFonts w:hint="eastAsia"/>
          <w:sz w:val="24"/>
          <w:szCs w:val="24"/>
        </w:rPr>
        <w:t>华夏基金管理有限公司（以下简称“本公司”）旗下基金参加了北京诺思兰德生物技术股份有限公司（证券简称：诺思兰德，代码：</w:t>
      </w:r>
      <w:r>
        <w:rPr>
          <w:rFonts w:hint="eastAsia"/>
          <w:sz w:val="24"/>
          <w:szCs w:val="24"/>
        </w:rPr>
        <w:t>430047</w:t>
      </w:r>
      <w:r>
        <w:rPr>
          <w:rFonts w:hint="eastAsia"/>
          <w:sz w:val="24"/>
          <w:szCs w:val="24"/>
        </w:rPr>
        <w:t>）非公开发</w:t>
      </w:r>
      <w:r>
        <w:rPr>
          <w:sz w:val="24"/>
          <w:szCs w:val="24"/>
        </w:rPr>
        <w:t>行</w:t>
      </w:r>
      <w:r>
        <w:rPr>
          <w:sz w:val="24"/>
          <w:szCs w:val="24"/>
        </w:rPr>
        <w:t>A</w:t>
      </w:r>
      <w:r>
        <w:rPr>
          <w:sz w:val="24"/>
          <w:szCs w:val="24"/>
        </w:rPr>
        <w:t>股股票的认购。根据中国证监会《关于基金投资非公开发行股票等流通受限证券有关问题的通知》等有关规定，本公司现将旗下公募基金投资</w:t>
      </w:r>
      <w:r>
        <w:rPr>
          <w:rFonts w:hint="eastAsia"/>
          <w:sz w:val="24"/>
          <w:szCs w:val="24"/>
        </w:rPr>
        <w:t>诺思兰德</w:t>
      </w:r>
      <w:r>
        <w:rPr>
          <w:sz w:val="24"/>
          <w:szCs w:val="24"/>
        </w:rPr>
        <w:t>本次非公开发行</w:t>
      </w:r>
      <w:r>
        <w:rPr>
          <w:sz w:val="24"/>
          <w:szCs w:val="24"/>
        </w:rPr>
        <w:t>A</w:t>
      </w:r>
      <w:r>
        <w:rPr>
          <w:sz w:val="24"/>
          <w:szCs w:val="24"/>
        </w:rPr>
        <w:t>股</w:t>
      </w:r>
      <w:r>
        <w:rPr>
          <w:rFonts w:hint="eastAsia"/>
          <w:sz w:val="24"/>
          <w:szCs w:val="24"/>
        </w:rPr>
        <w:t>股票的相关信息公告如下：</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17"/>
        <w:gridCol w:w="1070"/>
        <w:gridCol w:w="1923"/>
        <w:gridCol w:w="993"/>
        <w:gridCol w:w="1701"/>
        <w:gridCol w:w="992"/>
        <w:gridCol w:w="1276"/>
      </w:tblGrid>
      <w:tr w:rsidR="005669AD" w:rsidTr="006C6D6C">
        <w:tc>
          <w:tcPr>
            <w:tcW w:w="1560" w:type="dxa"/>
            <w:vAlign w:val="center"/>
          </w:tcPr>
          <w:p w:rsidR="005669AD" w:rsidRDefault="001024EE" w:rsidP="00B31A6E">
            <w:pPr>
              <w:jc w:val="center"/>
            </w:pPr>
            <w:bookmarkStart w:id="2" w:name="OLE_LINK17"/>
            <w:bookmarkStart w:id="3" w:name="OLE_LINK18"/>
            <w:r>
              <w:rPr>
                <w:rFonts w:hint="eastAsia"/>
              </w:rPr>
              <w:t>基金</w:t>
            </w:r>
          </w:p>
          <w:p w:rsidR="005669AD" w:rsidRDefault="001024EE" w:rsidP="00B31A6E">
            <w:pPr>
              <w:jc w:val="center"/>
            </w:pPr>
            <w:r>
              <w:rPr>
                <w:rFonts w:hint="eastAsia"/>
              </w:rPr>
              <w:t>名称</w:t>
            </w:r>
          </w:p>
        </w:tc>
        <w:tc>
          <w:tcPr>
            <w:tcW w:w="1117" w:type="dxa"/>
            <w:vAlign w:val="center"/>
          </w:tcPr>
          <w:p w:rsidR="005669AD" w:rsidRDefault="001024EE" w:rsidP="00B31A6E">
            <w:pPr>
              <w:jc w:val="center"/>
            </w:pPr>
            <w:r>
              <w:rPr>
                <w:rFonts w:hint="eastAsia"/>
              </w:rPr>
              <w:t>证券名称</w:t>
            </w:r>
          </w:p>
        </w:tc>
        <w:tc>
          <w:tcPr>
            <w:tcW w:w="1070" w:type="dxa"/>
            <w:vAlign w:val="center"/>
          </w:tcPr>
          <w:p w:rsidR="005669AD" w:rsidRDefault="001024EE" w:rsidP="00B31A6E">
            <w:pPr>
              <w:jc w:val="center"/>
            </w:pPr>
            <w:r>
              <w:rPr>
                <w:rFonts w:hint="eastAsia"/>
              </w:rPr>
              <w:t>认购数量</w:t>
            </w:r>
          </w:p>
          <w:p w:rsidR="005669AD" w:rsidRDefault="001024EE" w:rsidP="00B31A6E">
            <w:pPr>
              <w:jc w:val="center"/>
            </w:pPr>
            <w:r>
              <w:rPr>
                <w:rFonts w:hint="eastAsia"/>
              </w:rPr>
              <w:t>（股）</w:t>
            </w:r>
          </w:p>
        </w:tc>
        <w:tc>
          <w:tcPr>
            <w:tcW w:w="1923" w:type="dxa"/>
            <w:vAlign w:val="center"/>
          </w:tcPr>
          <w:p w:rsidR="005669AD" w:rsidRDefault="001024EE" w:rsidP="00B31A6E">
            <w:pPr>
              <w:jc w:val="center"/>
            </w:pPr>
            <w:r>
              <w:rPr>
                <w:rFonts w:hint="eastAsia"/>
              </w:rPr>
              <w:t>总成本</w:t>
            </w:r>
          </w:p>
          <w:p w:rsidR="005669AD" w:rsidRDefault="001024EE" w:rsidP="00B31A6E">
            <w:pPr>
              <w:jc w:val="center"/>
            </w:pPr>
            <w:r>
              <w:rPr>
                <w:rFonts w:hint="eastAsia"/>
              </w:rPr>
              <w:t>（元）</w:t>
            </w:r>
          </w:p>
        </w:tc>
        <w:tc>
          <w:tcPr>
            <w:tcW w:w="993" w:type="dxa"/>
            <w:vAlign w:val="center"/>
          </w:tcPr>
          <w:p w:rsidR="005669AD" w:rsidRDefault="001024EE" w:rsidP="00B31A6E">
            <w:pPr>
              <w:jc w:val="center"/>
            </w:pPr>
            <w:r>
              <w:rPr>
                <w:rFonts w:hint="eastAsia"/>
              </w:rPr>
              <w:t>总成本占基金资产净值比例</w:t>
            </w:r>
          </w:p>
        </w:tc>
        <w:tc>
          <w:tcPr>
            <w:tcW w:w="1701" w:type="dxa"/>
            <w:vAlign w:val="center"/>
          </w:tcPr>
          <w:p w:rsidR="005669AD" w:rsidRDefault="001024EE" w:rsidP="00B31A6E">
            <w:pPr>
              <w:jc w:val="center"/>
            </w:pPr>
            <w:r>
              <w:rPr>
                <w:rFonts w:hint="eastAsia"/>
              </w:rPr>
              <w:t>账面价值</w:t>
            </w:r>
          </w:p>
          <w:p w:rsidR="005669AD" w:rsidRDefault="001024EE" w:rsidP="00B31A6E">
            <w:pPr>
              <w:jc w:val="center"/>
            </w:pPr>
            <w:r>
              <w:rPr>
                <w:rFonts w:hint="eastAsia"/>
              </w:rPr>
              <w:t>（元）</w:t>
            </w:r>
          </w:p>
        </w:tc>
        <w:tc>
          <w:tcPr>
            <w:tcW w:w="992" w:type="dxa"/>
            <w:vAlign w:val="center"/>
          </w:tcPr>
          <w:p w:rsidR="005669AD" w:rsidRDefault="001024EE" w:rsidP="00B31A6E">
            <w:pPr>
              <w:jc w:val="center"/>
            </w:pPr>
            <w:r>
              <w:rPr>
                <w:rFonts w:hint="eastAsia"/>
              </w:rPr>
              <w:t>账面价值占基金资产净值比例</w:t>
            </w:r>
          </w:p>
        </w:tc>
        <w:tc>
          <w:tcPr>
            <w:tcW w:w="1276" w:type="dxa"/>
            <w:vAlign w:val="center"/>
          </w:tcPr>
          <w:p w:rsidR="005669AD" w:rsidRDefault="001024EE" w:rsidP="00B31A6E">
            <w:pPr>
              <w:jc w:val="center"/>
            </w:pPr>
            <w:r>
              <w:rPr>
                <w:rFonts w:hint="eastAsia"/>
              </w:rPr>
              <w:t>限售期</w:t>
            </w:r>
          </w:p>
        </w:tc>
      </w:tr>
      <w:tr w:rsidR="00133939">
        <w:tc>
          <w:tcPr>
            <w:tcW w:w="1560" w:type="dxa"/>
            <w:vAlign w:val="center"/>
          </w:tcPr>
          <w:p w:rsidR="00133939" w:rsidRDefault="00B31A6E" w:rsidP="00B31A6E">
            <w:pPr>
              <w:jc w:val="left"/>
            </w:pPr>
            <w:r>
              <w:t>华夏成长精选</w:t>
            </w:r>
            <w:r>
              <w:t>6</w:t>
            </w:r>
            <w:r>
              <w:t>个月定期开放混合型发起式证券投资基金</w:t>
            </w:r>
          </w:p>
        </w:tc>
        <w:tc>
          <w:tcPr>
            <w:tcW w:w="1117" w:type="dxa"/>
            <w:vAlign w:val="center"/>
          </w:tcPr>
          <w:p w:rsidR="00133939" w:rsidRDefault="00B31A6E" w:rsidP="00B31A6E">
            <w:pPr>
              <w:jc w:val="left"/>
            </w:pPr>
            <w:r>
              <w:t>诺思兰德</w:t>
            </w:r>
          </w:p>
        </w:tc>
        <w:tc>
          <w:tcPr>
            <w:tcW w:w="1070" w:type="dxa"/>
            <w:vAlign w:val="center"/>
          </w:tcPr>
          <w:p w:rsidR="00133939" w:rsidRDefault="00B31A6E" w:rsidP="00B31A6E">
            <w:pPr>
              <w:jc w:val="right"/>
            </w:pPr>
            <w:r>
              <w:t>488,486</w:t>
            </w:r>
          </w:p>
        </w:tc>
        <w:tc>
          <w:tcPr>
            <w:tcW w:w="1923" w:type="dxa"/>
            <w:vAlign w:val="center"/>
          </w:tcPr>
          <w:p w:rsidR="00133939" w:rsidRDefault="00B31A6E" w:rsidP="00B31A6E">
            <w:pPr>
              <w:jc w:val="right"/>
            </w:pPr>
            <w:r>
              <w:t>7,000,004.38</w:t>
            </w:r>
          </w:p>
        </w:tc>
        <w:tc>
          <w:tcPr>
            <w:tcW w:w="993" w:type="dxa"/>
            <w:vAlign w:val="center"/>
          </w:tcPr>
          <w:p w:rsidR="00133939" w:rsidRDefault="00B31A6E" w:rsidP="00B31A6E">
            <w:pPr>
              <w:jc w:val="right"/>
            </w:pPr>
            <w:r>
              <w:t>1.46%</w:t>
            </w:r>
          </w:p>
        </w:tc>
        <w:tc>
          <w:tcPr>
            <w:tcW w:w="1701" w:type="dxa"/>
            <w:vAlign w:val="center"/>
          </w:tcPr>
          <w:p w:rsidR="00133939" w:rsidRDefault="00B31A6E" w:rsidP="00B31A6E">
            <w:pPr>
              <w:jc w:val="right"/>
            </w:pPr>
            <w:r>
              <w:t>7,151,435.04</w:t>
            </w:r>
          </w:p>
        </w:tc>
        <w:tc>
          <w:tcPr>
            <w:tcW w:w="992" w:type="dxa"/>
            <w:vAlign w:val="center"/>
          </w:tcPr>
          <w:p w:rsidR="00133939" w:rsidRDefault="00B31A6E" w:rsidP="00B31A6E">
            <w:pPr>
              <w:jc w:val="right"/>
            </w:pPr>
            <w:r>
              <w:t>1.49%</w:t>
            </w:r>
          </w:p>
        </w:tc>
        <w:tc>
          <w:tcPr>
            <w:tcW w:w="1276" w:type="dxa"/>
            <w:vAlign w:val="center"/>
          </w:tcPr>
          <w:p w:rsidR="00133939" w:rsidRDefault="00B31A6E" w:rsidP="00B31A6E">
            <w:pPr>
              <w:jc w:val="center"/>
            </w:pPr>
            <w:r>
              <w:t>6</w:t>
            </w:r>
            <w:r>
              <w:t>个月</w:t>
            </w:r>
          </w:p>
        </w:tc>
      </w:tr>
      <w:tr w:rsidR="00133939">
        <w:tc>
          <w:tcPr>
            <w:tcW w:w="1560" w:type="dxa"/>
            <w:vAlign w:val="center"/>
          </w:tcPr>
          <w:p w:rsidR="00133939" w:rsidRDefault="00B31A6E" w:rsidP="00B31A6E">
            <w:pPr>
              <w:jc w:val="left"/>
            </w:pPr>
            <w:r>
              <w:t>华夏北交所创新中小企业精选两年定期开放混合型发起式证券投资基金</w:t>
            </w:r>
          </w:p>
        </w:tc>
        <w:tc>
          <w:tcPr>
            <w:tcW w:w="1117" w:type="dxa"/>
            <w:vAlign w:val="center"/>
          </w:tcPr>
          <w:p w:rsidR="00133939" w:rsidRDefault="00B31A6E" w:rsidP="00B31A6E">
            <w:pPr>
              <w:jc w:val="left"/>
            </w:pPr>
            <w:r>
              <w:t>诺思兰德</w:t>
            </w:r>
          </w:p>
        </w:tc>
        <w:tc>
          <w:tcPr>
            <w:tcW w:w="1070" w:type="dxa"/>
            <w:vAlign w:val="center"/>
          </w:tcPr>
          <w:p w:rsidR="00133939" w:rsidRDefault="00B31A6E" w:rsidP="00B31A6E">
            <w:pPr>
              <w:jc w:val="right"/>
            </w:pPr>
            <w:r>
              <w:t>697,836</w:t>
            </w:r>
          </w:p>
        </w:tc>
        <w:tc>
          <w:tcPr>
            <w:tcW w:w="1923" w:type="dxa"/>
            <w:vAlign w:val="center"/>
          </w:tcPr>
          <w:p w:rsidR="00133939" w:rsidRDefault="00B31A6E" w:rsidP="00B31A6E">
            <w:pPr>
              <w:jc w:val="right"/>
            </w:pPr>
            <w:r>
              <w:t>9,999,989.88</w:t>
            </w:r>
          </w:p>
        </w:tc>
        <w:tc>
          <w:tcPr>
            <w:tcW w:w="993" w:type="dxa"/>
            <w:vAlign w:val="center"/>
          </w:tcPr>
          <w:p w:rsidR="00133939" w:rsidRDefault="00B31A6E" w:rsidP="00B31A6E">
            <w:pPr>
              <w:jc w:val="right"/>
            </w:pPr>
            <w:r>
              <w:t>2.73%</w:t>
            </w:r>
          </w:p>
        </w:tc>
        <w:tc>
          <w:tcPr>
            <w:tcW w:w="1701" w:type="dxa"/>
            <w:vAlign w:val="center"/>
          </w:tcPr>
          <w:p w:rsidR="00133939" w:rsidRDefault="00B31A6E" w:rsidP="00B31A6E">
            <w:pPr>
              <w:jc w:val="right"/>
            </w:pPr>
            <w:r>
              <w:t>10,216,319.04</w:t>
            </w:r>
          </w:p>
        </w:tc>
        <w:tc>
          <w:tcPr>
            <w:tcW w:w="992" w:type="dxa"/>
            <w:vAlign w:val="center"/>
          </w:tcPr>
          <w:p w:rsidR="00133939" w:rsidRDefault="00B31A6E" w:rsidP="00B31A6E">
            <w:pPr>
              <w:jc w:val="right"/>
            </w:pPr>
            <w:r>
              <w:t>2.79%</w:t>
            </w:r>
          </w:p>
        </w:tc>
        <w:tc>
          <w:tcPr>
            <w:tcW w:w="1276" w:type="dxa"/>
            <w:vAlign w:val="center"/>
          </w:tcPr>
          <w:p w:rsidR="00133939" w:rsidRDefault="00B31A6E" w:rsidP="00B31A6E">
            <w:pPr>
              <w:jc w:val="center"/>
            </w:pPr>
            <w:r>
              <w:t>6</w:t>
            </w:r>
            <w:r>
              <w:t>个月</w:t>
            </w:r>
          </w:p>
        </w:tc>
      </w:tr>
    </w:tbl>
    <w:bookmarkEnd w:id="2"/>
    <w:bookmarkEnd w:id="3"/>
    <w:p w:rsidR="005669AD" w:rsidRDefault="001024EE" w:rsidP="00B31A6E">
      <w:pPr>
        <w:tabs>
          <w:tab w:val="left" w:pos="10440"/>
        </w:tabs>
        <w:spacing w:line="360" w:lineRule="auto"/>
        <w:ind w:firstLineChars="200" w:firstLine="420"/>
        <w:rPr>
          <w:color w:val="000000"/>
        </w:rPr>
      </w:pPr>
      <w:r>
        <w:rPr>
          <w:rFonts w:hAnsi="宋体" w:cs="宋体" w:hint="eastAsia"/>
          <w:color w:val="000000"/>
        </w:rPr>
        <w:t>注：基金资产净值、账面价值为</w:t>
      </w:r>
      <w:r>
        <w:rPr>
          <w:color w:val="000000"/>
        </w:rPr>
        <w:t>2024</w:t>
      </w:r>
      <w:r>
        <w:rPr>
          <w:color w:val="000000"/>
        </w:rPr>
        <w:t>年</w:t>
      </w:r>
      <w:r>
        <w:rPr>
          <w:color w:val="000000"/>
        </w:rPr>
        <w:t>1</w:t>
      </w:r>
      <w:r>
        <w:rPr>
          <w:color w:val="000000"/>
        </w:rPr>
        <w:t>月</w:t>
      </w:r>
      <w:r>
        <w:rPr>
          <w:color w:val="000000"/>
        </w:rPr>
        <w:t>22</w:t>
      </w:r>
      <w:r>
        <w:rPr>
          <w:color w:val="000000"/>
        </w:rPr>
        <w:t>日</w:t>
      </w:r>
      <w:r>
        <w:rPr>
          <w:rFonts w:hAnsi="宋体" w:cs="宋体" w:hint="eastAsia"/>
          <w:color w:val="000000"/>
        </w:rPr>
        <w:t>数据。</w:t>
      </w:r>
    </w:p>
    <w:p w:rsidR="005669AD" w:rsidRDefault="001024EE" w:rsidP="00B31A6E">
      <w:pPr>
        <w:tabs>
          <w:tab w:val="left" w:pos="10440"/>
        </w:tabs>
        <w:spacing w:line="360" w:lineRule="auto"/>
        <w:ind w:firstLineChars="200" w:firstLine="480"/>
        <w:rPr>
          <w:rFonts w:hAnsi="宋体" w:cs="宋体"/>
          <w:color w:val="000000"/>
          <w:sz w:val="24"/>
          <w:szCs w:val="24"/>
        </w:rPr>
      </w:pPr>
      <w:r>
        <w:rPr>
          <w:rFonts w:hAnsi="宋体" w:cs="宋体" w:hint="eastAsia"/>
          <w:color w:val="000000"/>
          <w:sz w:val="24"/>
          <w:szCs w:val="24"/>
        </w:rPr>
        <w:t>特此公告</w:t>
      </w:r>
    </w:p>
    <w:p w:rsidR="005669AD" w:rsidRDefault="005669AD" w:rsidP="00B31A6E">
      <w:pPr>
        <w:tabs>
          <w:tab w:val="left" w:pos="10440"/>
        </w:tabs>
        <w:spacing w:line="360" w:lineRule="auto"/>
        <w:ind w:firstLineChars="200" w:firstLine="480"/>
        <w:rPr>
          <w:rFonts w:hAnsi="宋体"/>
          <w:color w:val="000000"/>
          <w:sz w:val="24"/>
          <w:szCs w:val="24"/>
        </w:rPr>
      </w:pPr>
    </w:p>
    <w:p w:rsidR="005669AD" w:rsidRDefault="005669AD" w:rsidP="00B31A6E">
      <w:pPr>
        <w:tabs>
          <w:tab w:val="left" w:pos="10440"/>
        </w:tabs>
        <w:spacing w:line="360" w:lineRule="auto"/>
        <w:ind w:firstLineChars="200" w:firstLine="480"/>
        <w:rPr>
          <w:rFonts w:hAnsi="宋体"/>
          <w:color w:val="000000"/>
          <w:sz w:val="24"/>
          <w:szCs w:val="24"/>
        </w:rPr>
      </w:pPr>
    </w:p>
    <w:p w:rsidR="005669AD" w:rsidRDefault="001024EE" w:rsidP="00B31A6E">
      <w:pPr>
        <w:tabs>
          <w:tab w:val="left" w:pos="10440"/>
        </w:tabs>
        <w:snapToGrid w:val="0"/>
        <w:spacing w:line="360" w:lineRule="auto"/>
        <w:jc w:val="right"/>
        <w:rPr>
          <w:color w:val="000000"/>
          <w:sz w:val="24"/>
          <w:szCs w:val="24"/>
        </w:rPr>
      </w:pPr>
      <w:r>
        <w:rPr>
          <w:rFonts w:hAnsi="宋体" w:cs="宋体" w:hint="eastAsia"/>
          <w:color w:val="000000"/>
          <w:sz w:val="24"/>
          <w:szCs w:val="24"/>
        </w:rPr>
        <w:t>华夏基金管理有限公司</w:t>
      </w:r>
    </w:p>
    <w:p w:rsidR="005669AD" w:rsidRDefault="001024EE" w:rsidP="00B31A6E">
      <w:pPr>
        <w:tabs>
          <w:tab w:val="left" w:pos="10440"/>
        </w:tabs>
        <w:snapToGrid w:val="0"/>
        <w:spacing w:line="360" w:lineRule="auto"/>
        <w:jc w:val="right"/>
        <w:rPr>
          <w:color w:val="000000"/>
        </w:rPr>
      </w:pPr>
      <w:r>
        <w:rPr>
          <w:rFonts w:ascii="宋体" w:hAnsi="宋体" w:cs="宋体"/>
          <w:color w:val="000000"/>
          <w:sz w:val="24"/>
          <w:szCs w:val="24"/>
        </w:rPr>
        <w:t>二〇二四年一月二十四日</w:t>
      </w:r>
      <w:bookmarkEnd w:id="1"/>
    </w:p>
    <w:sectPr w:rsidR="005669AD" w:rsidSect="00B31A6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F3A" w:rsidRDefault="00726F3A">
      <w:r>
        <w:separator/>
      </w:r>
    </w:p>
  </w:endnote>
  <w:endnote w:type="continuationSeparator" w:id="0">
    <w:p w:rsidR="00726F3A" w:rsidRDefault="00726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6E" w:rsidRDefault="00B31A6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AD" w:rsidRDefault="00D86E6C">
    <w:pPr>
      <w:pStyle w:val="a5"/>
      <w:framePr w:wrap="auto" w:vAnchor="text" w:hAnchor="margin" w:xAlign="center" w:y="1"/>
      <w:rPr>
        <w:rStyle w:val="a8"/>
      </w:rPr>
    </w:pPr>
    <w:r>
      <w:rPr>
        <w:rStyle w:val="a8"/>
      </w:rPr>
      <w:fldChar w:fldCharType="begin"/>
    </w:r>
    <w:r w:rsidR="001024EE">
      <w:rPr>
        <w:rStyle w:val="a8"/>
      </w:rPr>
      <w:instrText xml:space="preserve">PAGE  </w:instrText>
    </w:r>
    <w:r>
      <w:rPr>
        <w:rStyle w:val="a8"/>
      </w:rPr>
      <w:fldChar w:fldCharType="separate"/>
    </w:r>
    <w:r w:rsidR="00130CAF">
      <w:rPr>
        <w:rStyle w:val="a8"/>
        <w:noProof/>
      </w:rPr>
      <w:t>1</w:t>
    </w:r>
    <w:r>
      <w:rPr>
        <w:rStyle w:val="a8"/>
      </w:rPr>
      <w:fldChar w:fldCharType="end"/>
    </w:r>
  </w:p>
  <w:p w:rsidR="005669AD" w:rsidRDefault="005669A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6E" w:rsidRDefault="00B31A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F3A" w:rsidRDefault="00726F3A">
      <w:r>
        <w:separator/>
      </w:r>
    </w:p>
  </w:footnote>
  <w:footnote w:type="continuationSeparator" w:id="0">
    <w:p w:rsidR="00726F3A" w:rsidRDefault="00726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6E" w:rsidRDefault="00B31A6E" w:rsidP="00B31A6E">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AD" w:rsidRDefault="005669AD" w:rsidP="00B31A6E">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6E" w:rsidRDefault="00B31A6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oNotHyphenateCaps/>
  <w:drawingGridHorizontalSpacing w:val="213"/>
  <w:drawingGridVerticalSpacing w:val="317"/>
  <w:displayHorizontalDrawingGridEvery w:val="0"/>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g4MzViYTVjNThhNGI0NjAwZTU4ZDMyN2NkZmYzM2QifQ=="/>
  </w:docVars>
  <w:rsids>
    <w:rsidRoot w:val="007111A4"/>
    <w:rsid w:val="00000D98"/>
    <w:rsid w:val="00001A72"/>
    <w:rsid w:val="00002706"/>
    <w:rsid w:val="000029E1"/>
    <w:rsid w:val="00004EB2"/>
    <w:rsid w:val="00013A1A"/>
    <w:rsid w:val="00024626"/>
    <w:rsid w:val="000249F2"/>
    <w:rsid w:val="00027A43"/>
    <w:rsid w:val="000303D4"/>
    <w:rsid w:val="00031833"/>
    <w:rsid w:val="00032214"/>
    <w:rsid w:val="00032422"/>
    <w:rsid w:val="0003326F"/>
    <w:rsid w:val="00035C85"/>
    <w:rsid w:val="000425D4"/>
    <w:rsid w:val="00047F69"/>
    <w:rsid w:val="00053278"/>
    <w:rsid w:val="00054D55"/>
    <w:rsid w:val="00055C72"/>
    <w:rsid w:val="000560C5"/>
    <w:rsid w:val="00056A27"/>
    <w:rsid w:val="000604F5"/>
    <w:rsid w:val="00067841"/>
    <w:rsid w:val="000744A1"/>
    <w:rsid w:val="00085462"/>
    <w:rsid w:val="00086108"/>
    <w:rsid w:val="00092164"/>
    <w:rsid w:val="0009262A"/>
    <w:rsid w:val="00093039"/>
    <w:rsid w:val="00093145"/>
    <w:rsid w:val="00093606"/>
    <w:rsid w:val="0009614A"/>
    <w:rsid w:val="000A3600"/>
    <w:rsid w:val="000A5B09"/>
    <w:rsid w:val="000A63C0"/>
    <w:rsid w:val="000A6DAC"/>
    <w:rsid w:val="000B1AFD"/>
    <w:rsid w:val="000B2518"/>
    <w:rsid w:val="000B3257"/>
    <w:rsid w:val="000C06C9"/>
    <w:rsid w:val="000C1621"/>
    <w:rsid w:val="000C1AA3"/>
    <w:rsid w:val="000C2A16"/>
    <w:rsid w:val="000C332C"/>
    <w:rsid w:val="000C53D8"/>
    <w:rsid w:val="000C6695"/>
    <w:rsid w:val="000D2119"/>
    <w:rsid w:val="000D277D"/>
    <w:rsid w:val="000D63DA"/>
    <w:rsid w:val="000E30B8"/>
    <w:rsid w:val="000E5ABF"/>
    <w:rsid w:val="000E79C7"/>
    <w:rsid w:val="000E7AF4"/>
    <w:rsid w:val="000F120B"/>
    <w:rsid w:val="000F47DA"/>
    <w:rsid w:val="000F5486"/>
    <w:rsid w:val="000F56B3"/>
    <w:rsid w:val="000F5BEE"/>
    <w:rsid w:val="000F69DA"/>
    <w:rsid w:val="001024EE"/>
    <w:rsid w:val="0010282D"/>
    <w:rsid w:val="00103AAF"/>
    <w:rsid w:val="0010567B"/>
    <w:rsid w:val="001073B2"/>
    <w:rsid w:val="001104A1"/>
    <w:rsid w:val="00110A7D"/>
    <w:rsid w:val="00111FA6"/>
    <w:rsid w:val="00116752"/>
    <w:rsid w:val="00117041"/>
    <w:rsid w:val="0011708E"/>
    <w:rsid w:val="001175B1"/>
    <w:rsid w:val="001244A6"/>
    <w:rsid w:val="00126AAF"/>
    <w:rsid w:val="00130CAF"/>
    <w:rsid w:val="00133939"/>
    <w:rsid w:val="00134E99"/>
    <w:rsid w:val="00142123"/>
    <w:rsid w:val="00143FE8"/>
    <w:rsid w:val="00145BEE"/>
    <w:rsid w:val="001606DF"/>
    <w:rsid w:val="00160D8A"/>
    <w:rsid w:val="00164BD3"/>
    <w:rsid w:val="001669D1"/>
    <w:rsid w:val="0017414D"/>
    <w:rsid w:val="00174B79"/>
    <w:rsid w:val="001874E0"/>
    <w:rsid w:val="001907BE"/>
    <w:rsid w:val="00191B6E"/>
    <w:rsid w:val="00192B76"/>
    <w:rsid w:val="00194CED"/>
    <w:rsid w:val="001A1B66"/>
    <w:rsid w:val="001A2B27"/>
    <w:rsid w:val="001A33A1"/>
    <w:rsid w:val="001A42CD"/>
    <w:rsid w:val="001B33EC"/>
    <w:rsid w:val="001B37A5"/>
    <w:rsid w:val="001B3908"/>
    <w:rsid w:val="001C3196"/>
    <w:rsid w:val="001C6599"/>
    <w:rsid w:val="001D0AF4"/>
    <w:rsid w:val="001D0BF4"/>
    <w:rsid w:val="001D4CDE"/>
    <w:rsid w:val="001D5C50"/>
    <w:rsid w:val="001E0460"/>
    <w:rsid w:val="001E1657"/>
    <w:rsid w:val="001E35F9"/>
    <w:rsid w:val="001E5768"/>
    <w:rsid w:val="001F1C64"/>
    <w:rsid w:val="001F2225"/>
    <w:rsid w:val="001F38AA"/>
    <w:rsid w:val="001F7306"/>
    <w:rsid w:val="001F7D9B"/>
    <w:rsid w:val="00200615"/>
    <w:rsid w:val="00200C5A"/>
    <w:rsid w:val="00202600"/>
    <w:rsid w:val="00204B5F"/>
    <w:rsid w:val="00207552"/>
    <w:rsid w:val="00210D5A"/>
    <w:rsid w:val="00212B08"/>
    <w:rsid w:val="002131F6"/>
    <w:rsid w:val="00216F3D"/>
    <w:rsid w:val="00224F6A"/>
    <w:rsid w:val="00227CEB"/>
    <w:rsid w:val="002302B9"/>
    <w:rsid w:val="00234EA8"/>
    <w:rsid w:val="002363B4"/>
    <w:rsid w:val="00236BBD"/>
    <w:rsid w:val="002462F1"/>
    <w:rsid w:val="00246DEE"/>
    <w:rsid w:val="00247A5C"/>
    <w:rsid w:val="00250EBF"/>
    <w:rsid w:val="00251D83"/>
    <w:rsid w:val="00253517"/>
    <w:rsid w:val="00255D68"/>
    <w:rsid w:val="002571C9"/>
    <w:rsid w:val="0026448A"/>
    <w:rsid w:val="00272299"/>
    <w:rsid w:val="00277CD2"/>
    <w:rsid w:val="00290A27"/>
    <w:rsid w:val="0029399F"/>
    <w:rsid w:val="00294CEB"/>
    <w:rsid w:val="002A0D7B"/>
    <w:rsid w:val="002A144A"/>
    <w:rsid w:val="002A263F"/>
    <w:rsid w:val="002A3B6A"/>
    <w:rsid w:val="002A3B7A"/>
    <w:rsid w:val="002A73B1"/>
    <w:rsid w:val="002B0359"/>
    <w:rsid w:val="002B4E3C"/>
    <w:rsid w:val="002C31F1"/>
    <w:rsid w:val="002C464E"/>
    <w:rsid w:val="002C50CC"/>
    <w:rsid w:val="002D4DE0"/>
    <w:rsid w:val="002D6312"/>
    <w:rsid w:val="002D77B0"/>
    <w:rsid w:val="002E57E7"/>
    <w:rsid w:val="002F30A9"/>
    <w:rsid w:val="002F3D88"/>
    <w:rsid w:val="00304363"/>
    <w:rsid w:val="003107A6"/>
    <w:rsid w:val="00311094"/>
    <w:rsid w:val="00320715"/>
    <w:rsid w:val="00331598"/>
    <w:rsid w:val="00332418"/>
    <w:rsid w:val="00332FA5"/>
    <w:rsid w:val="00334869"/>
    <w:rsid w:val="00341AFD"/>
    <w:rsid w:val="003420AD"/>
    <w:rsid w:val="003461CB"/>
    <w:rsid w:val="00352654"/>
    <w:rsid w:val="00352B5D"/>
    <w:rsid w:val="00352BD5"/>
    <w:rsid w:val="00353A6A"/>
    <w:rsid w:val="00353AB8"/>
    <w:rsid w:val="0035417D"/>
    <w:rsid w:val="0035656D"/>
    <w:rsid w:val="00356975"/>
    <w:rsid w:val="0035748D"/>
    <w:rsid w:val="003575D9"/>
    <w:rsid w:val="00364F3E"/>
    <w:rsid w:val="003701AD"/>
    <w:rsid w:val="003703F2"/>
    <w:rsid w:val="00371013"/>
    <w:rsid w:val="00371F68"/>
    <w:rsid w:val="00381B26"/>
    <w:rsid w:val="00381B67"/>
    <w:rsid w:val="00391163"/>
    <w:rsid w:val="00392487"/>
    <w:rsid w:val="003937ED"/>
    <w:rsid w:val="00396FA8"/>
    <w:rsid w:val="0039754A"/>
    <w:rsid w:val="00397D55"/>
    <w:rsid w:val="003A0AC8"/>
    <w:rsid w:val="003A34CE"/>
    <w:rsid w:val="003A55FA"/>
    <w:rsid w:val="003B0EA6"/>
    <w:rsid w:val="003B1C62"/>
    <w:rsid w:val="003B52FA"/>
    <w:rsid w:val="003B5E35"/>
    <w:rsid w:val="003B647D"/>
    <w:rsid w:val="003B7889"/>
    <w:rsid w:val="003C1F40"/>
    <w:rsid w:val="003C39B4"/>
    <w:rsid w:val="003C483A"/>
    <w:rsid w:val="003C6054"/>
    <w:rsid w:val="003C63FB"/>
    <w:rsid w:val="003D4AC6"/>
    <w:rsid w:val="003D618B"/>
    <w:rsid w:val="003E271A"/>
    <w:rsid w:val="003E39AE"/>
    <w:rsid w:val="003E4BBA"/>
    <w:rsid w:val="00401700"/>
    <w:rsid w:val="0040455D"/>
    <w:rsid w:val="00410C2E"/>
    <w:rsid w:val="00412493"/>
    <w:rsid w:val="00414407"/>
    <w:rsid w:val="004163C3"/>
    <w:rsid w:val="004171FC"/>
    <w:rsid w:val="00425B0B"/>
    <w:rsid w:val="00431987"/>
    <w:rsid w:val="00434EED"/>
    <w:rsid w:val="00435DC8"/>
    <w:rsid w:val="00436B70"/>
    <w:rsid w:val="00436DDA"/>
    <w:rsid w:val="00437B5E"/>
    <w:rsid w:val="004429CF"/>
    <w:rsid w:val="00443335"/>
    <w:rsid w:val="00446203"/>
    <w:rsid w:val="00462843"/>
    <w:rsid w:val="00463127"/>
    <w:rsid w:val="0046407D"/>
    <w:rsid w:val="004649B8"/>
    <w:rsid w:val="004722F3"/>
    <w:rsid w:val="00475369"/>
    <w:rsid w:val="00482A67"/>
    <w:rsid w:val="00487DA3"/>
    <w:rsid w:val="00491BC9"/>
    <w:rsid w:val="00491FD9"/>
    <w:rsid w:val="00493F07"/>
    <w:rsid w:val="004970EA"/>
    <w:rsid w:val="004A0400"/>
    <w:rsid w:val="004A0C0A"/>
    <w:rsid w:val="004A17EF"/>
    <w:rsid w:val="004A25D4"/>
    <w:rsid w:val="004A31D4"/>
    <w:rsid w:val="004A6E0A"/>
    <w:rsid w:val="004B0F32"/>
    <w:rsid w:val="004B109F"/>
    <w:rsid w:val="004B3D50"/>
    <w:rsid w:val="004B7478"/>
    <w:rsid w:val="004B7F0A"/>
    <w:rsid w:val="004C2A35"/>
    <w:rsid w:val="004C49F0"/>
    <w:rsid w:val="004D2767"/>
    <w:rsid w:val="004D2FF8"/>
    <w:rsid w:val="004D4225"/>
    <w:rsid w:val="004D7714"/>
    <w:rsid w:val="004E01DF"/>
    <w:rsid w:val="004E0C43"/>
    <w:rsid w:val="004E6D27"/>
    <w:rsid w:val="004F0077"/>
    <w:rsid w:val="004F621D"/>
    <w:rsid w:val="004F7597"/>
    <w:rsid w:val="004F77E9"/>
    <w:rsid w:val="00500914"/>
    <w:rsid w:val="00510645"/>
    <w:rsid w:val="00510EAC"/>
    <w:rsid w:val="00520B98"/>
    <w:rsid w:val="005236D3"/>
    <w:rsid w:val="00530043"/>
    <w:rsid w:val="00533301"/>
    <w:rsid w:val="005338BF"/>
    <w:rsid w:val="00534ECA"/>
    <w:rsid w:val="0053655C"/>
    <w:rsid w:val="005440EE"/>
    <w:rsid w:val="00544C04"/>
    <w:rsid w:val="00544E7F"/>
    <w:rsid w:val="005458A8"/>
    <w:rsid w:val="00550349"/>
    <w:rsid w:val="005515BC"/>
    <w:rsid w:val="00552D4A"/>
    <w:rsid w:val="00553BCD"/>
    <w:rsid w:val="00554EA5"/>
    <w:rsid w:val="005573E4"/>
    <w:rsid w:val="00557B03"/>
    <w:rsid w:val="0056521F"/>
    <w:rsid w:val="005669AD"/>
    <w:rsid w:val="0057263F"/>
    <w:rsid w:val="005734C5"/>
    <w:rsid w:val="00575AF9"/>
    <w:rsid w:val="00575F18"/>
    <w:rsid w:val="00576305"/>
    <w:rsid w:val="0057668D"/>
    <w:rsid w:val="005829DA"/>
    <w:rsid w:val="0058390B"/>
    <w:rsid w:val="00584B96"/>
    <w:rsid w:val="0058565F"/>
    <w:rsid w:val="00586D19"/>
    <w:rsid w:val="00590E64"/>
    <w:rsid w:val="005A3A14"/>
    <w:rsid w:val="005A4092"/>
    <w:rsid w:val="005B461D"/>
    <w:rsid w:val="005B636A"/>
    <w:rsid w:val="005B6551"/>
    <w:rsid w:val="005B6CA2"/>
    <w:rsid w:val="005C5E87"/>
    <w:rsid w:val="005D04DB"/>
    <w:rsid w:val="005D1D26"/>
    <w:rsid w:val="005D5480"/>
    <w:rsid w:val="005D6173"/>
    <w:rsid w:val="005E0ADC"/>
    <w:rsid w:val="005E42D5"/>
    <w:rsid w:val="005E5C7B"/>
    <w:rsid w:val="005E7E87"/>
    <w:rsid w:val="005F66B2"/>
    <w:rsid w:val="005F7D29"/>
    <w:rsid w:val="00605D21"/>
    <w:rsid w:val="00606196"/>
    <w:rsid w:val="006075B3"/>
    <w:rsid w:val="00610BEE"/>
    <w:rsid w:val="00621B7D"/>
    <w:rsid w:val="00624130"/>
    <w:rsid w:val="00625DEC"/>
    <w:rsid w:val="00626961"/>
    <w:rsid w:val="00631A25"/>
    <w:rsid w:val="006339C3"/>
    <w:rsid w:val="0063610A"/>
    <w:rsid w:val="00644925"/>
    <w:rsid w:val="00651B5D"/>
    <w:rsid w:val="006627AC"/>
    <w:rsid w:val="00674223"/>
    <w:rsid w:val="006775DA"/>
    <w:rsid w:val="006814AA"/>
    <w:rsid w:val="0068423B"/>
    <w:rsid w:val="00687DE7"/>
    <w:rsid w:val="00690E51"/>
    <w:rsid w:val="0069170A"/>
    <w:rsid w:val="00692C47"/>
    <w:rsid w:val="0069327A"/>
    <w:rsid w:val="00693707"/>
    <w:rsid w:val="006970A7"/>
    <w:rsid w:val="006A13B3"/>
    <w:rsid w:val="006A582A"/>
    <w:rsid w:val="006A58F0"/>
    <w:rsid w:val="006B01B2"/>
    <w:rsid w:val="006B0683"/>
    <w:rsid w:val="006B30AD"/>
    <w:rsid w:val="006B3984"/>
    <w:rsid w:val="006C01AF"/>
    <w:rsid w:val="006C3586"/>
    <w:rsid w:val="006C6D6C"/>
    <w:rsid w:val="006D1A83"/>
    <w:rsid w:val="006D3591"/>
    <w:rsid w:val="006D483B"/>
    <w:rsid w:val="006D7AEB"/>
    <w:rsid w:val="006E220B"/>
    <w:rsid w:val="006E229E"/>
    <w:rsid w:val="006E329D"/>
    <w:rsid w:val="006F78EE"/>
    <w:rsid w:val="007062C7"/>
    <w:rsid w:val="00706B30"/>
    <w:rsid w:val="007111A4"/>
    <w:rsid w:val="00713A72"/>
    <w:rsid w:val="007146CE"/>
    <w:rsid w:val="00722D55"/>
    <w:rsid w:val="00724964"/>
    <w:rsid w:val="0072524C"/>
    <w:rsid w:val="00726F3A"/>
    <w:rsid w:val="00727B8D"/>
    <w:rsid w:val="00737DA6"/>
    <w:rsid w:val="00740EC6"/>
    <w:rsid w:val="007560B9"/>
    <w:rsid w:val="0076276A"/>
    <w:rsid w:val="007627EE"/>
    <w:rsid w:val="00766085"/>
    <w:rsid w:val="007779FC"/>
    <w:rsid w:val="00782651"/>
    <w:rsid w:val="0078300A"/>
    <w:rsid w:val="00784429"/>
    <w:rsid w:val="0078717C"/>
    <w:rsid w:val="00791EDD"/>
    <w:rsid w:val="00792EF8"/>
    <w:rsid w:val="00795CC3"/>
    <w:rsid w:val="00797CF1"/>
    <w:rsid w:val="007A3A52"/>
    <w:rsid w:val="007A4C5A"/>
    <w:rsid w:val="007A4FA3"/>
    <w:rsid w:val="007B0740"/>
    <w:rsid w:val="007B1D38"/>
    <w:rsid w:val="007B4C3B"/>
    <w:rsid w:val="007C2CE5"/>
    <w:rsid w:val="007C40EC"/>
    <w:rsid w:val="007D12F0"/>
    <w:rsid w:val="007D3A0C"/>
    <w:rsid w:val="007D4F4D"/>
    <w:rsid w:val="007D6F01"/>
    <w:rsid w:val="007E0CD3"/>
    <w:rsid w:val="007E2598"/>
    <w:rsid w:val="007E6B6C"/>
    <w:rsid w:val="007E6D68"/>
    <w:rsid w:val="007E781F"/>
    <w:rsid w:val="007F112B"/>
    <w:rsid w:val="007F7958"/>
    <w:rsid w:val="00807998"/>
    <w:rsid w:val="00807B62"/>
    <w:rsid w:val="00816D0F"/>
    <w:rsid w:val="00817B5F"/>
    <w:rsid w:val="008201C6"/>
    <w:rsid w:val="00820A37"/>
    <w:rsid w:val="00820D11"/>
    <w:rsid w:val="008219B6"/>
    <w:rsid w:val="008302D9"/>
    <w:rsid w:val="008311C8"/>
    <w:rsid w:val="00835044"/>
    <w:rsid w:val="00836ECC"/>
    <w:rsid w:val="00837BE1"/>
    <w:rsid w:val="00840C80"/>
    <w:rsid w:val="00843039"/>
    <w:rsid w:val="00846B1B"/>
    <w:rsid w:val="00846FDC"/>
    <w:rsid w:val="00853506"/>
    <w:rsid w:val="008571F5"/>
    <w:rsid w:val="00860962"/>
    <w:rsid w:val="00862A9F"/>
    <w:rsid w:val="00866D55"/>
    <w:rsid w:val="00872E74"/>
    <w:rsid w:val="008754BD"/>
    <w:rsid w:val="008763D2"/>
    <w:rsid w:val="0088011D"/>
    <w:rsid w:val="0089475F"/>
    <w:rsid w:val="0089633D"/>
    <w:rsid w:val="00897233"/>
    <w:rsid w:val="008A2B01"/>
    <w:rsid w:val="008A3540"/>
    <w:rsid w:val="008A3DF2"/>
    <w:rsid w:val="008A3E4C"/>
    <w:rsid w:val="008B0692"/>
    <w:rsid w:val="008B0C7D"/>
    <w:rsid w:val="008B0E43"/>
    <w:rsid w:val="008B1A36"/>
    <w:rsid w:val="008B3AC3"/>
    <w:rsid w:val="008B406B"/>
    <w:rsid w:val="008B51AF"/>
    <w:rsid w:val="008B5CA3"/>
    <w:rsid w:val="008C12FA"/>
    <w:rsid w:val="008C43AE"/>
    <w:rsid w:val="008C7505"/>
    <w:rsid w:val="008D6023"/>
    <w:rsid w:val="008D6ADC"/>
    <w:rsid w:val="008D7323"/>
    <w:rsid w:val="008E5936"/>
    <w:rsid w:val="008F19DC"/>
    <w:rsid w:val="008F3172"/>
    <w:rsid w:val="008F6648"/>
    <w:rsid w:val="008F6AAA"/>
    <w:rsid w:val="0090238D"/>
    <w:rsid w:val="00903205"/>
    <w:rsid w:val="00913650"/>
    <w:rsid w:val="00921009"/>
    <w:rsid w:val="009210C1"/>
    <w:rsid w:val="0092337E"/>
    <w:rsid w:val="0092506A"/>
    <w:rsid w:val="00932B68"/>
    <w:rsid w:val="00932BB8"/>
    <w:rsid w:val="00934ADE"/>
    <w:rsid w:val="009506EB"/>
    <w:rsid w:val="00951D64"/>
    <w:rsid w:val="00953F1E"/>
    <w:rsid w:val="009549DA"/>
    <w:rsid w:val="0095508A"/>
    <w:rsid w:val="00955A7E"/>
    <w:rsid w:val="00956868"/>
    <w:rsid w:val="009630DD"/>
    <w:rsid w:val="0096749A"/>
    <w:rsid w:val="00974960"/>
    <w:rsid w:val="00982091"/>
    <w:rsid w:val="00983B17"/>
    <w:rsid w:val="00991F25"/>
    <w:rsid w:val="00994881"/>
    <w:rsid w:val="009978B5"/>
    <w:rsid w:val="00997DC5"/>
    <w:rsid w:val="009A29DA"/>
    <w:rsid w:val="009A655B"/>
    <w:rsid w:val="009B026F"/>
    <w:rsid w:val="009C2D3E"/>
    <w:rsid w:val="009C732F"/>
    <w:rsid w:val="009C7F53"/>
    <w:rsid w:val="009D0107"/>
    <w:rsid w:val="009D3008"/>
    <w:rsid w:val="009D3453"/>
    <w:rsid w:val="009D56DE"/>
    <w:rsid w:val="009D6054"/>
    <w:rsid w:val="009D7D4F"/>
    <w:rsid w:val="009E1F5E"/>
    <w:rsid w:val="009E3E80"/>
    <w:rsid w:val="009E5BD5"/>
    <w:rsid w:val="00A00697"/>
    <w:rsid w:val="00A013E6"/>
    <w:rsid w:val="00A04E88"/>
    <w:rsid w:val="00A144FE"/>
    <w:rsid w:val="00A14C52"/>
    <w:rsid w:val="00A34CA3"/>
    <w:rsid w:val="00A424E3"/>
    <w:rsid w:val="00A44247"/>
    <w:rsid w:val="00A47DD9"/>
    <w:rsid w:val="00A519C2"/>
    <w:rsid w:val="00A54140"/>
    <w:rsid w:val="00A554A3"/>
    <w:rsid w:val="00A55675"/>
    <w:rsid w:val="00A56DF7"/>
    <w:rsid w:val="00A57BF3"/>
    <w:rsid w:val="00A60930"/>
    <w:rsid w:val="00A611B7"/>
    <w:rsid w:val="00A637B1"/>
    <w:rsid w:val="00A676F7"/>
    <w:rsid w:val="00A677C6"/>
    <w:rsid w:val="00A76411"/>
    <w:rsid w:val="00A76F85"/>
    <w:rsid w:val="00A77012"/>
    <w:rsid w:val="00A770A3"/>
    <w:rsid w:val="00A82CA2"/>
    <w:rsid w:val="00AA0D80"/>
    <w:rsid w:val="00AA139D"/>
    <w:rsid w:val="00AA1ACA"/>
    <w:rsid w:val="00AA703D"/>
    <w:rsid w:val="00AB0B51"/>
    <w:rsid w:val="00AB61BB"/>
    <w:rsid w:val="00AB737F"/>
    <w:rsid w:val="00AC0649"/>
    <w:rsid w:val="00AC0744"/>
    <w:rsid w:val="00AC09EB"/>
    <w:rsid w:val="00AC0F6A"/>
    <w:rsid w:val="00AC503F"/>
    <w:rsid w:val="00AC5A79"/>
    <w:rsid w:val="00AC6AD7"/>
    <w:rsid w:val="00AC7E21"/>
    <w:rsid w:val="00AD1359"/>
    <w:rsid w:val="00AD45D0"/>
    <w:rsid w:val="00AD523B"/>
    <w:rsid w:val="00AD52E1"/>
    <w:rsid w:val="00AE149B"/>
    <w:rsid w:val="00AE3313"/>
    <w:rsid w:val="00AE5238"/>
    <w:rsid w:val="00AE5E09"/>
    <w:rsid w:val="00AE7EA8"/>
    <w:rsid w:val="00AF1C2F"/>
    <w:rsid w:val="00B03A64"/>
    <w:rsid w:val="00B043F7"/>
    <w:rsid w:val="00B04966"/>
    <w:rsid w:val="00B051C3"/>
    <w:rsid w:val="00B0722E"/>
    <w:rsid w:val="00B0785C"/>
    <w:rsid w:val="00B07B92"/>
    <w:rsid w:val="00B07F71"/>
    <w:rsid w:val="00B11773"/>
    <w:rsid w:val="00B27F29"/>
    <w:rsid w:val="00B31441"/>
    <w:rsid w:val="00B31A6E"/>
    <w:rsid w:val="00B3209A"/>
    <w:rsid w:val="00B340F1"/>
    <w:rsid w:val="00B37B25"/>
    <w:rsid w:val="00B434E0"/>
    <w:rsid w:val="00B5215C"/>
    <w:rsid w:val="00B52961"/>
    <w:rsid w:val="00B67A2F"/>
    <w:rsid w:val="00B70ECB"/>
    <w:rsid w:val="00B717A0"/>
    <w:rsid w:val="00B73CD3"/>
    <w:rsid w:val="00B7553F"/>
    <w:rsid w:val="00B7594E"/>
    <w:rsid w:val="00B80F3D"/>
    <w:rsid w:val="00B85B28"/>
    <w:rsid w:val="00B85E4B"/>
    <w:rsid w:val="00B9418F"/>
    <w:rsid w:val="00BA1C46"/>
    <w:rsid w:val="00BA2133"/>
    <w:rsid w:val="00BA6257"/>
    <w:rsid w:val="00BB5893"/>
    <w:rsid w:val="00BB59B7"/>
    <w:rsid w:val="00BC1170"/>
    <w:rsid w:val="00BC23FB"/>
    <w:rsid w:val="00BC30E9"/>
    <w:rsid w:val="00BC5CD7"/>
    <w:rsid w:val="00BC5EEC"/>
    <w:rsid w:val="00BD158A"/>
    <w:rsid w:val="00BD1E48"/>
    <w:rsid w:val="00BD23A0"/>
    <w:rsid w:val="00BD35FE"/>
    <w:rsid w:val="00BD7596"/>
    <w:rsid w:val="00BE18ED"/>
    <w:rsid w:val="00BE3FAD"/>
    <w:rsid w:val="00BE7213"/>
    <w:rsid w:val="00BE7EFF"/>
    <w:rsid w:val="00BF3786"/>
    <w:rsid w:val="00BF5720"/>
    <w:rsid w:val="00BF5BD2"/>
    <w:rsid w:val="00C01440"/>
    <w:rsid w:val="00C0255D"/>
    <w:rsid w:val="00C0718B"/>
    <w:rsid w:val="00C10562"/>
    <w:rsid w:val="00C11FEA"/>
    <w:rsid w:val="00C15D00"/>
    <w:rsid w:val="00C17940"/>
    <w:rsid w:val="00C21230"/>
    <w:rsid w:val="00C2387D"/>
    <w:rsid w:val="00C26BA6"/>
    <w:rsid w:val="00C3031B"/>
    <w:rsid w:val="00C35FAB"/>
    <w:rsid w:val="00C36502"/>
    <w:rsid w:val="00C450B7"/>
    <w:rsid w:val="00C472DC"/>
    <w:rsid w:val="00C56D35"/>
    <w:rsid w:val="00C6217C"/>
    <w:rsid w:val="00C67239"/>
    <w:rsid w:val="00C707AC"/>
    <w:rsid w:val="00C72375"/>
    <w:rsid w:val="00C779BB"/>
    <w:rsid w:val="00C803B0"/>
    <w:rsid w:val="00C81AC3"/>
    <w:rsid w:val="00C87B12"/>
    <w:rsid w:val="00C9243F"/>
    <w:rsid w:val="00C925B4"/>
    <w:rsid w:val="00CA0889"/>
    <w:rsid w:val="00CA09A1"/>
    <w:rsid w:val="00CA0F9D"/>
    <w:rsid w:val="00CA3531"/>
    <w:rsid w:val="00CA5097"/>
    <w:rsid w:val="00CB007F"/>
    <w:rsid w:val="00CB1A09"/>
    <w:rsid w:val="00CB26FA"/>
    <w:rsid w:val="00CB3D67"/>
    <w:rsid w:val="00CC4F75"/>
    <w:rsid w:val="00CC513C"/>
    <w:rsid w:val="00CC5E18"/>
    <w:rsid w:val="00CC766A"/>
    <w:rsid w:val="00CC788D"/>
    <w:rsid w:val="00CC7CF9"/>
    <w:rsid w:val="00CD0FBE"/>
    <w:rsid w:val="00CD5CFD"/>
    <w:rsid w:val="00CD78D3"/>
    <w:rsid w:val="00CE64EB"/>
    <w:rsid w:val="00CF2E8E"/>
    <w:rsid w:val="00CF49D6"/>
    <w:rsid w:val="00D02370"/>
    <w:rsid w:val="00D0422E"/>
    <w:rsid w:val="00D10D61"/>
    <w:rsid w:val="00D17575"/>
    <w:rsid w:val="00D17CAD"/>
    <w:rsid w:val="00D220DF"/>
    <w:rsid w:val="00D25692"/>
    <w:rsid w:val="00D329B3"/>
    <w:rsid w:val="00D32FCA"/>
    <w:rsid w:val="00D34C3B"/>
    <w:rsid w:val="00D35197"/>
    <w:rsid w:val="00D35D6B"/>
    <w:rsid w:val="00D36C87"/>
    <w:rsid w:val="00D4046B"/>
    <w:rsid w:val="00D40E4E"/>
    <w:rsid w:val="00D423F2"/>
    <w:rsid w:val="00D451A0"/>
    <w:rsid w:val="00D451ED"/>
    <w:rsid w:val="00D455AE"/>
    <w:rsid w:val="00D457F8"/>
    <w:rsid w:val="00D56507"/>
    <w:rsid w:val="00D577C5"/>
    <w:rsid w:val="00D60B6B"/>
    <w:rsid w:val="00D6238C"/>
    <w:rsid w:val="00D67D35"/>
    <w:rsid w:val="00D73DDD"/>
    <w:rsid w:val="00D801CA"/>
    <w:rsid w:val="00D84E5A"/>
    <w:rsid w:val="00D86E6C"/>
    <w:rsid w:val="00D94C28"/>
    <w:rsid w:val="00D9561D"/>
    <w:rsid w:val="00D96C02"/>
    <w:rsid w:val="00DA5C28"/>
    <w:rsid w:val="00DB2013"/>
    <w:rsid w:val="00DB7940"/>
    <w:rsid w:val="00DB7A44"/>
    <w:rsid w:val="00DC1DDB"/>
    <w:rsid w:val="00DC4085"/>
    <w:rsid w:val="00DC6AFA"/>
    <w:rsid w:val="00DC7BFC"/>
    <w:rsid w:val="00DD22EA"/>
    <w:rsid w:val="00DD40DF"/>
    <w:rsid w:val="00DD56C4"/>
    <w:rsid w:val="00DD747A"/>
    <w:rsid w:val="00DD768D"/>
    <w:rsid w:val="00DD7954"/>
    <w:rsid w:val="00DE1180"/>
    <w:rsid w:val="00DE2B39"/>
    <w:rsid w:val="00DE408D"/>
    <w:rsid w:val="00DE43D0"/>
    <w:rsid w:val="00DF0232"/>
    <w:rsid w:val="00DF2298"/>
    <w:rsid w:val="00DF7350"/>
    <w:rsid w:val="00E033AC"/>
    <w:rsid w:val="00E05E02"/>
    <w:rsid w:val="00E05F3F"/>
    <w:rsid w:val="00E06864"/>
    <w:rsid w:val="00E220F7"/>
    <w:rsid w:val="00E22109"/>
    <w:rsid w:val="00E26E98"/>
    <w:rsid w:val="00E27B5B"/>
    <w:rsid w:val="00E318E6"/>
    <w:rsid w:val="00E3371C"/>
    <w:rsid w:val="00E375B2"/>
    <w:rsid w:val="00E42920"/>
    <w:rsid w:val="00E432E9"/>
    <w:rsid w:val="00E43A24"/>
    <w:rsid w:val="00E47D25"/>
    <w:rsid w:val="00E508A3"/>
    <w:rsid w:val="00E54CA2"/>
    <w:rsid w:val="00E601C0"/>
    <w:rsid w:val="00E6050E"/>
    <w:rsid w:val="00E61F24"/>
    <w:rsid w:val="00E62749"/>
    <w:rsid w:val="00E71087"/>
    <w:rsid w:val="00E71492"/>
    <w:rsid w:val="00E8181B"/>
    <w:rsid w:val="00E85428"/>
    <w:rsid w:val="00E858BB"/>
    <w:rsid w:val="00E86285"/>
    <w:rsid w:val="00E86B95"/>
    <w:rsid w:val="00E87C7B"/>
    <w:rsid w:val="00E9351A"/>
    <w:rsid w:val="00E93CC0"/>
    <w:rsid w:val="00E94BBF"/>
    <w:rsid w:val="00E963A6"/>
    <w:rsid w:val="00EA162A"/>
    <w:rsid w:val="00EA4BC3"/>
    <w:rsid w:val="00EA6537"/>
    <w:rsid w:val="00EA6ACF"/>
    <w:rsid w:val="00EB17B3"/>
    <w:rsid w:val="00EB6E28"/>
    <w:rsid w:val="00EC232D"/>
    <w:rsid w:val="00EC3CDB"/>
    <w:rsid w:val="00EC4B94"/>
    <w:rsid w:val="00EC6F11"/>
    <w:rsid w:val="00ED1C28"/>
    <w:rsid w:val="00ED2832"/>
    <w:rsid w:val="00ED2B36"/>
    <w:rsid w:val="00EE365F"/>
    <w:rsid w:val="00EE6706"/>
    <w:rsid w:val="00EF1C99"/>
    <w:rsid w:val="00EF1F00"/>
    <w:rsid w:val="00EF2FAF"/>
    <w:rsid w:val="00F01021"/>
    <w:rsid w:val="00F03EEE"/>
    <w:rsid w:val="00F0479B"/>
    <w:rsid w:val="00F12542"/>
    <w:rsid w:val="00F12C66"/>
    <w:rsid w:val="00F141CB"/>
    <w:rsid w:val="00F15BFB"/>
    <w:rsid w:val="00F1726D"/>
    <w:rsid w:val="00F2412E"/>
    <w:rsid w:val="00F27DB3"/>
    <w:rsid w:val="00F313B9"/>
    <w:rsid w:val="00F32503"/>
    <w:rsid w:val="00F41415"/>
    <w:rsid w:val="00F429A2"/>
    <w:rsid w:val="00F45D1F"/>
    <w:rsid w:val="00F52113"/>
    <w:rsid w:val="00F62D48"/>
    <w:rsid w:val="00F7089E"/>
    <w:rsid w:val="00F807EA"/>
    <w:rsid w:val="00F820CB"/>
    <w:rsid w:val="00F83740"/>
    <w:rsid w:val="00F84CA3"/>
    <w:rsid w:val="00F85092"/>
    <w:rsid w:val="00F854F6"/>
    <w:rsid w:val="00F863D3"/>
    <w:rsid w:val="00F90A47"/>
    <w:rsid w:val="00F91A6D"/>
    <w:rsid w:val="00F9647C"/>
    <w:rsid w:val="00FA032E"/>
    <w:rsid w:val="00FA059B"/>
    <w:rsid w:val="00FA0680"/>
    <w:rsid w:val="00FA2009"/>
    <w:rsid w:val="00FA38DA"/>
    <w:rsid w:val="00FA4B88"/>
    <w:rsid w:val="00FA7785"/>
    <w:rsid w:val="00FB291F"/>
    <w:rsid w:val="00FB5BA8"/>
    <w:rsid w:val="00FB6B59"/>
    <w:rsid w:val="00FC0197"/>
    <w:rsid w:val="00FC27C8"/>
    <w:rsid w:val="00FC624A"/>
    <w:rsid w:val="00FC685B"/>
    <w:rsid w:val="00FD5087"/>
    <w:rsid w:val="00FD5B6A"/>
    <w:rsid w:val="00FE1812"/>
    <w:rsid w:val="00FE36AB"/>
    <w:rsid w:val="00FE444F"/>
    <w:rsid w:val="00FE56C7"/>
    <w:rsid w:val="00FE63A1"/>
    <w:rsid w:val="00FE6967"/>
    <w:rsid w:val="00FE7271"/>
    <w:rsid w:val="00FF0034"/>
    <w:rsid w:val="32AB05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qFormat="1"/>
    <w:lsdException w:name="footer" w:semiHidden="0" w:unhideWhenUsed="0" w:qFormat="1"/>
    <w:lsdException w:name="caption" w:locked="1" w:uiPriority="0" w:qFormat="1"/>
    <w:lsdException w:name="annotation reference" w:unhideWhenUsed="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nhideWhenUsed="0" w:qFormat="1"/>
    <w:lsdException w:name="Balloon Text" w:unhideWhenUsed="0"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6C"/>
    <w:pPr>
      <w:widowControl w:val="0"/>
      <w:jc w:val="both"/>
    </w:pPr>
    <w:rPr>
      <w:kern w:val="2"/>
      <w:sz w:val="21"/>
      <w:szCs w:val="21"/>
    </w:rPr>
  </w:style>
  <w:style w:type="paragraph" w:styleId="1">
    <w:name w:val="heading 1"/>
    <w:basedOn w:val="a"/>
    <w:next w:val="a"/>
    <w:link w:val="1Char"/>
    <w:uiPriority w:val="9"/>
    <w:qFormat/>
    <w:locked/>
    <w:rsid w:val="00D86E6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D86E6C"/>
    <w:pPr>
      <w:jc w:val="left"/>
    </w:pPr>
  </w:style>
  <w:style w:type="paragraph" w:styleId="a4">
    <w:name w:val="Balloon Text"/>
    <w:basedOn w:val="a"/>
    <w:link w:val="Char0"/>
    <w:uiPriority w:val="99"/>
    <w:semiHidden/>
    <w:qFormat/>
    <w:rsid w:val="00D86E6C"/>
    <w:rPr>
      <w:sz w:val="18"/>
      <w:szCs w:val="18"/>
    </w:rPr>
  </w:style>
  <w:style w:type="paragraph" w:styleId="a5">
    <w:name w:val="footer"/>
    <w:basedOn w:val="a"/>
    <w:link w:val="Char1"/>
    <w:uiPriority w:val="99"/>
    <w:qFormat/>
    <w:rsid w:val="00D86E6C"/>
    <w:pPr>
      <w:tabs>
        <w:tab w:val="center" w:pos="4153"/>
        <w:tab w:val="right" w:pos="8306"/>
      </w:tabs>
      <w:snapToGrid w:val="0"/>
      <w:jc w:val="left"/>
    </w:pPr>
    <w:rPr>
      <w:sz w:val="18"/>
      <w:szCs w:val="18"/>
    </w:rPr>
  </w:style>
  <w:style w:type="paragraph" w:styleId="a6">
    <w:name w:val="header"/>
    <w:basedOn w:val="a"/>
    <w:link w:val="Char2"/>
    <w:uiPriority w:val="99"/>
    <w:qFormat/>
    <w:rsid w:val="00D86E6C"/>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qFormat/>
    <w:rsid w:val="00D86E6C"/>
    <w:rPr>
      <w:b/>
      <w:bCs/>
    </w:rPr>
  </w:style>
  <w:style w:type="character" w:styleId="a8">
    <w:name w:val="page number"/>
    <w:basedOn w:val="a0"/>
    <w:uiPriority w:val="99"/>
    <w:rsid w:val="00D86E6C"/>
  </w:style>
  <w:style w:type="character" w:styleId="a9">
    <w:name w:val="annotation reference"/>
    <w:basedOn w:val="a0"/>
    <w:uiPriority w:val="99"/>
    <w:semiHidden/>
    <w:qFormat/>
    <w:rsid w:val="00D86E6C"/>
    <w:rPr>
      <w:sz w:val="21"/>
      <w:szCs w:val="21"/>
    </w:rPr>
  </w:style>
  <w:style w:type="character" w:customStyle="1" w:styleId="Char0">
    <w:name w:val="批注框文本 Char"/>
    <w:basedOn w:val="a0"/>
    <w:link w:val="a4"/>
    <w:uiPriority w:val="99"/>
    <w:semiHidden/>
    <w:locked/>
    <w:rsid w:val="00D86E6C"/>
    <w:rPr>
      <w:sz w:val="2"/>
      <w:szCs w:val="2"/>
    </w:rPr>
  </w:style>
  <w:style w:type="character" w:customStyle="1" w:styleId="Char1">
    <w:name w:val="页脚 Char"/>
    <w:basedOn w:val="a0"/>
    <w:link w:val="a5"/>
    <w:uiPriority w:val="99"/>
    <w:semiHidden/>
    <w:qFormat/>
    <w:locked/>
    <w:rsid w:val="00D86E6C"/>
    <w:rPr>
      <w:sz w:val="18"/>
      <w:szCs w:val="18"/>
    </w:rPr>
  </w:style>
  <w:style w:type="character" w:customStyle="1" w:styleId="apple-style-span">
    <w:name w:val="apple-style-span"/>
    <w:basedOn w:val="a0"/>
    <w:uiPriority w:val="99"/>
    <w:rsid w:val="00D86E6C"/>
  </w:style>
  <w:style w:type="character" w:customStyle="1" w:styleId="Char2">
    <w:name w:val="页眉 Char"/>
    <w:basedOn w:val="a0"/>
    <w:link w:val="a6"/>
    <w:uiPriority w:val="99"/>
    <w:semiHidden/>
    <w:qFormat/>
    <w:locked/>
    <w:rsid w:val="00D86E6C"/>
    <w:rPr>
      <w:sz w:val="18"/>
      <w:szCs w:val="18"/>
    </w:rPr>
  </w:style>
  <w:style w:type="character" w:customStyle="1" w:styleId="Char">
    <w:name w:val="批注文字 Char"/>
    <w:basedOn w:val="a0"/>
    <w:link w:val="a3"/>
    <w:uiPriority w:val="99"/>
    <w:semiHidden/>
    <w:locked/>
    <w:rsid w:val="00D86E6C"/>
    <w:rPr>
      <w:sz w:val="21"/>
      <w:szCs w:val="21"/>
    </w:rPr>
  </w:style>
  <w:style w:type="character" w:customStyle="1" w:styleId="Char3">
    <w:name w:val="批注主题 Char"/>
    <w:basedOn w:val="Char"/>
    <w:link w:val="a7"/>
    <w:uiPriority w:val="99"/>
    <w:semiHidden/>
    <w:locked/>
    <w:rsid w:val="00D86E6C"/>
    <w:rPr>
      <w:b/>
      <w:bCs/>
      <w:sz w:val="21"/>
      <w:szCs w:val="21"/>
    </w:rPr>
  </w:style>
  <w:style w:type="character" w:customStyle="1" w:styleId="1Char">
    <w:name w:val="标题 1 Char"/>
    <w:basedOn w:val="a0"/>
    <w:link w:val="1"/>
    <w:uiPriority w:val="9"/>
    <w:qFormat/>
    <w:rsid w:val="00D86E6C"/>
    <w:rPr>
      <w:rFonts w:ascii="宋体" w:hAnsi="宋体" w:cs="宋体"/>
      <w:b/>
      <w:bCs/>
      <w:kern w:val="36"/>
      <w:sz w:val="48"/>
      <w:szCs w:val="48"/>
    </w:rPr>
  </w:style>
  <w:style w:type="paragraph" w:customStyle="1" w:styleId="Default">
    <w:name w:val="Default"/>
    <w:qFormat/>
    <w:rsid w:val="00D86E6C"/>
    <w:pPr>
      <w:widowControl w:val="0"/>
      <w:autoSpaceDE w:val="0"/>
      <w:autoSpaceDN w:val="0"/>
      <w:adjustRightInd w:val="0"/>
    </w:pPr>
    <w:rPr>
      <w:color w:val="000000"/>
      <w:sz w:val="24"/>
      <w:szCs w:val="24"/>
    </w:rPr>
  </w:style>
  <w:style w:type="paragraph" w:customStyle="1" w:styleId="10">
    <w:name w:val="修订1"/>
    <w:hidden/>
    <w:uiPriority w:val="99"/>
    <w:semiHidden/>
    <w:qFormat/>
    <w:rsid w:val="00D86E6C"/>
    <w:rPr>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C7A46-5780-4592-AA7C-936A8BF5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4</DocSecurity>
  <Lines>3</Lines>
  <Paragraphs>1</Paragraphs>
  <ScaleCrop>false</ScaleCrop>
  <Company>CHINAAMC</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2024-01-23T06:36:00Z</cp:lastPrinted>
  <dcterms:created xsi:type="dcterms:W3CDTF">2024-01-23T16:01:00Z</dcterms:created>
  <dcterms:modified xsi:type="dcterms:W3CDTF">2024-01-23T16:01:00Z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6092415272564199868EF301E471FA02_12</vt:lpwstr>
  </property>
</Properties>
</file>