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0837F2">
        <w:rPr>
          <w:rFonts w:ascii="Arial" w:eastAsiaTheme="minorEastAsia" w:hAnsi="Arial" w:cs="Arial" w:hint="eastAsia"/>
          <w:b/>
          <w:bCs/>
          <w:kern w:val="0"/>
          <w:szCs w:val="21"/>
        </w:rPr>
        <w:t>江苏</w:t>
      </w:r>
      <w:r w:rsidR="000D3E6C" w:rsidRPr="000D3E6C">
        <w:rPr>
          <w:rFonts w:ascii="Arial" w:eastAsiaTheme="minorEastAsia" w:hAnsi="Arial" w:cs="Arial" w:hint="eastAsia"/>
          <w:b/>
          <w:bCs/>
          <w:kern w:val="0"/>
          <w:szCs w:val="21"/>
        </w:rPr>
        <w:t>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000C0793">
        <w:rPr>
          <w:rFonts w:ascii="Arial" w:hAnsi="Arial" w:cs="Arial" w:hint="eastAsia"/>
          <w:szCs w:val="21"/>
        </w:rPr>
        <w:t>“</w:t>
      </w:r>
      <w:r w:rsidR="000C0793" w:rsidRPr="000147DB">
        <w:rPr>
          <w:rFonts w:ascii="Arial" w:hAnsi="Arial" w:cs="Arial" w:hint="eastAsia"/>
          <w:szCs w:val="21"/>
        </w:rPr>
        <w:t>本公司</w:t>
      </w:r>
      <w:r w:rsidR="000C0793">
        <w:rPr>
          <w:rFonts w:ascii="Arial" w:hAnsi="Arial" w:cs="Arial" w:hint="eastAsia"/>
          <w:szCs w:val="21"/>
        </w:rPr>
        <w:t>”</w:t>
      </w:r>
      <w:r w:rsidRPr="000147DB">
        <w:rPr>
          <w:rFonts w:ascii="Arial" w:hAnsi="Arial" w:cs="Arial" w:hint="eastAsia"/>
          <w:szCs w:val="21"/>
        </w:rPr>
        <w:t>）与</w:t>
      </w:r>
      <w:r w:rsidR="00530AC9" w:rsidRPr="00530AC9">
        <w:rPr>
          <w:rFonts w:ascii="Arial" w:hAnsi="Arial" w:cs="Arial" w:hint="eastAsia"/>
          <w:szCs w:val="21"/>
        </w:rPr>
        <w:t>江苏银行股份有限公司</w:t>
      </w:r>
      <w:r w:rsidR="00EB6A0C" w:rsidRPr="000147DB">
        <w:rPr>
          <w:rFonts w:ascii="Arial" w:hAnsi="Arial" w:cs="Arial" w:hint="eastAsia"/>
          <w:szCs w:val="21"/>
        </w:rPr>
        <w:t>（以下简称</w:t>
      </w:r>
      <w:r w:rsidR="008E7082">
        <w:rPr>
          <w:rFonts w:ascii="Arial" w:hAnsi="Arial" w:cs="Arial" w:hint="eastAsia"/>
          <w:szCs w:val="21"/>
        </w:rPr>
        <w:t>“</w:t>
      </w:r>
      <w:r w:rsidR="00530AC9" w:rsidRPr="00530AC9">
        <w:rPr>
          <w:rFonts w:ascii="Arial" w:hAnsi="Arial" w:cs="Arial" w:hint="eastAsia"/>
          <w:szCs w:val="21"/>
        </w:rPr>
        <w:t>江苏银行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CB05E3">
        <w:rPr>
          <w:rFonts w:ascii="Arial" w:hAnsi="Arial" w:cs="Arial"/>
          <w:szCs w:val="21"/>
        </w:rPr>
        <w:t>4</w:t>
      </w:r>
      <w:r w:rsidR="00032518" w:rsidRPr="000147DB">
        <w:rPr>
          <w:rFonts w:ascii="Arial" w:hAnsi="Arial" w:cs="Arial" w:hint="eastAsia"/>
          <w:szCs w:val="21"/>
        </w:rPr>
        <w:t>年</w:t>
      </w:r>
      <w:r w:rsidR="00CB05E3">
        <w:rPr>
          <w:rFonts w:ascii="Arial" w:hAnsi="Arial" w:cs="Arial" w:hint="eastAsia"/>
          <w:szCs w:val="21"/>
        </w:rPr>
        <w:t>1</w:t>
      </w:r>
      <w:r w:rsidR="00032518" w:rsidRPr="000147DB">
        <w:rPr>
          <w:rFonts w:ascii="Arial" w:hAnsi="Arial" w:cs="Arial" w:hint="eastAsia"/>
          <w:szCs w:val="21"/>
        </w:rPr>
        <w:t>月</w:t>
      </w:r>
      <w:r w:rsidR="00530AC9">
        <w:rPr>
          <w:rFonts w:ascii="Arial" w:hAnsi="Arial" w:cs="Arial" w:hint="eastAsia"/>
          <w:szCs w:val="21"/>
        </w:rPr>
        <w:t>24</w:t>
      </w:r>
      <w:r w:rsidRPr="000147DB">
        <w:rPr>
          <w:rFonts w:ascii="Arial" w:hAnsi="Arial" w:cs="Arial" w:hint="eastAsia"/>
          <w:szCs w:val="21"/>
        </w:rPr>
        <w:t>日起新增委托</w:t>
      </w:r>
      <w:r w:rsidR="00530AC9" w:rsidRPr="00530AC9">
        <w:rPr>
          <w:rFonts w:ascii="Arial" w:hAnsi="Arial" w:cs="Arial" w:hint="eastAsia"/>
          <w:szCs w:val="21"/>
        </w:rPr>
        <w:t>江苏银行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530AC9" w:rsidRPr="00530AC9">
        <w:rPr>
          <w:rFonts w:ascii="Arial" w:hAnsi="Arial" w:cs="Arial" w:hint="eastAsia"/>
          <w:szCs w:val="21"/>
        </w:rPr>
        <w:t>江苏银行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2835"/>
        <w:gridCol w:w="1134"/>
        <w:gridCol w:w="1418"/>
        <w:gridCol w:w="1559"/>
      </w:tblGrid>
      <w:tr w:rsidR="002B7241" w:rsidRPr="000837F2" w:rsidTr="000837F2">
        <w:trPr>
          <w:trHeight w:val="781"/>
        </w:trPr>
        <w:tc>
          <w:tcPr>
            <w:tcW w:w="1271" w:type="dxa"/>
            <w:shd w:val="clear" w:color="000000" w:fill="D9D9D9"/>
            <w:noWrap/>
            <w:vAlign w:val="center"/>
            <w:hideMark/>
          </w:tcPr>
          <w:p w:rsidR="002B7241" w:rsidRPr="000837F2" w:rsidRDefault="002B7241" w:rsidP="002B7241">
            <w:pPr>
              <w:widowControl/>
              <w:jc w:val="center"/>
              <w:rPr>
                <w:rFonts w:ascii="宋体" w:hAnsi="宋体" w:cs="Arial"/>
                <w:b/>
                <w:bCs/>
                <w:kern w:val="0"/>
                <w:szCs w:val="21"/>
              </w:rPr>
            </w:pPr>
            <w:r w:rsidRPr="000837F2">
              <w:rPr>
                <w:rFonts w:ascii="宋体" w:hAnsi="宋体" w:cs="Arial"/>
                <w:b/>
                <w:bCs/>
                <w:kern w:val="0"/>
                <w:szCs w:val="21"/>
              </w:rPr>
              <w:t>基金代码</w:t>
            </w:r>
          </w:p>
        </w:tc>
        <w:tc>
          <w:tcPr>
            <w:tcW w:w="2835" w:type="dxa"/>
            <w:shd w:val="clear" w:color="000000" w:fill="D9D9D9"/>
            <w:noWrap/>
            <w:vAlign w:val="center"/>
            <w:hideMark/>
          </w:tcPr>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基金名称</w:t>
            </w:r>
          </w:p>
        </w:tc>
        <w:tc>
          <w:tcPr>
            <w:tcW w:w="1134" w:type="dxa"/>
            <w:shd w:val="clear" w:color="000000" w:fill="D9D9D9"/>
            <w:vAlign w:val="center"/>
          </w:tcPr>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是否开通</w:t>
            </w:r>
          </w:p>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定投业务</w:t>
            </w:r>
          </w:p>
        </w:tc>
        <w:tc>
          <w:tcPr>
            <w:tcW w:w="1418" w:type="dxa"/>
            <w:shd w:val="clear" w:color="000000" w:fill="D9D9D9"/>
            <w:vAlign w:val="center"/>
          </w:tcPr>
          <w:p w:rsidR="004D7080" w:rsidRPr="000837F2" w:rsidRDefault="002B7241" w:rsidP="004D7080">
            <w:pPr>
              <w:widowControl/>
              <w:jc w:val="center"/>
              <w:rPr>
                <w:rFonts w:ascii="宋体" w:hAnsi="宋体" w:cs="Arial"/>
                <w:b/>
                <w:bCs/>
                <w:kern w:val="0"/>
                <w:szCs w:val="21"/>
              </w:rPr>
            </w:pPr>
            <w:r w:rsidRPr="000837F2">
              <w:rPr>
                <w:rFonts w:ascii="宋体" w:hAnsi="宋体" w:cs="Arial"/>
                <w:b/>
                <w:bCs/>
                <w:kern w:val="0"/>
                <w:szCs w:val="21"/>
              </w:rPr>
              <w:t>是否开通</w:t>
            </w:r>
          </w:p>
          <w:p w:rsidR="002B7241" w:rsidRPr="000837F2" w:rsidRDefault="002B7241" w:rsidP="000147DB">
            <w:pPr>
              <w:widowControl/>
              <w:jc w:val="center"/>
              <w:rPr>
                <w:rFonts w:ascii="宋体" w:hAnsi="宋体" w:cs="Arial"/>
                <w:b/>
                <w:bCs/>
                <w:kern w:val="0"/>
                <w:szCs w:val="21"/>
              </w:rPr>
            </w:pPr>
            <w:r w:rsidRPr="000837F2">
              <w:rPr>
                <w:rFonts w:ascii="宋体" w:hAnsi="宋体" w:cs="Arial"/>
                <w:b/>
                <w:bCs/>
                <w:kern w:val="0"/>
                <w:szCs w:val="21"/>
              </w:rPr>
              <w:t>转换业务</w:t>
            </w:r>
          </w:p>
        </w:tc>
        <w:tc>
          <w:tcPr>
            <w:tcW w:w="1559" w:type="dxa"/>
            <w:shd w:val="clear" w:color="000000" w:fill="D9D9D9"/>
            <w:vAlign w:val="center"/>
          </w:tcPr>
          <w:p w:rsidR="002B7241" w:rsidRPr="000837F2" w:rsidRDefault="002B7241" w:rsidP="009F7BA0">
            <w:pPr>
              <w:widowControl/>
              <w:jc w:val="center"/>
              <w:rPr>
                <w:rFonts w:ascii="宋体" w:hAnsi="宋体" w:cs="Arial"/>
                <w:b/>
                <w:bCs/>
                <w:kern w:val="0"/>
                <w:szCs w:val="21"/>
              </w:rPr>
            </w:pPr>
            <w:r w:rsidRPr="000837F2">
              <w:rPr>
                <w:rFonts w:ascii="宋体" w:hAnsi="宋体" w:cs="Arial"/>
                <w:b/>
                <w:bCs/>
                <w:kern w:val="0"/>
                <w:szCs w:val="21"/>
              </w:rPr>
              <w:t>是否参加销售机构申购（含定期定额申购）费率优惠</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000181</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景顺长城四季金利债券型证券投资基金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000252</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景顺长城景兴信用纯债债券型证券投资基金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001422</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景顺长城安享回报灵活配置混合型证券投资基金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001535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景顺长城改革机遇灵活配置混合型证券投资基金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002065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景顺长城景盛双息收益债券型证券投资基金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002796</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景顺长城景盈双利债券型证券投资基金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003315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景顺长城政策性金融债债券型证券投资基金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003407</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景顺长城景泰丰利纯债债券型证券投资基金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004707</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景顺长城睿成灵活配置混合型证券投资基金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007562</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景顺长城景泰纯利债券型证券投资基金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008409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景顺长城景泰裕利纯债债券型证券投资基金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009499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景顺长城安鑫回报一年持有期混合型证券投资基金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010949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景顺长城研究驱动三年持有期混合型证券投资基金</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011803</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景顺长城宁景</w:t>
            </w:r>
            <w:r>
              <w:rPr>
                <w:rFonts w:ascii="Arial" w:hAnsi="Arial" w:cs="Arial"/>
                <w:szCs w:val="21"/>
              </w:rPr>
              <w:t>6</w:t>
            </w:r>
            <w:r>
              <w:rPr>
                <w:rFonts w:cs="Arial" w:hint="eastAsia"/>
                <w:szCs w:val="21"/>
              </w:rPr>
              <w:t>个月持有期混合型证券投资基金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sidRPr="000837F2">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lastRenderedPageBreak/>
              <w:t>011804</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景顺长城宁景</w:t>
            </w:r>
            <w:r>
              <w:rPr>
                <w:rFonts w:ascii="Arial" w:hAnsi="Arial" w:cs="Arial"/>
                <w:szCs w:val="21"/>
              </w:rPr>
              <w:t>6</w:t>
            </w:r>
            <w:r>
              <w:rPr>
                <w:rFonts w:cs="Arial" w:hint="eastAsia"/>
                <w:szCs w:val="21"/>
              </w:rPr>
              <w:t>个月持有期混合型证券投资基金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012564</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w:t>
            </w:r>
            <w:r>
              <w:rPr>
                <w:rFonts w:ascii="Arial" w:hAnsi="Arial" w:cs="Arial"/>
                <w:szCs w:val="21"/>
              </w:rPr>
              <w:t>90</w:t>
            </w:r>
            <w:r>
              <w:rPr>
                <w:rFonts w:cs="Arial" w:hint="eastAsia"/>
                <w:szCs w:val="21"/>
              </w:rPr>
              <w:t>天持有期短债债券型证券投资基金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013380</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景顺长城景泰纯利债券型证券投资基金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013645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景顺长城景泰鼎利一年定期开放纯债债券型证券投资基金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559" w:type="dxa"/>
            <w:shd w:val="clear" w:color="000000" w:fill="FFFFFF"/>
            <w:vAlign w:val="center"/>
          </w:tcPr>
          <w:p w:rsidR="00530AC9" w:rsidRPr="000837F2" w:rsidRDefault="000D7DEB"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014148</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景顺长城安鼎一年持有期混合型证券投资基金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014790</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景顺长城产业臻选一年持有期混合型证券投资基金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015162</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景顺长城鑫景产业精选一年持有期混合型证券投资基金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015408</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景顺长城成长趋势股票型证券投资基金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015409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景顺长城成长趋势股票型证券投资基金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016128</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景顺长城中证红利低波动</w:t>
            </w:r>
            <w:r>
              <w:rPr>
                <w:rFonts w:ascii="Arial" w:hAnsi="Arial" w:cs="Arial"/>
                <w:szCs w:val="21"/>
              </w:rPr>
              <w:t>100</w:t>
            </w:r>
            <w:r>
              <w:rPr>
                <w:rFonts w:cs="Arial" w:hint="eastAsia"/>
                <w:szCs w:val="21"/>
              </w:rPr>
              <w:t>交易型开放式指数证券投资基金发起式联接基金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016129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景顺长城中证红利低波动</w:t>
            </w:r>
            <w:r>
              <w:rPr>
                <w:rFonts w:ascii="Arial" w:hAnsi="Arial" w:cs="Arial"/>
                <w:szCs w:val="21"/>
              </w:rPr>
              <w:t>100</w:t>
            </w:r>
            <w:r>
              <w:rPr>
                <w:rFonts w:cs="Arial" w:hint="eastAsia"/>
                <w:szCs w:val="21"/>
              </w:rPr>
              <w:t>交易型开放式指数证券投资基金发起式联接基金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016307</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景顺长城北交所精选两年定期开放混合型证券投资基金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016496</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景顺长城中证港股通科技交易型开放式指数证券投资基金发起式联接基金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016668</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景顺长城全球半导体芯片产业股票型证券投资基金（</w:t>
            </w:r>
            <w:r>
              <w:rPr>
                <w:rFonts w:ascii="Arial" w:hAnsi="Arial" w:cs="Arial"/>
                <w:szCs w:val="21"/>
              </w:rPr>
              <w:t>QDII-LOF</w:t>
            </w:r>
            <w:r>
              <w:rPr>
                <w:rFonts w:cs="Arial" w:hint="eastAsia"/>
                <w:szCs w:val="21"/>
              </w:rPr>
              <w:t>）</w:t>
            </w:r>
            <w:r>
              <w:rPr>
                <w:rFonts w:ascii="Arial" w:hAnsi="Arial" w:cs="Arial"/>
                <w:szCs w:val="21"/>
              </w:rPr>
              <w:t>C</w:t>
            </w:r>
            <w:r>
              <w:rPr>
                <w:rFonts w:cs="Arial" w:hint="eastAsia"/>
                <w:szCs w:val="21"/>
              </w:rPr>
              <w:t>人民币</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0D7DEB" w:rsidP="00530AC9">
            <w:pPr>
              <w:widowControl/>
              <w:jc w:val="center"/>
              <w:rPr>
                <w:rFonts w:ascii="Arial" w:hAnsi="Arial" w:cs="Arial"/>
                <w:szCs w:val="21"/>
              </w:rPr>
            </w:pPr>
            <w:r>
              <w:rPr>
                <w:rFonts w:cs="Arial" w:hint="eastAsia"/>
                <w:szCs w:val="21"/>
              </w:rPr>
              <w:t>不</w:t>
            </w:r>
            <w:r w:rsidR="00530AC9">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016933</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景顺长城睿丰短债债券型证券投资基金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016934</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景顺长城睿丰短债债券型证券投资基金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017090</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景顺长城能源基建混合型证券投资基金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017091</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景顺长城纳斯达克科技市值加权交易型开放式指数证券投资基金发起式联接基金</w:t>
            </w:r>
            <w:r>
              <w:rPr>
                <w:rFonts w:cs="Arial" w:hint="eastAsia"/>
                <w:szCs w:val="21"/>
              </w:rPr>
              <w:lastRenderedPageBreak/>
              <w:t>（</w:t>
            </w:r>
            <w:r>
              <w:rPr>
                <w:rFonts w:ascii="Arial" w:hAnsi="Arial" w:cs="Arial"/>
                <w:szCs w:val="21"/>
              </w:rPr>
              <w:t>QDII</w:t>
            </w:r>
            <w:r>
              <w:rPr>
                <w:rFonts w:cs="Arial" w:hint="eastAsia"/>
                <w:szCs w:val="21"/>
              </w:rPr>
              <w:t>）</w:t>
            </w:r>
            <w:r>
              <w:rPr>
                <w:rFonts w:ascii="Arial" w:hAnsi="Arial" w:cs="Arial"/>
                <w:szCs w:val="21"/>
              </w:rPr>
              <w:t>A</w:t>
            </w:r>
            <w:r>
              <w:rPr>
                <w:rFonts w:cs="Arial" w:hint="eastAsia"/>
                <w:szCs w:val="21"/>
              </w:rPr>
              <w:t>人民币</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lastRenderedPageBreak/>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lastRenderedPageBreak/>
              <w:t>017093</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景顺长城纳斯达克科技市值加权交易型开放式指数证券投资基金发起式联接基金（</w:t>
            </w:r>
            <w:r>
              <w:rPr>
                <w:rFonts w:ascii="Arial" w:hAnsi="Arial" w:cs="Arial"/>
                <w:szCs w:val="21"/>
              </w:rPr>
              <w:t>QDII</w:t>
            </w:r>
            <w:r>
              <w:rPr>
                <w:rFonts w:cs="Arial" w:hint="eastAsia"/>
                <w:szCs w:val="21"/>
              </w:rPr>
              <w:t>）</w:t>
            </w:r>
            <w:r>
              <w:rPr>
                <w:rFonts w:ascii="Arial" w:hAnsi="Arial" w:cs="Arial"/>
                <w:szCs w:val="21"/>
              </w:rPr>
              <w:t>C</w:t>
            </w:r>
            <w:r>
              <w:rPr>
                <w:rFonts w:cs="Arial" w:hint="eastAsia"/>
                <w:szCs w:val="21"/>
              </w:rPr>
              <w:t>人民币</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017639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景顺长城景气优选一年持有期混合型证券投资基金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017729</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景顺长城景泰裕利纯债债券型证券投资基金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不开通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017860</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景顺长城致远混合型证券投资基金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017950</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景顺长城创业板</w:t>
            </w:r>
            <w:r>
              <w:rPr>
                <w:rFonts w:ascii="Arial" w:hAnsi="Arial" w:cs="Arial"/>
                <w:szCs w:val="21"/>
              </w:rPr>
              <w:t>50</w:t>
            </w:r>
            <w:r>
              <w:rPr>
                <w:rFonts w:cs="Arial" w:hint="eastAsia"/>
                <w:szCs w:val="21"/>
              </w:rPr>
              <w:t>交易型开放式指数证券投资基金联接基金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018504</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景顺长城周期优选混合型证券投资基金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018505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景顺长城周期优选混合型证券投资基金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019014</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景顺长城国证</w:t>
            </w:r>
            <w:r>
              <w:rPr>
                <w:rFonts w:ascii="Arial" w:hAnsi="Arial" w:cs="Arial"/>
                <w:szCs w:val="21"/>
              </w:rPr>
              <w:t>2000</w:t>
            </w:r>
            <w:r>
              <w:rPr>
                <w:rFonts w:cs="Arial" w:hint="eastAsia"/>
                <w:szCs w:val="21"/>
              </w:rPr>
              <w:t>指数增强型证券投资基金</w:t>
            </w:r>
            <w:r>
              <w:rPr>
                <w:rFonts w:ascii="Arial" w:hAnsi="Arial" w:cs="Arial"/>
                <w:szCs w:val="21"/>
              </w:rPr>
              <w:t>C</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不适用</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261002</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景顺长城优信增利债券型证券投资基金</w:t>
            </w:r>
            <w:r>
              <w:rPr>
                <w:rFonts w:ascii="Arial" w:hAnsi="Arial" w:cs="Arial"/>
                <w:szCs w:val="21"/>
              </w:rPr>
              <w:t>A</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p>
        </w:tc>
      </w:tr>
      <w:tr w:rsidR="00530AC9" w:rsidRPr="000837F2" w:rsidTr="006A75DB">
        <w:trPr>
          <w:trHeight w:val="288"/>
        </w:trPr>
        <w:tc>
          <w:tcPr>
            <w:tcW w:w="1271" w:type="dxa"/>
            <w:shd w:val="clear" w:color="auto" w:fill="auto"/>
            <w:noWrap/>
            <w:vAlign w:val="center"/>
          </w:tcPr>
          <w:p w:rsidR="00530AC9" w:rsidRPr="000837F2" w:rsidRDefault="00530AC9" w:rsidP="00530AC9">
            <w:pPr>
              <w:widowControl/>
              <w:jc w:val="center"/>
              <w:rPr>
                <w:rFonts w:ascii="Arial" w:hAnsi="Arial" w:cs="Arial"/>
                <w:szCs w:val="21"/>
              </w:rPr>
            </w:pPr>
            <w:r>
              <w:rPr>
                <w:rFonts w:ascii="Arial" w:hAnsi="Arial" w:cs="Arial"/>
                <w:szCs w:val="21"/>
              </w:rPr>
              <w:t>501225</w:t>
            </w:r>
          </w:p>
        </w:tc>
        <w:tc>
          <w:tcPr>
            <w:tcW w:w="2835" w:type="dxa"/>
            <w:shd w:val="clear" w:color="000000" w:fill="FFFFFF"/>
            <w:noWrap/>
            <w:vAlign w:val="center"/>
          </w:tcPr>
          <w:p w:rsidR="00530AC9" w:rsidRPr="000837F2" w:rsidRDefault="00530AC9" w:rsidP="00530AC9">
            <w:pPr>
              <w:widowControl/>
              <w:rPr>
                <w:rFonts w:ascii="Arial" w:hAnsi="Arial" w:cs="Arial"/>
                <w:szCs w:val="21"/>
              </w:rPr>
            </w:pPr>
            <w:r>
              <w:rPr>
                <w:rFonts w:cs="Arial" w:hint="eastAsia"/>
                <w:szCs w:val="21"/>
              </w:rPr>
              <w:t>景顺长城全球半导体芯片产业股票型证券投资基金（</w:t>
            </w:r>
            <w:r>
              <w:rPr>
                <w:rFonts w:ascii="Arial" w:hAnsi="Arial" w:cs="Arial"/>
                <w:szCs w:val="21"/>
              </w:rPr>
              <w:t>QDII-LOF</w:t>
            </w:r>
            <w:r>
              <w:rPr>
                <w:rFonts w:cs="Arial" w:hint="eastAsia"/>
                <w:szCs w:val="21"/>
              </w:rPr>
              <w:t>）</w:t>
            </w:r>
            <w:r>
              <w:rPr>
                <w:rFonts w:ascii="Arial" w:hAnsi="Arial" w:cs="Arial"/>
                <w:szCs w:val="21"/>
              </w:rPr>
              <w:t>A</w:t>
            </w:r>
            <w:r>
              <w:rPr>
                <w:rFonts w:cs="Arial" w:hint="eastAsia"/>
                <w:szCs w:val="21"/>
              </w:rPr>
              <w:t>人民币</w:t>
            </w:r>
          </w:p>
        </w:tc>
        <w:tc>
          <w:tcPr>
            <w:tcW w:w="1134" w:type="dxa"/>
            <w:shd w:val="clear" w:color="000000" w:fill="FFFFFF"/>
            <w:vAlign w:val="center"/>
          </w:tcPr>
          <w:p w:rsidR="00530AC9" w:rsidRPr="000837F2" w:rsidRDefault="00530AC9" w:rsidP="00530AC9">
            <w:pPr>
              <w:widowControl/>
              <w:jc w:val="center"/>
              <w:rPr>
                <w:rFonts w:ascii="Arial" w:hAnsi="Arial" w:cs="Arial"/>
                <w:szCs w:val="21"/>
              </w:rPr>
            </w:pPr>
            <w:r>
              <w:rPr>
                <w:rFonts w:cs="Arial" w:hint="eastAsia"/>
                <w:szCs w:val="21"/>
              </w:rPr>
              <w:t>开通</w:t>
            </w:r>
          </w:p>
        </w:tc>
        <w:tc>
          <w:tcPr>
            <w:tcW w:w="1418" w:type="dxa"/>
            <w:shd w:val="clear" w:color="000000" w:fill="FFFFFF"/>
            <w:vAlign w:val="center"/>
          </w:tcPr>
          <w:p w:rsidR="00530AC9" w:rsidRPr="000837F2" w:rsidRDefault="000D7DEB" w:rsidP="00530AC9">
            <w:pPr>
              <w:widowControl/>
              <w:jc w:val="center"/>
              <w:rPr>
                <w:rFonts w:ascii="Arial" w:hAnsi="Arial" w:cs="Arial"/>
                <w:szCs w:val="21"/>
              </w:rPr>
            </w:pPr>
            <w:r>
              <w:rPr>
                <w:rFonts w:cs="Arial" w:hint="eastAsia"/>
                <w:szCs w:val="21"/>
              </w:rPr>
              <w:t>不</w:t>
            </w:r>
            <w:r w:rsidR="00530AC9">
              <w:rPr>
                <w:rFonts w:cs="Arial" w:hint="eastAsia"/>
                <w:szCs w:val="21"/>
              </w:rPr>
              <w:t>开通</w:t>
            </w:r>
          </w:p>
        </w:tc>
        <w:tc>
          <w:tcPr>
            <w:tcW w:w="1559" w:type="dxa"/>
            <w:shd w:val="clear" w:color="000000" w:fill="FFFFFF"/>
            <w:vAlign w:val="center"/>
          </w:tcPr>
          <w:p w:rsidR="00530AC9" w:rsidRPr="000837F2" w:rsidRDefault="00530AC9" w:rsidP="00530AC9">
            <w:pPr>
              <w:widowControl/>
              <w:jc w:val="center"/>
              <w:rPr>
                <w:rFonts w:ascii="宋体" w:hAnsi="宋体" w:cs="Arial"/>
                <w:szCs w:val="21"/>
              </w:rPr>
            </w:pPr>
            <w:r>
              <w:rPr>
                <w:rFonts w:ascii="宋体" w:hAnsi="宋体" w:cs="Arial" w:hint="eastAsia"/>
                <w:szCs w:val="21"/>
              </w:rPr>
              <w:t>是</w:t>
            </w:r>
            <w:bookmarkStart w:id="0" w:name="_GoBack"/>
            <w:bookmarkEnd w:id="0"/>
          </w:p>
        </w:tc>
      </w:tr>
    </w:tbl>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530AC9" w:rsidRPr="00530AC9">
        <w:rPr>
          <w:rFonts w:ascii="Arial" w:hAnsi="Arial" w:cs="Arial" w:hint="eastAsia"/>
          <w:szCs w:val="21"/>
        </w:rPr>
        <w:t>江苏银行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0D3E6C" w:rsidRPr="00735537" w:rsidRDefault="00EF4360" w:rsidP="000D3E6C">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530AC9" w:rsidRPr="00530AC9">
        <w:rPr>
          <w:rFonts w:ascii="Arial" w:hAnsi="Arial" w:cs="Arial" w:hint="eastAsia"/>
          <w:color w:val="000000"/>
          <w:kern w:val="0"/>
          <w:szCs w:val="21"/>
        </w:rPr>
        <w:t>江苏银行股份有限公司</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注册（办公）地址：</w:t>
      </w:r>
      <w:r w:rsidRPr="00530AC9">
        <w:rPr>
          <w:rFonts w:ascii="Arial" w:hAnsi="Arial" w:cs="Arial" w:hint="eastAsia"/>
          <w:kern w:val="0"/>
          <w:szCs w:val="21"/>
        </w:rPr>
        <w:t xml:space="preserve"> </w:t>
      </w:r>
      <w:r w:rsidRPr="00530AC9">
        <w:rPr>
          <w:rFonts w:ascii="Arial" w:hAnsi="Arial" w:cs="Arial" w:hint="eastAsia"/>
          <w:kern w:val="0"/>
          <w:szCs w:val="21"/>
        </w:rPr>
        <w:t>南京市中华路</w:t>
      </w:r>
      <w:r w:rsidRPr="00530AC9">
        <w:rPr>
          <w:rFonts w:ascii="Arial" w:hAnsi="Arial" w:cs="Arial" w:hint="eastAsia"/>
          <w:kern w:val="0"/>
          <w:szCs w:val="21"/>
        </w:rPr>
        <w:t>26</w:t>
      </w:r>
      <w:r w:rsidRPr="00530AC9">
        <w:rPr>
          <w:rFonts w:ascii="Arial" w:hAnsi="Arial" w:cs="Arial" w:hint="eastAsia"/>
          <w:kern w:val="0"/>
          <w:szCs w:val="21"/>
        </w:rPr>
        <w:t>号</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法定代表人：</w:t>
      </w:r>
      <w:r w:rsidRPr="00530AC9">
        <w:rPr>
          <w:rFonts w:ascii="Arial" w:hAnsi="Arial" w:cs="Arial" w:hint="eastAsia"/>
          <w:kern w:val="0"/>
          <w:szCs w:val="21"/>
        </w:rPr>
        <w:t xml:space="preserve"> </w:t>
      </w:r>
      <w:r w:rsidRPr="00530AC9">
        <w:rPr>
          <w:rFonts w:ascii="Arial" w:hAnsi="Arial" w:cs="Arial" w:hint="eastAsia"/>
          <w:kern w:val="0"/>
          <w:szCs w:val="21"/>
        </w:rPr>
        <w:t>夏平</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联系人：张洪玮</w:t>
      </w:r>
      <w:r w:rsidRPr="00530AC9">
        <w:rPr>
          <w:rFonts w:ascii="Arial" w:hAnsi="Arial" w:cs="Arial" w:hint="eastAsia"/>
          <w:kern w:val="0"/>
          <w:szCs w:val="21"/>
        </w:rPr>
        <w:t xml:space="preserve"> </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电话：</w:t>
      </w:r>
      <w:r w:rsidRPr="00530AC9">
        <w:rPr>
          <w:rFonts w:ascii="Arial" w:hAnsi="Arial" w:cs="Arial" w:hint="eastAsia"/>
          <w:kern w:val="0"/>
          <w:szCs w:val="21"/>
        </w:rPr>
        <w:t>025-58587036</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传真：</w:t>
      </w:r>
      <w:r w:rsidRPr="00530AC9">
        <w:rPr>
          <w:rFonts w:ascii="Arial" w:hAnsi="Arial" w:cs="Arial" w:hint="eastAsia"/>
          <w:kern w:val="0"/>
          <w:szCs w:val="21"/>
        </w:rPr>
        <w:t>025-58587820</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客户服务电话：</w:t>
      </w:r>
      <w:r w:rsidRPr="00530AC9">
        <w:rPr>
          <w:rFonts w:ascii="Arial" w:hAnsi="Arial" w:cs="Arial" w:hint="eastAsia"/>
          <w:kern w:val="0"/>
          <w:szCs w:val="21"/>
        </w:rPr>
        <w:t xml:space="preserve">95319 </w:t>
      </w:r>
    </w:p>
    <w:p w:rsidR="00677CFE"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网址：</w:t>
      </w:r>
      <w:hyperlink r:id="rId7" w:history="1">
        <w:r w:rsidRPr="00807776">
          <w:rPr>
            <w:rStyle w:val="a8"/>
            <w:rFonts w:ascii="Arial" w:hAnsi="Arial" w:cs="Arial" w:hint="eastAsia"/>
            <w:kern w:val="0"/>
            <w:szCs w:val="21"/>
          </w:rPr>
          <w:t>www.jsbchina.cn</w:t>
        </w:r>
      </w:hyperlink>
    </w:p>
    <w:p w:rsidR="00530AC9" w:rsidRPr="000D3E6C" w:rsidRDefault="00530AC9" w:rsidP="00530AC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0D3E6C" w:rsidRPr="00735537" w:rsidRDefault="00EF4360" w:rsidP="000D3E6C">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530AC9" w:rsidRPr="00530AC9">
        <w:rPr>
          <w:rFonts w:ascii="Arial" w:hAnsi="Arial" w:cs="Arial" w:hint="eastAsia"/>
          <w:color w:val="000000"/>
          <w:kern w:val="0"/>
          <w:szCs w:val="21"/>
        </w:rPr>
        <w:t>江苏银行股份有限公司</w:t>
      </w:r>
    </w:p>
    <w:p w:rsidR="00530AC9" w:rsidRPr="00530AC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客户服务电话：</w:t>
      </w:r>
      <w:r w:rsidRPr="00530AC9">
        <w:rPr>
          <w:rFonts w:ascii="Arial" w:hAnsi="Arial" w:cs="Arial" w:hint="eastAsia"/>
          <w:kern w:val="0"/>
          <w:szCs w:val="21"/>
        </w:rPr>
        <w:t xml:space="preserve">95319 </w:t>
      </w:r>
    </w:p>
    <w:p w:rsidR="000237E9" w:rsidRDefault="00530AC9" w:rsidP="00530AC9">
      <w:pPr>
        <w:widowControl/>
        <w:spacing w:line="360" w:lineRule="auto"/>
        <w:ind w:firstLineChars="200" w:firstLine="420"/>
        <w:jc w:val="left"/>
        <w:rPr>
          <w:rFonts w:ascii="Arial" w:hAnsi="Arial" w:cs="Arial"/>
          <w:kern w:val="0"/>
          <w:szCs w:val="21"/>
        </w:rPr>
      </w:pPr>
      <w:r w:rsidRPr="00530AC9">
        <w:rPr>
          <w:rFonts w:ascii="Arial" w:hAnsi="Arial" w:cs="Arial" w:hint="eastAsia"/>
          <w:kern w:val="0"/>
          <w:szCs w:val="21"/>
        </w:rPr>
        <w:t>网址：</w:t>
      </w:r>
      <w:hyperlink r:id="rId8" w:history="1">
        <w:r w:rsidRPr="00807776">
          <w:rPr>
            <w:rStyle w:val="a8"/>
            <w:rFonts w:ascii="Arial" w:hAnsi="Arial" w:cs="Arial" w:hint="eastAsia"/>
            <w:kern w:val="0"/>
            <w:szCs w:val="21"/>
          </w:rPr>
          <w:t>www.jsbchina.cn</w:t>
        </w:r>
      </w:hyperlink>
    </w:p>
    <w:p w:rsidR="00530AC9" w:rsidRPr="000D3E6C" w:rsidRDefault="00530AC9" w:rsidP="00530AC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B05E3">
        <w:rPr>
          <w:rFonts w:ascii="Arial" w:hAnsi="Arial" w:cs="Arial" w:hint="eastAsia"/>
          <w:kern w:val="0"/>
          <w:szCs w:val="21"/>
        </w:rPr>
        <w:t>四</w:t>
      </w:r>
      <w:r w:rsidRPr="00FD5083">
        <w:rPr>
          <w:rFonts w:ascii="Arial" w:hAnsi="Arial" w:cs="Arial"/>
          <w:kern w:val="0"/>
          <w:szCs w:val="21"/>
        </w:rPr>
        <w:t>年</w:t>
      </w:r>
      <w:r w:rsidR="00CB05E3">
        <w:rPr>
          <w:rFonts w:ascii="Arial" w:hAnsi="Arial" w:cs="Arial" w:hint="eastAsia"/>
          <w:kern w:val="0"/>
          <w:szCs w:val="21"/>
        </w:rPr>
        <w:t>一</w:t>
      </w:r>
      <w:r w:rsidR="00527CFF" w:rsidRPr="00FD5083">
        <w:rPr>
          <w:rFonts w:ascii="Arial" w:hAnsi="Arial" w:cs="Arial"/>
          <w:kern w:val="0"/>
          <w:szCs w:val="21"/>
        </w:rPr>
        <w:t>月</w:t>
      </w:r>
      <w:r w:rsidR="00530AC9">
        <w:rPr>
          <w:rFonts w:ascii="Arial" w:hAnsi="Arial" w:cs="Arial" w:hint="eastAsia"/>
          <w:kern w:val="0"/>
          <w:szCs w:val="21"/>
        </w:rPr>
        <w:t>二十四</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63" w:rsidRDefault="006C6863" w:rsidP="008E6554">
      <w:r>
        <w:separator/>
      </w:r>
    </w:p>
  </w:endnote>
  <w:endnote w:type="continuationSeparator" w:id="0">
    <w:p w:rsidR="006C6863" w:rsidRDefault="006C6863"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63" w:rsidRDefault="006C6863" w:rsidP="008E6554">
      <w:r>
        <w:separator/>
      </w:r>
    </w:p>
  </w:footnote>
  <w:footnote w:type="continuationSeparator" w:id="0">
    <w:p w:rsidR="006C6863" w:rsidRDefault="006C6863"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74DC4"/>
    <w:rsid w:val="000837F2"/>
    <w:rsid w:val="000863EA"/>
    <w:rsid w:val="0009138D"/>
    <w:rsid w:val="00093D33"/>
    <w:rsid w:val="000975F7"/>
    <w:rsid w:val="000A2295"/>
    <w:rsid w:val="000B4D9B"/>
    <w:rsid w:val="000C0793"/>
    <w:rsid w:val="000C1AEC"/>
    <w:rsid w:val="000C47B7"/>
    <w:rsid w:val="000D3E6C"/>
    <w:rsid w:val="000D7DEB"/>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0AC9"/>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CFE"/>
    <w:rsid w:val="00677D38"/>
    <w:rsid w:val="00681EEC"/>
    <w:rsid w:val="00685860"/>
    <w:rsid w:val="006909DF"/>
    <w:rsid w:val="0069540A"/>
    <w:rsid w:val="00696C12"/>
    <w:rsid w:val="00697CBA"/>
    <w:rsid w:val="006A5633"/>
    <w:rsid w:val="006B400E"/>
    <w:rsid w:val="006B7217"/>
    <w:rsid w:val="006B759B"/>
    <w:rsid w:val="006B7BF1"/>
    <w:rsid w:val="006C0C60"/>
    <w:rsid w:val="006C10CC"/>
    <w:rsid w:val="006C17F9"/>
    <w:rsid w:val="006C1CCC"/>
    <w:rsid w:val="006C6863"/>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148"/>
    <w:rsid w:val="00B0642D"/>
    <w:rsid w:val="00B07B2B"/>
    <w:rsid w:val="00B16AFD"/>
    <w:rsid w:val="00B22640"/>
    <w:rsid w:val="00B3369A"/>
    <w:rsid w:val="00B34B54"/>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08B6"/>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0285"/>
    <w:rsid w:val="00C816E4"/>
    <w:rsid w:val="00C83A06"/>
    <w:rsid w:val="00C84AB3"/>
    <w:rsid w:val="00C85ECB"/>
    <w:rsid w:val="00C87754"/>
    <w:rsid w:val="00C90513"/>
    <w:rsid w:val="00C91010"/>
    <w:rsid w:val="00C930D5"/>
    <w:rsid w:val="00C94AEA"/>
    <w:rsid w:val="00C95E03"/>
    <w:rsid w:val="00C978D0"/>
    <w:rsid w:val="00CA0DBB"/>
    <w:rsid w:val="00CB05E3"/>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bchina.cn" TargetMode="External"/><Relationship Id="rId3" Type="http://schemas.openxmlformats.org/officeDocument/2006/relationships/settings" Target="settings.xml"/><Relationship Id="rId7" Type="http://schemas.openxmlformats.org/officeDocument/2006/relationships/hyperlink" Target="http://www.jsbchina.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2826</Characters>
  <Application>Microsoft Office Word</Application>
  <DocSecurity>4</DocSecurity>
  <Lines>23</Lines>
  <Paragraphs>6</Paragraphs>
  <ScaleCrop>false</ScaleCrop>
  <Company>JDJR</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2024-01-23T16:02:00Z</dcterms:created>
  <dcterms:modified xsi:type="dcterms:W3CDTF">2024-01-23T16:02:00Z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