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7856" w:rsidRPr="006B65DD" w:rsidRDefault="006B65DD" w:rsidP="00317516">
      <w:pPr>
        <w:pStyle w:val="div"/>
        <w:spacing w:line="360" w:lineRule="auto"/>
        <w:jc w:val="center"/>
        <w:rPr>
          <w:rFonts w:ascii="黑体" w:eastAsia="黑体" w:hAnsi="黑体" w:cs="仿宋"/>
          <w:kern w:val="0"/>
          <w:sz w:val="36"/>
          <w:szCs w:val="32"/>
        </w:rPr>
      </w:pPr>
      <w:r w:rsidRPr="006B65DD">
        <w:rPr>
          <w:rFonts w:ascii="黑体" w:eastAsia="黑体" w:hAnsi="黑体" w:cs="仿宋"/>
          <w:b/>
          <w:bCs/>
          <w:kern w:val="0"/>
          <w:sz w:val="36"/>
          <w:szCs w:val="32"/>
        </w:rPr>
        <w:t>国联基金管理有限公司</w:t>
      </w:r>
    </w:p>
    <w:p w:rsidR="00917856" w:rsidRPr="00317516" w:rsidRDefault="006B65DD" w:rsidP="00317516">
      <w:pPr>
        <w:pStyle w:val="div"/>
        <w:wordWrap w:val="0"/>
        <w:spacing w:line="360" w:lineRule="auto"/>
        <w:ind w:left="361" w:hangingChars="100" w:hanging="361"/>
        <w:rPr>
          <w:rFonts w:ascii="黑体" w:eastAsia="黑体" w:hAnsi="黑体" w:cs="仿宋"/>
          <w:b/>
          <w:bCs/>
          <w:kern w:val="0"/>
          <w:sz w:val="36"/>
          <w:szCs w:val="32"/>
        </w:rPr>
      </w:pPr>
      <w:r w:rsidRPr="006B65DD">
        <w:rPr>
          <w:rFonts w:ascii="黑体" w:eastAsia="黑体" w:hAnsi="黑体" w:cs="仿宋"/>
          <w:b/>
          <w:bCs/>
          <w:kern w:val="0"/>
          <w:sz w:val="36"/>
          <w:szCs w:val="32"/>
        </w:rPr>
        <w:t>关于国联产业趋势一年定期开放混合型证券</w:t>
      </w:r>
      <w:r w:rsidR="00317516">
        <w:rPr>
          <w:rFonts w:ascii="黑体" w:eastAsia="黑体" w:hAnsi="黑体" w:cs="仿宋"/>
          <w:b/>
          <w:bCs/>
          <w:kern w:val="0"/>
          <w:sz w:val="36"/>
          <w:szCs w:val="32"/>
        </w:rPr>
        <w:t>投</w:t>
      </w:r>
      <w:r w:rsidRPr="006B65DD">
        <w:rPr>
          <w:rFonts w:ascii="黑体" w:eastAsia="黑体" w:hAnsi="黑体" w:cs="仿宋"/>
          <w:b/>
          <w:bCs/>
          <w:kern w:val="0"/>
          <w:sz w:val="36"/>
          <w:szCs w:val="32"/>
        </w:rPr>
        <w:t>基金可能触发基金合同终止情形的第一次提示性公告</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根据《中华人民共和国证券</w:t>
      </w:r>
      <w:bookmarkStart w:id="0" w:name="_GoBack"/>
      <w:bookmarkEnd w:id="0"/>
      <w:r w:rsidRPr="006B65DD">
        <w:rPr>
          <w:rFonts w:ascii="仿宋" w:eastAsia="仿宋" w:hAnsi="仿宋" w:cs="仿宋"/>
          <w:kern w:val="0"/>
          <w:sz w:val="32"/>
          <w:szCs w:val="32"/>
        </w:rPr>
        <w:t>投资基金法》、《公开募集证券投资基金运作管理办法》、《国联产业趋势一年定期开放混合型证券投资基金基金合同》（以下简称“《基金合同》” 或“基金合同”）的有关规定，国联产业趋势一年定期开放混合型证券投资基金（以下简称“本基金”）可能触发基金合同终止情形。现将相关事宜公告如下：</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一、本基金基本信息</w:t>
      </w:r>
    </w:p>
    <w:tbl>
      <w:tblPr>
        <w:tblStyle w:val="table"/>
        <w:tblW w:w="5002" w:type="pct"/>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5E0"/>
      </w:tblPr>
      <w:tblGrid>
        <w:gridCol w:w="3199"/>
        <w:gridCol w:w="2772"/>
        <w:gridCol w:w="2560"/>
      </w:tblGrid>
      <w:tr w:rsidR="00917856" w:rsidRPr="006B65DD" w:rsidTr="006B65DD">
        <w:trPr>
          <w:jc w:val="center"/>
        </w:trPr>
        <w:tc>
          <w:tcPr>
            <w:tcW w:w="3109" w:type="dxa"/>
            <w:tcBorders>
              <w:bottom w:val="single" w:sz="6" w:space="0" w:color="000000"/>
              <w:right w:val="single" w:sz="6" w:space="0" w:color="000000"/>
            </w:tcBorders>
            <w:tcMar>
              <w:top w:w="136"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基金名称</w:t>
            </w:r>
          </w:p>
        </w:tc>
        <w:tc>
          <w:tcPr>
            <w:tcW w:w="5180" w:type="dxa"/>
            <w:gridSpan w:val="2"/>
            <w:tcBorders>
              <w:bottom w:val="single" w:sz="6" w:space="0" w:color="000000"/>
            </w:tcBorders>
            <w:tcMar>
              <w:top w:w="136" w:type="dxa"/>
              <w:left w:w="108" w:type="dxa"/>
              <w:bottom w:w="134" w:type="dxa"/>
              <w:right w:w="111" w:type="dxa"/>
            </w:tcMar>
            <w:vAlign w:val="center"/>
            <w:hideMark/>
          </w:tcPr>
          <w:p w:rsidR="00917856"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国联产业趋势一年定期开放混合型证券投资基金</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基金简称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国联产业趋势一年定开混合</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基金主代码</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基金运作方式</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契约型、定期开放式</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基金合同生效日期</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2020</w:t>
            </w:r>
            <w:r w:rsidRPr="006B65DD">
              <w:rPr>
                <w:rFonts w:eastAsia="仿宋"/>
                <w:color w:val="000000"/>
                <w:kern w:val="0"/>
                <w:sz w:val="32"/>
                <w:szCs w:val="32"/>
              </w:rPr>
              <w:t>年</w:t>
            </w:r>
            <w:r w:rsidRPr="006B65DD">
              <w:rPr>
                <w:rFonts w:eastAsia="仿宋"/>
                <w:color w:val="000000"/>
                <w:kern w:val="0"/>
                <w:sz w:val="32"/>
                <w:szCs w:val="32"/>
              </w:rPr>
              <w:t>12</w:t>
            </w:r>
            <w:r w:rsidRPr="006B65DD">
              <w:rPr>
                <w:rFonts w:eastAsia="仿宋"/>
                <w:color w:val="000000"/>
                <w:kern w:val="0"/>
                <w:sz w:val="32"/>
                <w:szCs w:val="32"/>
              </w:rPr>
              <w:t>月</w:t>
            </w:r>
            <w:r w:rsidRPr="006B65DD">
              <w:rPr>
                <w:rFonts w:eastAsia="仿宋"/>
                <w:color w:val="000000"/>
                <w:kern w:val="0"/>
                <w:sz w:val="32"/>
                <w:szCs w:val="32"/>
              </w:rPr>
              <w:t>23</w:t>
            </w:r>
            <w:r w:rsidRPr="006B65DD">
              <w:rPr>
                <w:rFonts w:eastAsia="仿宋"/>
                <w:color w:val="000000"/>
                <w:kern w:val="0"/>
                <w:sz w:val="32"/>
                <w:szCs w:val="32"/>
              </w:rPr>
              <w:t>日</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基金管理人名称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国联基金管理有限公司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widowControl/>
              <w:spacing w:line="276"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基金托管人名称</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widowControl/>
              <w:spacing w:line="276" w:lineRule="auto"/>
              <w:jc w:val="center"/>
              <w:rPr>
                <w:rFonts w:eastAsia="仿宋"/>
                <w:color w:val="000000"/>
                <w:kern w:val="0"/>
                <w:sz w:val="32"/>
                <w:szCs w:val="32"/>
              </w:rPr>
            </w:pPr>
            <w:r w:rsidRPr="006B65DD">
              <w:rPr>
                <w:rFonts w:eastAsia="仿宋"/>
                <w:color w:val="000000"/>
                <w:kern w:val="0"/>
                <w:sz w:val="32"/>
                <w:szCs w:val="32"/>
              </w:rPr>
              <w:t>中国工商银行股份有限公司</w:t>
            </w:r>
          </w:p>
        </w:tc>
      </w:tr>
      <w:tr w:rsidR="00917856" w:rsidRPr="006B65DD" w:rsidTr="006B65DD">
        <w:trPr>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917856" w:rsidRPr="006B65DD" w:rsidRDefault="006B65DD">
            <w:pPr>
              <w:pStyle w:val="div"/>
              <w:spacing w:line="480" w:lineRule="atLeast"/>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lastRenderedPageBreak/>
              <w:t>公告依据</w:t>
            </w:r>
          </w:p>
        </w:tc>
        <w:tc>
          <w:tcPr>
            <w:tcW w:w="5180" w:type="dxa"/>
            <w:gridSpan w:val="2"/>
            <w:tcBorders>
              <w:top w:val="single" w:sz="6" w:space="0" w:color="000000"/>
              <w:bottom w:val="single" w:sz="6" w:space="0" w:color="000000"/>
            </w:tcBorders>
            <w:tcMar>
              <w:top w:w="134" w:type="dxa"/>
              <w:left w:w="108" w:type="dxa"/>
              <w:bottom w:w="134" w:type="dxa"/>
              <w:right w:w="111" w:type="dxa"/>
            </w:tcMar>
            <w:vAlign w:val="center"/>
            <w:hideMark/>
          </w:tcPr>
          <w:p w:rsidR="00917856" w:rsidRPr="006B65DD" w:rsidRDefault="006B65DD">
            <w:pPr>
              <w:pStyle w:val="div"/>
              <w:spacing w:line="480" w:lineRule="atLeast"/>
              <w:rPr>
                <w:rFonts w:ascii="仿宋" w:eastAsia="仿宋" w:hAnsi="仿宋" w:cs="仿宋"/>
                <w:color w:val="000000"/>
                <w:kern w:val="0"/>
                <w:sz w:val="32"/>
                <w:szCs w:val="32"/>
              </w:rPr>
            </w:pPr>
            <w:r w:rsidRPr="006B65DD">
              <w:rPr>
                <w:rFonts w:ascii="仿宋" w:eastAsia="仿宋" w:hAnsi="仿宋" w:cs="仿宋"/>
                <w:color w:val="000000"/>
                <w:kern w:val="0"/>
                <w:sz w:val="32"/>
                <w:szCs w:val="32"/>
              </w:rPr>
              <w:t>《中华人民共和国证券投资基金法》、《公开募集证券投资基金信息披露管理办法》、《公开募集证券投资基金运作管理办法》、《国联产业趋势一年定期开放混合型证券投资基金基金合同》、《国联产业趋势一年定期开放混合型证券投资基金招募说明书》</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bookmarkStart w:id="1" w:name="_Toc275961406"/>
            <w:r w:rsidRPr="006B65DD">
              <w:rPr>
                <w:rFonts w:ascii="仿宋" w:eastAsia="仿宋" w:hAnsi="仿宋" w:cs="仿宋"/>
                <w:color w:val="000000"/>
                <w:kern w:val="0"/>
                <w:sz w:val="32"/>
                <w:szCs w:val="32"/>
              </w:rPr>
              <w:t>下属基金份额类别的基金简称</w:t>
            </w:r>
            <w:bookmarkEnd w:id="1"/>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sidRPr="006B65DD">
              <w:rPr>
                <w:rFonts w:eastAsia="仿宋"/>
                <w:color w:val="000000"/>
                <w:kern w:val="0"/>
                <w:sz w:val="32"/>
                <w:szCs w:val="32"/>
              </w:rPr>
              <w:t>A</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jc w:val="center"/>
              <w:rPr>
                <w:rFonts w:eastAsia="仿宋"/>
                <w:color w:val="000000"/>
                <w:kern w:val="0"/>
                <w:sz w:val="32"/>
                <w:szCs w:val="32"/>
              </w:rPr>
            </w:pPr>
            <w:r w:rsidRPr="006B65DD">
              <w:rPr>
                <w:rFonts w:eastAsia="仿宋"/>
                <w:color w:val="000000"/>
                <w:kern w:val="0"/>
                <w:sz w:val="32"/>
                <w:szCs w:val="32"/>
              </w:rPr>
              <w:t>国联产业趋势一年定开混合</w:t>
            </w:r>
            <w:r>
              <w:rPr>
                <w:rFonts w:eastAsia="仿宋" w:hint="eastAsia"/>
                <w:color w:val="000000"/>
                <w:kern w:val="0"/>
                <w:sz w:val="32"/>
                <w:szCs w:val="32"/>
              </w:rPr>
              <w:t>C</w:t>
            </w:r>
          </w:p>
        </w:tc>
      </w:tr>
      <w:tr w:rsidR="006B65DD" w:rsidRPr="006B65DD" w:rsidTr="006B65DD">
        <w:trPr>
          <w:trHeight w:val="312"/>
          <w:jc w:val="center"/>
        </w:trPr>
        <w:tc>
          <w:tcPr>
            <w:tcW w:w="3109" w:type="dxa"/>
            <w:tcBorders>
              <w:top w:val="single" w:sz="6" w:space="0" w:color="000000"/>
              <w:bottom w:val="single" w:sz="6" w:space="0" w:color="000000"/>
              <w:right w:val="single" w:sz="6" w:space="0" w:color="000000"/>
            </w:tcBorders>
            <w:tcMar>
              <w:top w:w="134" w:type="dxa"/>
              <w:left w:w="111" w:type="dxa"/>
              <w:bottom w:w="134" w:type="dxa"/>
              <w:right w:w="108" w:type="dxa"/>
            </w:tcMar>
            <w:vAlign w:val="center"/>
            <w:hideMark/>
          </w:tcPr>
          <w:p w:rsidR="006B65DD" w:rsidRPr="006B65DD" w:rsidRDefault="006B65DD">
            <w:pPr>
              <w:pStyle w:val="div"/>
              <w:spacing w:line="360" w:lineRule="auto"/>
              <w:jc w:val="center"/>
              <w:rPr>
                <w:rFonts w:ascii="仿宋" w:eastAsia="仿宋" w:hAnsi="仿宋" w:cs="仿宋"/>
                <w:color w:val="000000"/>
                <w:kern w:val="0"/>
                <w:sz w:val="32"/>
                <w:szCs w:val="32"/>
              </w:rPr>
            </w:pPr>
            <w:r w:rsidRPr="006B65DD">
              <w:rPr>
                <w:rFonts w:ascii="仿宋" w:eastAsia="仿宋" w:hAnsi="仿宋" w:cs="仿宋"/>
                <w:color w:val="000000"/>
                <w:kern w:val="0"/>
                <w:sz w:val="32"/>
                <w:szCs w:val="32"/>
              </w:rPr>
              <w:t>下属基金份额类别的交易代码</w:t>
            </w:r>
          </w:p>
        </w:tc>
        <w:tc>
          <w:tcPr>
            <w:tcW w:w="2693" w:type="dxa"/>
            <w:tcBorders>
              <w:top w:val="single" w:sz="6" w:space="0" w:color="000000"/>
              <w:left w:val="single" w:sz="6" w:space="0" w:color="000000"/>
              <w:bottom w:val="single" w:sz="6" w:space="0" w:color="000000"/>
              <w:right w:val="single" w:sz="6" w:space="0" w:color="000000"/>
            </w:tcBorders>
            <w:tcMar>
              <w:top w:w="134" w:type="dxa"/>
              <w:left w:w="108" w:type="dxa"/>
              <w:bottom w:w="134" w:type="dxa"/>
              <w:right w:w="108" w:type="dxa"/>
            </w:tcMar>
            <w:vAlign w:val="center"/>
            <w:hideMark/>
          </w:tcPr>
          <w:p w:rsidR="006B65DD" w:rsidRPr="006B65DD" w:rsidRDefault="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010613</w:t>
            </w:r>
          </w:p>
        </w:tc>
        <w:tc>
          <w:tcPr>
            <w:tcW w:w="2487"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08" w:type="dxa"/>
            </w:tcMar>
            <w:vAlign w:val="center"/>
            <w:hideMark/>
          </w:tcPr>
          <w:p w:rsidR="006B65DD" w:rsidRPr="006B65DD" w:rsidRDefault="006B65DD" w:rsidP="006B65DD">
            <w:pPr>
              <w:pStyle w:val="div"/>
              <w:spacing w:line="360" w:lineRule="auto"/>
              <w:ind w:firstLine="200"/>
              <w:jc w:val="center"/>
              <w:rPr>
                <w:rFonts w:eastAsia="仿宋"/>
                <w:color w:val="000000"/>
                <w:kern w:val="0"/>
                <w:sz w:val="32"/>
                <w:szCs w:val="32"/>
              </w:rPr>
            </w:pPr>
            <w:r w:rsidRPr="006B65DD">
              <w:rPr>
                <w:rFonts w:eastAsia="仿宋"/>
                <w:color w:val="000000"/>
                <w:kern w:val="0"/>
                <w:sz w:val="32"/>
                <w:szCs w:val="32"/>
              </w:rPr>
              <w:t>010614</w:t>
            </w:r>
          </w:p>
        </w:tc>
      </w:tr>
    </w:tbl>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注：国联基金管理有限公司以下简称“本基金管理人”。</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二、可能触发基金合同终止的情形说明</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根据《基金合同》“第五部分 基金备案”中“三、基金存续期内的基金份额持有人数量和资产规模”的约定：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“基金合同生效后，在任一开放期的最后一日日终，如发生以下情形之一的,则无须召开基金份额持有人大会，本基金将根据基金合同的约定进行基金财产清算并终止</w:t>
      </w:r>
      <w:r w:rsidR="00382046">
        <w:rPr>
          <w:rFonts w:ascii="仿宋" w:eastAsia="仿宋" w:hAnsi="仿宋" w:cs="仿宋" w:hint="eastAsia"/>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、基金资产净值加上当日有效申购申请金额及基金转</w:t>
      </w:r>
      <w:r w:rsidRPr="006B65DD">
        <w:rPr>
          <w:rFonts w:ascii="仿宋" w:eastAsia="仿宋" w:hAnsi="仿宋" w:cs="仿宋"/>
          <w:kern w:val="0"/>
          <w:sz w:val="32"/>
          <w:szCs w:val="32"/>
        </w:rPr>
        <w:t>换中转入申请金额扣除有效赎回申请金额及基金转换中转</w:t>
      </w:r>
      <w:r w:rsidRPr="006B65DD">
        <w:rPr>
          <w:rFonts w:ascii="仿宋" w:eastAsia="仿宋" w:hAnsi="仿宋" w:cs="仿宋"/>
          <w:kern w:val="0"/>
          <w:sz w:val="32"/>
          <w:szCs w:val="32"/>
        </w:rPr>
        <w:lastRenderedPageBreak/>
        <w:t>出申请金额后的余额低</w:t>
      </w:r>
      <w:r w:rsidRPr="006B65DD">
        <w:rPr>
          <w:rFonts w:eastAsia="仿宋"/>
          <w:kern w:val="0"/>
          <w:sz w:val="32"/>
          <w:szCs w:val="32"/>
        </w:rPr>
        <w:t>于</w:t>
      </w:r>
      <w:r w:rsidRPr="006B65DD">
        <w:rPr>
          <w:rFonts w:eastAsia="仿宋"/>
          <w:kern w:val="0"/>
          <w:sz w:val="32"/>
          <w:szCs w:val="32"/>
        </w:rPr>
        <w:t>5000</w:t>
      </w:r>
      <w:r w:rsidRPr="006B65DD">
        <w:rPr>
          <w:rFonts w:ascii="仿宋" w:eastAsia="仿宋" w:hAnsi="仿宋" w:cs="仿宋"/>
          <w:kern w:val="0"/>
          <w:sz w:val="32"/>
          <w:szCs w:val="32"/>
        </w:rPr>
        <w:t xml:space="preserve"> 万元；</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w:t>
      </w:r>
      <w:r w:rsidRPr="006B65DD">
        <w:rPr>
          <w:rFonts w:ascii="仿宋" w:eastAsia="仿宋" w:hAnsi="仿宋" w:cs="仿宋"/>
          <w:kern w:val="0"/>
          <w:sz w:val="32"/>
          <w:szCs w:val="32"/>
        </w:rPr>
        <w:t>基金份额持有人人数少</w:t>
      </w:r>
      <w:r w:rsidRPr="006B65DD">
        <w:rPr>
          <w:rFonts w:eastAsia="仿宋"/>
          <w:kern w:val="0"/>
          <w:sz w:val="32"/>
          <w:szCs w:val="32"/>
        </w:rPr>
        <w:t>于</w:t>
      </w:r>
      <w:r w:rsidRPr="006B65DD">
        <w:rPr>
          <w:rFonts w:eastAsia="仿宋"/>
          <w:kern w:val="0"/>
          <w:sz w:val="32"/>
          <w:szCs w:val="32"/>
        </w:rPr>
        <w:t xml:space="preserve"> 200 </w:t>
      </w:r>
      <w:r w:rsidRPr="006B65DD">
        <w:rPr>
          <w:rFonts w:eastAsia="仿宋"/>
          <w:kern w:val="0"/>
          <w:sz w:val="32"/>
          <w:szCs w:val="32"/>
        </w:rPr>
        <w:t>人</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法律法规或监管部门另有规定时，从其规定。”</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目前，本基金处于第三个开放期（即</w:t>
      </w:r>
      <w:r w:rsidRPr="004653C2">
        <w:rPr>
          <w:rFonts w:eastAsia="仿宋"/>
          <w:kern w:val="0"/>
          <w:sz w:val="32"/>
          <w:szCs w:val="32"/>
        </w:rPr>
        <w:t>2024</w:t>
      </w:r>
      <w:r w:rsidRPr="004653C2">
        <w:rPr>
          <w:rFonts w:eastAsia="仿宋"/>
          <w:kern w:val="0"/>
          <w:sz w:val="32"/>
          <w:szCs w:val="32"/>
        </w:rPr>
        <w:t>年</w:t>
      </w:r>
      <w:r w:rsidRPr="004653C2">
        <w:rPr>
          <w:rFonts w:eastAsia="仿宋"/>
          <w:kern w:val="0"/>
          <w:sz w:val="32"/>
          <w:szCs w:val="32"/>
        </w:rPr>
        <w:t>1</w:t>
      </w:r>
      <w:r w:rsidRPr="004653C2">
        <w:rPr>
          <w:rFonts w:eastAsia="仿宋"/>
          <w:kern w:val="0"/>
          <w:sz w:val="32"/>
          <w:szCs w:val="32"/>
        </w:rPr>
        <w:t>月</w:t>
      </w:r>
      <w:r w:rsidRPr="004653C2">
        <w:rPr>
          <w:rFonts w:eastAsia="仿宋"/>
          <w:kern w:val="0"/>
          <w:sz w:val="32"/>
          <w:szCs w:val="32"/>
        </w:rPr>
        <w:t>22</w:t>
      </w:r>
      <w:r w:rsidRPr="004653C2">
        <w:rPr>
          <w:rFonts w:eastAsia="仿宋"/>
          <w:kern w:val="0"/>
          <w:sz w:val="32"/>
          <w:szCs w:val="32"/>
        </w:rPr>
        <w:t>日</w:t>
      </w:r>
      <w:r w:rsidRPr="006B65DD">
        <w:rPr>
          <w:rFonts w:ascii="仿宋" w:eastAsia="仿宋" w:hAnsi="仿宋" w:cs="仿宋"/>
          <w:kern w:val="0"/>
          <w:sz w:val="32"/>
          <w:szCs w:val="32"/>
        </w:rPr>
        <w:t>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日共</w:t>
      </w:r>
      <w:r w:rsidRPr="006B65DD">
        <w:rPr>
          <w:rFonts w:eastAsia="仿宋"/>
          <w:kern w:val="0"/>
          <w:sz w:val="32"/>
          <w:szCs w:val="32"/>
        </w:rPr>
        <w:t>20</w:t>
      </w:r>
      <w:r w:rsidRPr="006B65DD">
        <w:rPr>
          <w:rFonts w:eastAsia="仿宋"/>
          <w:kern w:val="0"/>
          <w:sz w:val="32"/>
          <w:szCs w:val="32"/>
        </w:rPr>
        <w:t>个工作日）。若截至本基金本次开放期最后一日（即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日）日终，本基金出现触发基金合同终止的上述情形，则无需召开基金份额持有人大会，本基金合同将于该日次日终止</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jc w:val="left"/>
        <w:rPr>
          <w:rFonts w:ascii="仿宋" w:eastAsia="仿宋" w:hAnsi="仿宋" w:cs="仿宋"/>
          <w:kern w:val="0"/>
          <w:sz w:val="32"/>
          <w:szCs w:val="32"/>
        </w:rPr>
      </w:pPr>
      <w:r w:rsidRPr="006B65DD">
        <w:rPr>
          <w:rFonts w:ascii="仿宋" w:eastAsia="仿宋" w:hAnsi="仿宋" w:cs="仿宋"/>
          <w:b/>
          <w:bCs/>
          <w:kern w:val="0"/>
          <w:sz w:val="32"/>
          <w:szCs w:val="32"/>
        </w:rPr>
        <w:t>三、其他需要提示的事项</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1</w:t>
      </w:r>
      <w:r w:rsidRPr="006B65DD">
        <w:rPr>
          <w:rFonts w:eastAsia="仿宋"/>
          <w:kern w:val="0"/>
          <w:sz w:val="32"/>
          <w:szCs w:val="32"/>
        </w:rPr>
        <w:t>、根据基金合同的约定，本基金以定期开放的方式运作。根据基金管理人于</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17</w:t>
      </w:r>
      <w:r w:rsidRPr="006B65DD">
        <w:rPr>
          <w:rFonts w:eastAsia="仿宋"/>
          <w:kern w:val="0"/>
          <w:sz w:val="32"/>
          <w:szCs w:val="32"/>
        </w:rPr>
        <w:t>日发布的《国联产业趋势一年定期开放混合型证券投资基金第三个开放期开放申购、赎回、转换业务的公告》，自</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22</w:t>
      </w:r>
      <w:r w:rsidRPr="006B65DD">
        <w:rPr>
          <w:rFonts w:eastAsia="仿宋"/>
          <w:kern w:val="0"/>
          <w:sz w:val="32"/>
          <w:szCs w:val="32"/>
        </w:rPr>
        <w:t>日（含该日）至</w:t>
      </w: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2</w:t>
      </w:r>
      <w:r w:rsidRPr="006B65DD">
        <w:rPr>
          <w:rFonts w:eastAsia="仿宋"/>
          <w:kern w:val="0"/>
          <w:sz w:val="32"/>
          <w:szCs w:val="32"/>
        </w:rPr>
        <w:t>月</w:t>
      </w:r>
      <w:r w:rsidRPr="006B65DD">
        <w:rPr>
          <w:rFonts w:eastAsia="仿宋"/>
          <w:kern w:val="0"/>
          <w:sz w:val="32"/>
          <w:szCs w:val="32"/>
        </w:rPr>
        <w:t>26</w:t>
      </w:r>
      <w:r w:rsidRPr="006B65DD">
        <w:rPr>
          <w:rFonts w:eastAsia="仿宋"/>
          <w:kern w:val="0"/>
          <w:sz w:val="32"/>
          <w:szCs w:val="32"/>
        </w:rPr>
        <w:t>日（含该日）期间的工作日本基金接受投资者的申购和赎回申请。若出现上述基金合同终止情形，本基金将不再开放申购、赎回和转换业务</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2</w:t>
      </w:r>
      <w:r w:rsidRPr="006B65DD">
        <w:rPr>
          <w:rFonts w:eastAsia="仿宋"/>
          <w:kern w:val="0"/>
          <w:sz w:val="32"/>
          <w:szCs w:val="32"/>
        </w:rPr>
        <w:t>、若发生上述基金合同终止情形，本基金管理人将根据</w:t>
      </w:r>
      <w:r w:rsidRPr="006B65DD">
        <w:rPr>
          <w:rFonts w:ascii="仿宋" w:eastAsia="仿宋" w:hAnsi="仿宋" w:cs="仿宋"/>
          <w:kern w:val="0"/>
          <w:sz w:val="32"/>
          <w:szCs w:val="32"/>
        </w:rPr>
        <w:t>相关法律法规、《基金合同》等规定，自出现基金合同终止事由之日起</w:t>
      </w:r>
      <w:r w:rsidRPr="006B65DD">
        <w:rPr>
          <w:rFonts w:eastAsia="仿宋"/>
          <w:kern w:val="0"/>
          <w:sz w:val="32"/>
          <w:szCs w:val="32"/>
        </w:rPr>
        <w:t xml:space="preserve"> 30 </w:t>
      </w:r>
      <w:r w:rsidRPr="006B65DD">
        <w:rPr>
          <w:rFonts w:eastAsia="仿宋"/>
          <w:kern w:val="0"/>
          <w:sz w:val="32"/>
          <w:szCs w:val="32"/>
        </w:rPr>
        <w:t>个工作日内成立清算小组，履行基金财产清算程序。本基金进入清算程序后将不再开放办理申购、赎回及转换等业务。基金财产将在基金财产清算小组履行完毕清算程序后进行分配。敬请投资者予以关注，妥善做好投资</w:t>
      </w:r>
      <w:r w:rsidRPr="006B65DD">
        <w:rPr>
          <w:rFonts w:ascii="仿宋" w:eastAsia="仿宋" w:hAnsi="仿宋" w:cs="仿宋"/>
          <w:kern w:val="0"/>
          <w:sz w:val="32"/>
          <w:szCs w:val="32"/>
        </w:rPr>
        <w:t>安排。</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3</w:t>
      </w:r>
      <w:r w:rsidRPr="006B65DD">
        <w:rPr>
          <w:rFonts w:eastAsia="仿宋"/>
          <w:kern w:val="0"/>
          <w:sz w:val="32"/>
          <w:szCs w:val="32"/>
        </w:rPr>
        <w:t>、</w:t>
      </w:r>
      <w:r w:rsidRPr="006B65DD">
        <w:rPr>
          <w:rFonts w:ascii="仿宋" w:eastAsia="仿宋" w:hAnsi="仿宋" w:cs="仿宋"/>
          <w:kern w:val="0"/>
          <w:sz w:val="32"/>
          <w:szCs w:val="32"/>
        </w:rPr>
        <w:t>咨询办法：</w:t>
      </w:r>
      <w:r w:rsidRPr="006B65DD">
        <w:rPr>
          <w:rFonts w:eastAsia="仿宋"/>
          <w:kern w:val="0"/>
          <w:sz w:val="32"/>
          <w:szCs w:val="32"/>
        </w:rPr>
        <w:t>如有疑问，请拨打本基金管理人客户服务电话</w:t>
      </w:r>
      <w:r w:rsidRPr="006B65DD">
        <w:rPr>
          <w:rFonts w:eastAsia="仿宋"/>
          <w:kern w:val="0"/>
          <w:sz w:val="32"/>
          <w:szCs w:val="32"/>
        </w:rPr>
        <w:t>400-160-6000</w:t>
      </w:r>
      <w:r w:rsidRPr="006B65DD">
        <w:rPr>
          <w:rFonts w:eastAsia="仿宋"/>
          <w:kern w:val="0"/>
          <w:sz w:val="32"/>
          <w:szCs w:val="32"/>
        </w:rPr>
        <w:t>，</w:t>
      </w:r>
      <w:r w:rsidRPr="006B65DD">
        <w:rPr>
          <w:rFonts w:eastAsia="仿宋"/>
          <w:kern w:val="0"/>
          <w:sz w:val="32"/>
          <w:szCs w:val="32"/>
        </w:rPr>
        <w:t>010-56517299</w:t>
      </w:r>
      <w:r w:rsidRPr="006B65DD">
        <w:rPr>
          <w:rFonts w:eastAsia="仿宋"/>
          <w:kern w:val="0"/>
          <w:sz w:val="32"/>
          <w:szCs w:val="32"/>
        </w:rPr>
        <w:t>或登录本公司网站（</w:t>
      </w:r>
      <w:r w:rsidRPr="006B65DD">
        <w:rPr>
          <w:rFonts w:eastAsia="仿宋"/>
          <w:kern w:val="0"/>
          <w:sz w:val="32"/>
          <w:szCs w:val="32"/>
        </w:rPr>
        <w:t>www.glfund.com</w:t>
      </w:r>
      <w:r w:rsidRPr="006B65DD">
        <w:rPr>
          <w:rFonts w:eastAsia="仿宋"/>
          <w:kern w:val="0"/>
          <w:sz w:val="32"/>
          <w:szCs w:val="32"/>
        </w:rPr>
        <w:t>）获取相关信息</w:t>
      </w:r>
      <w:r w:rsidRPr="006B65DD">
        <w:rPr>
          <w:rFonts w:ascii="仿宋" w:eastAsia="仿宋" w:hAnsi="仿宋" w:cs="仿宋"/>
          <w:kern w:val="0"/>
          <w:sz w:val="32"/>
          <w:szCs w:val="32"/>
        </w:rPr>
        <w:t>。</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eastAsia="仿宋"/>
          <w:kern w:val="0"/>
          <w:sz w:val="32"/>
          <w:szCs w:val="32"/>
        </w:rPr>
        <w:t>4</w:t>
      </w:r>
      <w:r w:rsidRPr="006B65DD">
        <w:rPr>
          <w:rFonts w:eastAsia="仿宋"/>
          <w:kern w:val="0"/>
          <w:sz w:val="32"/>
          <w:szCs w:val="32"/>
        </w:rPr>
        <w:t>、</w:t>
      </w:r>
      <w:r w:rsidRPr="006B65DD">
        <w:rPr>
          <w:rFonts w:ascii="仿宋" w:eastAsia="仿宋" w:hAnsi="仿宋" w:cs="仿宋"/>
          <w:kern w:val="0"/>
          <w:sz w:val="32"/>
          <w:szCs w:val="32"/>
        </w:rPr>
        <w:t>风险提示：本基金管理人承诺以诚实信用、勤勉尽责的原则管理和运用基金资产，但不保证基金一定盈利，也不保证最低收益。投资者投资于本基金前应认真阅读本基金的基金合同和招募说明书。敬请投资者注意投资风险。</w:t>
      </w:r>
    </w:p>
    <w:p w:rsidR="00917856" w:rsidRPr="006B65DD" w:rsidRDefault="006B65DD">
      <w:pPr>
        <w:pStyle w:val="div"/>
        <w:wordWrap w:val="0"/>
        <w:spacing w:line="360" w:lineRule="auto"/>
        <w:ind w:firstLine="630"/>
        <w:rPr>
          <w:rFonts w:ascii="仿宋" w:eastAsia="仿宋" w:hAnsi="仿宋" w:cs="仿宋"/>
          <w:kern w:val="0"/>
          <w:sz w:val="32"/>
          <w:szCs w:val="32"/>
        </w:rPr>
      </w:pPr>
      <w:r w:rsidRPr="006B65DD">
        <w:rPr>
          <w:rFonts w:ascii="仿宋" w:eastAsia="仿宋" w:hAnsi="仿宋" w:cs="仿宋"/>
          <w:kern w:val="0"/>
          <w:sz w:val="32"/>
          <w:szCs w:val="32"/>
        </w:rPr>
        <w:t>特此公告。</w:t>
      </w:r>
    </w:p>
    <w:p w:rsidR="00917856" w:rsidRPr="006B65DD" w:rsidRDefault="00917856">
      <w:pPr>
        <w:pStyle w:val="p"/>
        <w:wordWrap w:val="0"/>
        <w:spacing w:line="360" w:lineRule="auto"/>
        <w:ind w:firstLine="630"/>
        <w:rPr>
          <w:rFonts w:ascii="仿宋" w:eastAsia="仿宋" w:hAnsi="仿宋" w:cs="仿宋"/>
          <w:kern w:val="0"/>
          <w:sz w:val="32"/>
          <w:szCs w:val="32"/>
        </w:rPr>
      </w:pPr>
    </w:p>
    <w:p w:rsidR="00917856" w:rsidRPr="006B65DD" w:rsidRDefault="006B65DD">
      <w:pPr>
        <w:pStyle w:val="div"/>
        <w:spacing w:line="360" w:lineRule="auto"/>
        <w:ind w:firstLine="630"/>
        <w:jc w:val="right"/>
        <w:rPr>
          <w:rFonts w:ascii="仿宋" w:eastAsia="仿宋" w:hAnsi="仿宋" w:cs="仿宋"/>
          <w:kern w:val="0"/>
          <w:sz w:val="32"/>
          <w:szCs w:val="32"/>
        </w:rPr>
      </w:pPr>
      <w:r w:rsidRPr="006B65DD">
        <w:rPr>
          <w:rFonts w:ascii="仿宋" w:eastAsia="仿宋" w:hAnsi="仿宋" w:cs="仿宋"/>
          <w:kern w:val="0"/>
          <w:sz w:val="32"/>
          <w:szCs w:val="32"/>
        </w:rPr>
        <w:t>国联基金管理有限公司</w:t>
      </w:r>
    </w:p>
    <w:p w:rsidR="00917856" w:rsidRPr="006B65DD" w:rsidRDefault="006B65DD">
      <w:pPr>
        <w:pStyle w:val="div"/>
        <w:spacing w:line="360" w:lineRule="auto"/>
        <w:ind w:firstLine="630"/>
        <w:jc w:val="right"/>
        <w:rPr>
          <w:rFonts w:eastAsia="仿宋"/>
          <w:kern w:val="0"/>
          <w:sz w:val="32"/>
          <w:szCs w:val="32"/>
        </w:rPr>
      </w:pPr>
      <w:r w:rsidRPr="006B65DD">
        <w:rPr>
          <w:rFonts w:eastAsia="仿宋"/>
          <w:kern w:val="0"/>
          <w:sz w:val="32"/>
          <w:szCs w:val="32"/>
        </w:rPr>
        <w:t>2024</w:t>
      </w:r>
      <w:r w:rsidRPr="006B65DD">
        <w:rPr>
          <w:rFonts w:eastAsia="仿宋"/>
          <w:kern w:val="0"/>
          <w:sz w:val="32"/>
          <w:szCs w:val="32"/>
        </w:rPr>
        <w:t>年</w:t>
      </w:r>
      <w:r w:rsidRPr="006B65DD">
        <w:rPr>
          <w:rFonts w:eastAsia="仿宋"/>
          <w:kern w:val="0"/>
          <w:sz w:val="32"/>
          <w:szCs w:val="32"/>
        </w:rPr>
        <w:t>1</w:t>
      </w:r>
      <w:r w:rsidRPr="006B65DD">
        <w:rPr>
          <w:rFonts w:eastAsia="仿宋"/>
          <w:kern w:val="0"/>
          <w:sz w:val="32"/>
          <w:szCs w:val="32"/>
        </w:rPr>
        <w:t>月</w:t>
      </w:r>
      <w:r w:rsidRPr="006B65DD">
        <w:rPr>
          <w:rFonts w:eastAsia="仿宋"/>
          <w:kern w:val="0"/>
          <w:sz w:val="32"/>
          <w:szCs w:val="32"/>
        </w:rPr>
        <w:t>24</w:t>
      </w:r>
      <w:r w:rsidRPr="006B65DD">
        <w:rPr>
          <w:rFonts w:eastAsia="仿宋"/>
          <w:kern w:val="0"/>
          <w:sz w:val="32"/>
          <w:szCs w:val="32"/>
        </w:rPr>
        <w:t>日</w:t>
      </w:r>
    </w:p>
    <w:sectPr w:rsidR="00917856" w:rsidRPr="006B65DD" w:rsidSect="009B213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8E" w:rsidRDefault="00A6728E" w:rsidP="00317516">
      <w:r>
        <w:separator/>
      </w:r>
    </w:p>
  </w:endnote>
  <w:endnote w:type="continuationSeparator" w:id="0">
    <w:p w:rsidR="00A6728E" w:rsidRDefault="00A6728E" w:rsidP="00317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8E" w:rsidRDefault="00A6728E" w:rsidP="00317516">
      <w:r>
        <w:separator/>
      </w:r>
    </w:p>
  </w:footnote>
  <w:footnote w:type="continuationSeparator" w:id="0">
    <w:p w:rsidR="00A6728E" w:rsidRDefault="00A6728E" w:rsidP="00317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17516"/>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046"/>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53C2"/>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B65DD"/>
    <w:rsid w:val="006C15DB"/>
    <w:rsid w:val="006C2B3B"/>
    <w:rsid w:val="006C2FDA"/>
    <w:rsid w:val="006C2FF1"/>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101C5"/>
    <w:rsid w:val="00910434"/>
    <w:rsid w:val="0091238F"/>
    <w:rsid w:val="00913F4F"/>
    <w:rsid w:val="00913F7B"/>
    <w:rsid w:val="00916542"/>
    <w:rsid w:val="00917856"/>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2135"/>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28E"/>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08E1"/>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B2135"/>
    <w:pPr>
      <w:widowControl w:val="0"/>
      <w:jc w:val="both"/>
    </w:pPr>
    <w:rPr>
      <w:kern w:val="2"/>
      <w:sz w:val="21"/>
      <w:lang w:eastAsia="zh-CN"/>
    </w:rPr>
  </w:style>
  <w:style w:type="paragraph" w:styleId="1">
    <w:name w:val="heading 1"/>
    <w:basedOn w:val="a"/>
    <w:next w:val="a"/>
    <w:link w:val="1Char"/>
    <w:qFormat/>
    <w:rsid w:val="009B2135"/>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B2135"/>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B213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B2135"/>
    <w:pPr>
      <w:ind w:firstLineChars="200" w:firstLine="420"/>
    </w:pPr>
  </w:style>
  <w:style w:type="paragraph" w:styleId="a4">
    <w:name w:val="Document Map"/>
    <w:basedOn w:val="a"/>
    <w:qFormat/>
    <w:rsid w:val="009B2135"/>
    <w:pPr>
      <w:shd w:val="clear" w:color="auto" w:fill="000080"/>
    </w:pPr>
  </w:style>
  <w:style w:type="paragraph" w:styleId="a5">
    <w:name w:val="annotation text"/>
    <w:basedOn w:val="a"/>
    <w:link w:val="Char"/>
    <w:qFormat/>
    <w:rsid w:val="009B2135"/>
    <w:pPr>
      <w:jc w:val="left"/>
    </w:pPr>
  </w:style>
  <w:style w:type="paragraph" w:styleId="a6">
    <w:name w:val="Body Text"/>
    <w:basedOn w:val="a"/>
    <w:link w:val="Char0"/>
    <w:qFormat/>
    <w:rsid w:val="009B2135"/>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9B2135"/>
    <w:pPr>
      <w:ind w:leftChars="400" w:left="840"/>
    </w:pPr>
  </w:style>
  <w:style w:type="paragraph" w:styleId="a7">
    <w:name w:val="Plain Text"/>
    <w:basedOn w:val="a"/>
    <w:qFormat/>
    <w:rsid w:val="009B2135"/>
    <w:pPr>
      <w:adjustRightInd w:val="0"/>
      <w:spacing w:line="312" w:lineRule="atLeast"/>
      <w:textAlignment w:val="baseline"/>
    </w:pPr>
    <w:rPr>
      <w:rFonts w:ascii="宋体" w:hAnsi="Courier New"/>
      <w:kern w:val="0"/>
    </w:rPr>
  </w:style>
  <w:style w:type="paragraph" w:styleId="20">
    <w:name w:val="Body Text Indent 2"/>
    <w:basedOn w:val="a"/>
    <w:qFormat/>
    <w:rsid w:val="009B2135"/>
    <w:pPr>
      <w:spacing w:line="360" w:lineRule="auto"/>
      <w:ind w:firstLine="425"/>
    </w:pPr>
    <w:rPr>
      <w:rFonts w:ascii="仿宋_GB2312" w:eastAsia="仿宋_GB2312"/>
      <w:sz w:val="28"/>
    </w:rPr>
  </w:style>
  <w:style w:type="paragraph" w:styleId="a8">
    <w:name w:val="Balloon Text"/>
    <w:basedOn w:val="a"/>
    <w:qFormat/>
    <w:rsid w:val="009B2135"/>
    <w:rPr>
      <w:sz w:val="18"/>
    </w:rPr>
  </w:style>
  <w:style w:type="paragraph" w:styleId="a9">
    <w:name w:val="footer"/>
    <w:basedOn w:val="a"/>
    <w:link w:val="Char1"/>
    <w:uiPriority w:val="99"/>
    <w:qFormat/>
    <w:rsid w:val="009B2135"/>
    <w:pPr>
      <w:tabs>
        <w:tab w:val="center" w:pos="4153"/>
        <w:tab w:val="right" w:pos="8306"/>
      </w:tabs>
      <w:snapToGrid w:val="0"/>
      <w:jc w:val="left"/>
    </w:pPr>
    <w:rPr>
      <w:sz w:val="18"/>
    </w:rPr>
  </w:style>
  <w:style w:type="paragraph" w:styleId="aa">
    <w:name w:val="header"/>
    <w:basedOn w:val="a"/>
    <w:link w:val="Char2"/>
    <w:uiPriority w:val="99"/>
    <w:qFormat/>
    <w:rsid w:val="009B2135"/>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9B2135"/>
    <w:pPr>
      <w:tabs>
        <w:tab w:val="right" w:leader="dot" w:pos="8296"/>
      </w:tabs>
      <w:spacing w:line="360" w:lineRule="auto"/>
    </w:pPr>
  </w:style>
  <w:style w:type="paragraph" w:styleId="ab">
    <w:name w:val="footnote text"/>
    <w:basedOn w:val="a"/>
    <w:qFormat/>
    <w:rsid w:val="009B2135"/>
    <w:pPr>
      <w:snapToGrid w:val="0"/>
      <w:jc w:val="left"/>
    </w:pPr>
    <w:rPr>
      <w:sz w:val="18"/>
    </w:rPr>
  </w:style>
  <w:style w:type="paragraph" w:styleId="31">
    <w:name w:val="Body Text Indent 3"/>
    <w:basedOn w:val="a"/>
    <w:qFormat/>
    <w:rsid w:val="009B2135"/>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9B2135"/>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9B2135"/>
    <w:pPr>
      <w:spacing w:before="240" w:after="60"/>
      <w:jc w:val="center"/>
      <w:outlineLvl w:val="0"/>
    </w:pPr>
    <w:rPr>
      <w:rFonts w:ascii="Cambria" w:hAnsi="Cambria"/>
      <w:b/>
      <w:sz w:val="32"/>
      <w:lang w:val="zh-CN"/>
    </w:rPr>
  </w:style>
  <w:style w:type="paragraph" w:styleId="ae">
    <w:name w:val="annotation subject"/>
    <w:basedOn w:val="a5"/>
    <w:next w:val="a5"/>
    <w:qFormat/>
    <w:rsid w:val="009B2135"/>
    <w:rPr>
      <w:b/>
    </w:rPr>
  </w:style>
  <w:style w:type="character" w:styleId="af">
    <w:name w:val="page number"/>
    <w:basedOn w:val="a0"/>
    <w:rsid w:val="009B2135"/>
  </w:style>
  <w:style w:type="character" w:styleId="af0">
    <w:name w:val="Hyperlink"/>
    <w:qFormat/>
    <w:rsid w:val="009B2135"/>
    <w:rPr>
      <w:color w:val="0000FF"/>
      <w:u w:val="single"/>
    </w:rPr>
  </w:style>
  <w:style w:type="character" w:styleId="af1">
    <w:name w:val="annotation reference"/>
    <w:rsid w:val="009B2135"/>
    <w:rPr>
      <w:sz w:val="21"/>
    </w:rPr>
  </w:style>
  <w:style w:type="character" w:styleId="af2">
    <w:name w:val="footnote reference"/>
    <w:rsid w:val="009B2135"/>
    <w:rPr>
      <w:vertAlign w:val="superscript"/>
    </w:rPr>
  </w:style>
  <w:style w:type="character" w:customStyle="1" w:styleId="Char0">
    <w:name w:val="正文文本 Char"/>
    <w:link w:val="a6"/>
    <w:rsid w:val="009B2135"/>
    <w:rPr>
      <w:rFonts w:ascii="宋体"/>
      <w:lang w:val="zh-CN" w:eastAsia="zh-CN"/>
    </w:rPr>
  </w:style>
  <w:style w:type="character" w:customStyle="1" w:styleId="unnamed11">
    <w:name w:val="unnamed11"/>
    <w:rsid w:val="009B2135"/>
    <w:rPr>
      <w:rFonts w:ascii="宋体" w:eastAsia="宋体" w:hAnsi="宋体" w:hint="eastAsia"/>
      <w:sz w:val="18"/>
    </w:rPr>
  </w:style>
  <w:style w:type="character" w:customStyle="1" w:styleId="Char3">
    <w:name w:val="标题 Char"/>
    <w:link w:val="ad"/>
    <w:rsid w:val="009B2135"/>
    <w:rPr>
      <w:rFonts w:ascii="Cambria" w:hAnsi="Cambria"/>
      <w:b/>
      <w:kern w:val="2"/>
      <w:sz w:val="32"/>
      <w:lang w:val="zh-CN" w:eastAsia="zh-CN"/>
    </w:rPr>
  </w:style>
  <w:style w:type="character" w:customStyle="1" w:styleId="Char2">
    <w:name w:val="页眉 Char"/>
    <w:link w:val="aa"/>
    <w:uiPriority w:val="99"/>
    <w:qFormat/>
    <w:rsid w:val="009B2135"/>
    <w:rPr>
      <w:kern w:val="2"/>
      <w:sz w:val="18"/>
    </w:rPr>
  </w:style>
  <w:style w:type="character" w:customStyle="1" w:styleId="read">
    <w:name w:val="read"/>
    <w:basedOn w:val="a0"/>
    <w:qFormat/>
    <w:rsid w:val="009B2135"/>
  </w:style>
  <w:style w:type="paragraph" w:customStyle="1" w:styleId="CharChar">
    <w:name w:val="Char Char"/>
    <w:basedOn w:val="a"/>
    <w:qFormat/>
    <w:rsid w:val="009B2135"/>
  </w:style>
  <w:style w:type="paragraph" w:customStyle="1" w:styleId="Default">
    <w:name w:val="Default"/>
    <w:qFormat/>
    <w:rsid w:val="009B2135"/>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9B2135"/>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9B2135"/>
    <w:pPr>
      <w:widowControl/>
      <w:numPr>
        <w:numId w:val="1"/>
      </w:numPr>
      <w:jc w:val="left"/>
    </w:pPr>
    <w:rPr>
      <w:kern w:val="0"/>
      <w:sz w:val="24"/>
    </w:rPr>
  </w:style>
  <w:style w:type="paragraph" w:customStyle="1" w:styleId="msonormal1">
    <w:name w:val="msonormal1"/>
    <w:qFormat/>
    <w:rsid w:val="009B2135"/>
    <w:pPr>
      <w:widowControl w:val="0"/>
      <w:jc w:val="both"/>
    </w:pPr>
    <w:rPr>
      <w:kern w:val="2"/>
      <w:sz w:val="21"/>
      <w:lang w:eastAsia="zh-CN"/>
    </w:rPr>
  </w:style>
  <w:style w:type="paragraph" w:customStyle="1" w:styleId="af3">
    <w:name w:val="正文正文"/>
    <w:basedOn w:val="a"/>
    <w:qFormat/>
    <w:rsid w:val="009B2135"/>
    <w:pPr>
      <w:spacing w:afterLines="25" w:line="360" w:lineRule="auto"/>
      <w:ind w:firstLineChars="200" w:firstLine="200"/>
    </w:pPr>
    <w:rPr>
      <w:sz w:val="24"/>
    </w:rPr>
  </w:style>
  <w:style w:type="paragraph" w:customStyle="1" w:styleId="Char4">
    <w:name w:val="Char"/>
    <w:basedOn w:val="a"/>
    <w:qFormat/>
    <w:rsid w:val="009B2135"/>
  </w:style>
  <w:style w:type="paragraph" w:customStyle="1" w:styleId="Char10">
    <w:name w:val="Char1"/>
    <w:basedOn w:val="a"/>
    <w:qFormat/>
    <w:rsid w:val="009B2135"/>
  </w:style>
  <w:style w:type="paragraph" w:customStyle="1" w:styleId="CharCharChar">
    <w:name w:val="Char Char Char"/>
    <w:basedOn w:val="a"/>
    <w:qFormat/>
    <w:rsid w:val="009B2135"/>
  </w:style>
  <w:style w:type="paragraph" w:customStyle="1" w:styleId="InfoBlue">
    <w:name w:val="InfoBlue"/>
    <w:basedOn w:val="a"/>
    <w:next w:val="a6"/>
    <w:qFormat/>
    <w:rsid w:val="009B2135"/>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9B2135"/>
    <w:pPr>
      <w:tabs>
        <w:tab w:val="left" w:pos="360"/>
      </w:tabs>
    </w:pPr>
  </w:style>
  <w:style w:type="paragraph" w:customStyle="1" w:styleId="CharChar1">
    <w:name w:val="Char Char1"/>
    <w:basedOn w:val="a"/>
    <w:qFormat/>
    <w:rsid w:val="009B2135"/>
  </w:style>
  <w:style w:type="paragraph" w:customStyle="1" w:styleId="af4">
    <w:name w:val="正文所"/>
    <w:basedOn w:val="a"/>
    <w:qFormat/>
    <w:rsid w:val="009B2135"/>
    <w:pPr>
      <w:spacing w:line="360" w:lineRule="auto"/>
      <w:ind w:firstLineChars="200" w:firstLine="420"/>
    </w:pPr>
    <w:rPr>
      <w:rFonts w:ascii="宋体"/>
    </w:rPr>
  </w:style>
  <w:style w:type="paragraph" w:customStyle="1" w:styleId="11">
    <w:name w:val="修订1"/>
    <w:hidden/>
    <w:uiPriority w:val="99"/>
    <w:semiHidden/>
    <w:qFormat/>
    <w:rsid w:val="009B2135"/>
    <w:rPr>
      <w:kern w:val="2"/>
      <w:sz w:val="21"/>
      <w:lang w:eastAsia="zh-CN"/>
    </w:rPr>
  </w:style>
  <w:style w:type="character" w:customStyle="1" w:styleId="1Char">
    <w:name w:val="标题 1 Char"/>
    <w:link w:val="1"/>
    <w:qFormat/>
    <w:rsid w:val="009B2135"/>
    <w:rPr>
      <w:rFonts w:ascii="宋体"/>
      <w:b/>
      <w:color w:val="000000"/>
      <w:sz w:val="24"/>
    </w:rPr>
  </w:style>
  <w:style w:type="character" w:customStyle="1" w:styleId="Char">
    <w:name w:val="批注文字 Char"/>
    <w:link w:val="a5"/>
    <w:qFormat/>
    <w:rsid w:val="009B2135"/>
    <w:rPr>
      <w:kern w:val="2"/>
      <w:sz w:val="21"/>
    </w:rPr>
  </w:style>
  <w:style w:type="paragraph" w:customStyle="1" w:styleId="CharChar2">
    <w:name w:val="Char Char2"/>
    <w:basedOn w:val="a"/>
    <w:qFormat/>
    <w:rsid w:val="009B2135"/>
  </w:style>
  <w:style w:type="paragraph" w:customStyle="1" w:styleId="CharChar3">
    <w:name w:val="Char Char3"/>
    <w:basedOn w:val="a"/>
    <w:qFormat/>
    <w:rsid w:val="009B2135"/>
  </w:style>
  <w:style w:type="paragraph" w:customStyle="1" w:styleId="Char20">
    <w:name w:val="Char2"/>
    <w:basedOn w:val="a"/>
    <w:qFormat/>
    <w:rsid w:val="009B2135"/>
  </w:style>
  <w:style w:type="paragraph" w:customStyle="1" w:styleId="CharCharChar1">
    <w:name w:val="Char Char Char1"/>
    <w:basedOn w:val="a"/>
    <w:qFormat/>
    <w:rsid w:val="009B2135"/>
  </w:style>
  <w:style w:type="paragraph" w:customStyle="1" w:styleId="CharCharCharChar1">
    <w:name w:val="Char Char Char Char1"/>
    <w:basedOn w:val="a"/>
    <w:qFormat/>
    <w:rsid w:val="009B2135"/>
    <w:pPr>
      <w:tabs>
        <w:tab w:val="left" w:pos="360"/>
      </w:tabs>
    </w:pPr>
  </w:style>
  <w:style w:type="paragraph" w:customStyle="1" w:styleId="CharChar11">
    <w:name w:val="Char Char11"/>
    <w:basedOn w:val="a"/>
    <w:qFormat/>
    <w:rsid w:val="009B2135"/>
  </w:style>
  <w:style w:type="paragraph" w:customStyle="1" w:styleId="CharChar4">
    <w:name w:val="Char Char4"/>
    <w:basedOn w:val="a"/>
    <w:qFormat/>
    <w:rsid w:val="009B2135"/>
  </w:style>
  <w:style w:type="paragraph" w:styleId="af5">
    <w:name w:val="List Paragraph"/>
    <w:basedOn w:val="a"/>
    <w:uiPriority w:val="34"/>
    <w:qFormat/>
    <w:rsid w:val="009B2135"/>
    <w:pPr>
      <w:ind w:firstLineChars="200" w:firstLine="420"/>
    </w:pPr>
  </w:style>
  <w:style w:type="paragraph" w:customStyle="1" w:styleId="CharChar12">
    <w:name w:val="Char Char12"/>
    <w:basedOn w:val="a"/>
    <w:qFormat/>
    <w:rsid w:val="009B2135"/>
  </w:style>
  <w:style w:type="paragraph" w:customStyle="1" w:styleId="Char30">
    <w:name w:val="Char3"/>
    <w:basedOn w:val="a"/>
    <w:qFormat/>
    <w:rsid w:val="009B2135"/>
  </w:style>
  <w:style w:type="paragraph" w:customStyle="1" w:styleId="CharChar13">
    <w:name w:val="Char Char13"/>
    <w:basedOn w:val="a"/>
    <w:qFormat/>
    <w:rsid w:val="009B2135"/>
  </w:style>
  <w:style w:type="paragraph" w:customStyle="1" w:styleId="Char40">
    <w:name w:val="Char4"/>
    <w:basedOn w:val="a"/>
    <w:qFormat/>
    <w:rsid w:val="009B2135"/>
  </w:style>
  <w:style w:type="paragraph" w:customStyle="1" w:styleId="CharChar14">
    <w:name w:val="Char Char14"/>
    <w:basedOn w:val="a"/>
    <w:qFormat/>
    <w:rsid w:val="009B2135"/>
  </w:style>
  <w:style w:type="paragraph" w:customStyle="1" w:styleId="Char5">
    <w:name w:val="Char5"/>
    <w:basedOn w:val="a"/>
    <w:qFormat/>
    <w:rsid w:val="009B2135"/>
  </w:style>
  <w:style w:type="paragraph" w:customStyle="1" w:styleId="CharChar5">
    <w:name w:val="Char Char5"/>
    <w:basedOn w:val="a"/>
    <w:qFormat/>
    <w:rsid w:val="009B2135"/>
  </w:style>
  <w:style w:type="character" w:customStyle="1" w:styleId="Char1">
    <w:name w:val="页脚 Char"/>
    <w:basedOn w:val="a0"/>
    <w:link w:val="a9"/>
    <w:uiPriority w:val="99"/>
    <w:qFormat/>
    <w:rsid w:val="009B2135"/>
    <w:rPr>
      <w:kern w:val="2"/>
      <w:sz w:val="18"/>
    </w:rPr>
  </w:style>
  <w:style w:type="paragraph" w:customStyle="1" w:styleId="div">
    <w:name w:val="div"/>
    <w:basedOn w:val="a"/>
    <w:rsid w:val="009B2135"/>
  </w:style>
  <w:style w:type="paragraph" w:customStyle="1" w:styleId="p">
    <w:name w:val="p"/>
    <w:basedOn w:val="a"/>
    <w:rsid w:val="009B2135"/>
  </w:style>
  <w:style w:type="table" w:customStyle="1" w:styleId="table">
    <w:name w:val="table"/>
    <w:basedOn w:val="a1"/>
    <w:rsid w:val="009B2135"/>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C676-430A-48BC-BA19-7DE87810CA9D}">
  <ds:schemaRefs>
    <ds:schemaRef ds:uri="http://schemas.openxmlformats.org/officeDocument/2006/bibliography"/>
  </ds:schemaRefs>
</ds:datastoreItem>
</file>

<file path=customXml/itemProps2.xml><?xml version="1.0" encoding="utf-8"?>
<ds:datastoreItem xmlns:ds="http://schemas.openxmlformats.org/officeDocument/2006/customXml" ds:itemID="{C7F99FED-0E63-48D2-BDEB-A3654C75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Words>
  <Characters>1297</Characters>
  <Application>Microsoft Office Word</Application>
  <DocSecurity>4</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2024-01-23T16:00:00Z</dcterms:created>
  <dcterms:modified xsi:type="dcterms:W3CDTF">2024-01-23T16:00:00Z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