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BE2806">
        <w:rPr>
          <w:rFonts w:hint="eastAsia"/>
          <w:b/>
          <w:sz w:val="28"/>
          <w:szCs w:val="30"/>
        </w:rPr>
        <w:t>招商</w:t>
      </w:r>
      <w:r w:rsidR="007E6E1F">
        <w:rPr>
          <w:rFonts w:hint="eastAsia"/>
          <w:b/>
          <w:sz w:val="28"/>
          <w:szCs w:val="30"/>
        </w:rPr>
        <w:t>银行股份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BE2806">
        <w:rPr>
          <w:rFonts w:ascii="宋体" w:hAnsi="宋体" w:hint="eastAsia"/>
          <w:szCs w:val="21"/>
        </w:rPr>
        <w:t>招商</w:t>
      </w:r>
      <w:r w:rsidR="007E6E1F">
        <w:rPr>
          <w:rFonts w:ascii="宋体" w:hAnsi="宋体" w:hint="eastAsia"/>
          <w:szCs w:val="21"/>
        </w:rPr>
        <w:t>银行股份</w:t>
      </w:r>
      <w:r w:rsidR="00535FAB" w:rsidRPr="00535FAB">
        <w:rPr>
          <w:rFonts w:ascii="宋体" w:hAnsi="宋体" w:hint="eastAsia"/>
          <w:szCs w:val="21"/>
        </w:rPr>
        <w:t>有限公司</w:t>
      </w:r>
      <w:r w:rsidR="00FC09B7" w:rsidRPr="00FC09B7">
        <w:rPr>
          <w:rFonts w:ascii="宋体" w:hAnsi="宋体" w:hint="eastAsia"/>
          <w:szCs w:val="21"/>
        </w:rPr>
        <w:t>（以下简称“</w:t>
      </w:r>
      <w:r w:rsidR="00BE2806">
        <w:rPr>
          <w:rFonts w:ascii="宋体" w:hAnsi="宋体" w:hint="eastAsia"/>
          <w:szCs w:val="21"/>
        </w:rPr>
        <w:t>招商</w:t>
      </w:r>
      <w:r w:rsidR="007E6E1F">
        <w:rPr>
          <w:rFonts w:ascii="宋体" w:hAnsi="宋体" w:hint="eastAsia"/>
          <w:szCs w:val="21"/>
        </w:rPr>
        <w:t>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3617F4">
        <w:rPr>
          <w:rFonts w:ascii="宋体" w:hAnsi="宋体" w:hint="eastAsia"/>
          <w:szCs w:val="21"/>
        </w:rPr>
        <w:t>1</w:t>
      </w:r>
      <w:r w:rsidR="00750489" w:rsidRPr="00E626A9">
        <w:rPr>
          <w:rFonts w:ascii="宋体" w:hAnsi="宋体" w:hint="eastAsia"/>
          <w:szCs w:val="21"/>
        </w:rPr>
        <w:t>月</w:t>
      </w:r>
      <w:r w:rsidR="003617F4">
        <w:rPr>
          <w:rFonts w:ascii="宋体" w:hAnsi="宋体" w:hint="eastAsia"/>
          <w:szCs w:val="21"/>
        </w:rPr>
        <w:t>23</w:t>
      </w:r>
      <w:r w:rsidR="00750489" w:rsidRPr="00E626A9">
        <w:rPr>
          <w:rFonts w:ascii="宋体" w:hAnsi="宋体" w:hint="eastAsia"/>
          <w:szCs w:val="21"/>
        </w:rPr>
        <w:t>日</w:t>
      </w:r>
      <w:r w:rsidR="00596370" w:rsidRPr="00E626A9">
        <w:rPr>
          <w:rFonts w:ascii="宋体" w:hAnsi="宋体" w:hint="eastAsia"/>
          <w:szCs w:val="21"/>
        </w:rPr>
        <w:t>起，</w:t>
      </w:r>
      <w:r w:rsidR="00BE2806">
        <w:rPr>
          <w:rFonts w:ascii="宋体" w:hAnsi="宋体" w:hint="eastAsia"/>
          <w:szCs w:val="21"/>
        </w:rPr>
        <w:t>招商</w:t>
      </w:r>
      <w:r w:rsidR="007E6E1F">
        <w:rPr>
          <w:rFonts w:ascii="宋体" w:hAnsi="宋体" w:hint="eastAsia"/>
          <w:szCs w:val="21"/>
        </w:rPr>
        <w:t>银行</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3617F4">
        <w:rPr>
          <w:rFonts w:ascii="宋体" w:hAnsi="宋体" w:hint="eastAsia"/>
          <w:szCs w:val="21"/>
        </w:rPr>
        <w:t>1</w:t>
      </w:r>
      <w:r>
        <w:rPr>
          <w:rFonts w:ascii="宋体" w:hAnsi="宋体" w:hint="eastAsia"/>
          <w:szCs w:val="21"/>
        </w:rPr>
        <w:t>月</w:t>
      </w:r>
      <w:r w:rsidR="003617F4">
        <w:rPr>
          <w:rFonts w:ascii="宋体" w:hAnsi="宋体" w:hint="eastAsia"/>
          <w:szCs w:val="21"/>
        </w:rPr>
        <w:t>23</w:t>
      </w:r>
      <w:r w:rsidR="00295342">
        <w:rPr>
          <w:rFonts w:ascii="宋体" w:hAnsi="宋体" w:hint="eastAsia"/>
          <w:szCs w:val="21"/>
        </w:rPr>
        <w:t>日起，投资者可通过</w:t>
      </w:r>
      <w:r w:rsidR="00BE2806">
        <w:rPr>
          <w:rFonts w:ascii="宋体" w:hAnsi="宋体" w:hint="eastAsia"/>
          <w:szCs w:val="21"/>
        </w:rPr>
        <w:t>招商</w:t>
      </w:r>
      <w:r w:rsidR="007E6E1F">
        <w:rPr>
          <w:rFonts w:ascii="宋体" w:hAnsi="宋体" w:hint="eastAsia"/>
          <w:szCs w:val="21"/>
        </w:rPr>
        <w:t>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535FAB">
        <w:trPr>
          <w:jc w:val="center"/>
        </w:trPr>
        <w:tc>
          <w:tcPr>
            <w:tcW w:w="1129" w:type="dxa"/>
            <w:shd w:val="clear" w:color="auto" w:fill="auto"/>
          </w:tcPr>
          <w:p w:rsidR="00535FAB" w:rsidRPr="00535FAB" w:rsidRDefault="007E6E1F" w:rsidP="00535FAB">
            <w:pPr>
              <w:spacing w:line="360" w:lineRule="auto"/>
              <w:jc w:val="center"/>
              <w:rPr>
                <w:sz w:val="20"/>
              </w:rPr>
            </w:pPr>
            <w:r>
              <w:rPr>
                <w:sz w:val="20"/>
              </w:rPr>
              <w:t>0</w:t>
            </w:r>
            <w:r w:rsidR="003617F4">
              <w:rPr>
                <w:rFonts w:hint="eastAsia"/>
                <w:sz w:val="20"/>
              </w:rPr>
              <w:t>10048</w:t>
            </w:r>
          </w:p>
        </w:tc>
        <w:tc>
          <w:tcPr>
            <w:tcW w:w="4999" w:type="dxa"/>
            <w:shd w:val="clear" w:color="auto" w:fill="auto"/>
          </w:tcPr>
          <w:p w:rsidR="00535FAB" w:rsidRPr="00535FAB" w:rsidRDefault="009E0456" w:rsidP="00535FAB">
            <w:pPr>
              <w:spacing w:line="360" w:lineRule="auto"/>
              <w:jc w:val="center"/>
              <w:rPr>
                <w:rFonts w:asciiTheme="minorEastAsia" w:eastAsiaTheme="minorEastAsia" w:hAnsiTheme="minorEastAsia" w:cs="Calibri"/>
                <w:sz w:val="20"/>
                <w:szCs w:val="18"/>
              </w:rPr>
            </w:pPr>
            <w:r w:rsidRPr="009E0456">
              <w:rPr>
                <w:rFonts w:hint="eastAsia"/>
                <w:sz w:val="20"/>
              </w:rPr>
              <w:t>平安</w:t>
            </w:r>
            <w:r w:rsidR="003617F4">
              <w:rPr>
                <w:rFonts w:hint="eastAsia"/>
                <w:sz w:val="20"/>
              </w:rPr>
              <w:t>短债债券</w:t>
            </w:r>
            <w:r w:rsidRPr="009E0456">
              <w:rPr>
                <w:rFonts w:hint="eastAsia"/>
                <w:sz w:val="20"/>
              </w:rPr>
              <w:t>型证券投资基金（</w:t>
            </w:r>
            <w:r w:rsidR="003617F4">
              <w:rPr>
                <w:sz w:val="20"/>
              </w:rPr>
              <w:t>I</w:t>
            </w:r>
            <w:r w:rsidRPr="009E0456">
              <w:rPr>
                <w:rFonts w:hint="eastAsia"/>
                <w:sz w:val="20"/>
              </w:rPr>
              <w:t>类）</w:t>
            </w:r>
          </w:p>
        </w:tc>
        <w:tc>
          <w:tcPr>
            <w:tcW w:w="840"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535FAB"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3617F4" w:rsidP="00535FAB">
            <w:pPr>
              <w:spacing w:line="360" w:lineRule="auto"/>
              <w:jc w:val="center"/>
              <w:rPr>
                <w:sz w:val="20"/>
              </w:rPr>
            </w:pPr>
            <w:r>
              <w:rPr>
                <w:rFonts w:hint="eastAsia"/>
                <w:sz w:val="20"/>
              </w:rPr>
              <w:t>009721</w:t>
            </w:r>
          </w:p>
        </w:tc>
        <w:tc>
          <w:tcPr>
            <w:tcW w:w="4999" w:type="dxa"/>
            <w:shd w:val="clear" w:color="auto" w:fill="auto"/>
          </w:tcPr>
          <w:p w:rsidR="00BE2806" w:rsidRPr="007014E4" w:rsidRDefault="009E0456" w:rsidP="00535FAB">
            <w:pPr>
              <w:spacing w:line="360" w:lineRule="auto"/>
              <w:jc w:val="center"/>
              <w:rPr>
                <w:sz w:val="20"/>
              </w:rPr>
            </w:pPr>
            <w:r w:rsidRPr="009E0456">
              <w:rPr>
                <w:rFonts w:hint="eastAsia"/>
                <w:sz w:val="20"/>
              </w:rPr>
              <w:t>平安</w:t>
            </w:r>
            <w:r w:rsidR="003617F4" w:rsidRPr="003617F4">
              <w:rPr>
                <w:rFonts w:hint="eastAsia"/>
                <w:sz w:val="20"/>
              </w:rPr>
              <w:t>中债</w:t>
            </w:r>
            <w:r w:rsidR="003617F4" w:rsidRPr="003617F4">
              <w:rPr>
                <w:rFonts w:hint="eastAsia"/>
                <w:sz w:val="20"/>
              </w:rPr>
              <w:t>1-5</w:t>
            </w:r>
            <w:r w:rsidR="003617F4" w:rsidRPr="003617F4">
              <w:rPr>
                <w:rFonts w:hint="eastAsia"/>
                <w:sz w:val="20"/>
              </w:rPr>
              <w:t>年政策性金融债指数</w:t>
            </w:r>
            <w:r w:rsidRPr="009E0456">
              <w:rPr>
                <w:rFonts w:hint="eastAsia"/>
                <w:sz w:val="20"/>
              </w:rPr>
              <w:t>证券投资基金（</w:t>
            </w:r>
            <w:r w:rsidR="003617F4">
              <w:rPr>
                <w:sz w:val="20"/>
              </w:rPr>
              <w:t>A</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3617F4" w:rsidP="00535FAB">
            <w:pPr>
              <w:spacing w:line="360" w:lineRule="auto"/>
              <w:jc w:val="center"/>
              <w:rPr>
                <w:sz w:val="20"/>
              </w:rPr>
            </w:pPr>
            <w:r>
              <w:rPr>
                <w:rFonts w:hint="eastAsia"/>
                <w:sz w:val="20"/>
              </w:rPr>
              <w:t>009722</w:t>
            </w:r>
          </w:p>
        </w:tc>
        <w:tc>
          <w:tcPr>
            <w:tcW w:w="4999" w:type="dxa"/>
            <w:shd w:val="clear" w:color="auto" w:fill="auto"/>
          </w:tcPr>
          <w:p w:rsidR="00BE2806" w:rsidRPr="007014E4" w:rsidRDefault="003617F4" w:rsidP="00535FAB">
            <w:pPr>
              <w:spacing w:line="360" w:lineRule="auto"/>
              <w:jc w:val="center"/>
              <w:rPr>
                <w:sz w:val="20"/>
              </w:rPr>
            </w:pPr>
            <w:r w:rsidRPr="009E0456">
              <w:rPr>
                <w:rFonts w:hint="eastAsia"/>
                <w:sz w:val="20"/>
              </w:rPr>
              <w:t>平安</w:t>
            </w:r>
            <w:r w:rsidRPr="003617F4">
              <w:rPr>
                <w:rFonts w:hint="eastAsia"/>
                <w:sz w:val="20"/>
              </w:rPr>
              <w:t>中债</w:t>
            </w:r>
            <w:r w:rsidRPr="003617F4">
              <w:rPr>
                <w:rFonts w:hint="eastAsia"/>
                <w:sz w:val="20"/>
              </w:rPr>
              <w:t>1-5</w:t>
            </w:r>
            <w:r w:rsidRPr="003617F4">
              <w:rPr>
                <w:rFonts w:hint="eastAsia"/>
                <w:sz w:val="20"/>
              </w:rPr>
              <w:t>年政策性金融债指数</w:t>
            </w:r>
            <w:r w:rsidRPr="009E0456">
              <w:rPr>
                <w:rFonts w:hint="eastAsia"/>
                <w:sz w:val="20"/>
              </w:rPr>
              <w:t>证券投资基金（</w:t>
            </w:r>
            <w:r>
              <w:rPr>
                <w:sz w:val="20"/>
              </w:rPr>
              <w:t>c</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3617F4"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lastRenderedPageBreak/>
        <w:t>投资者通过</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所有，请投资者咨询</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决定和执行，本公司根据</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提供的费率折扣办理，若费率优惠活动内容变更，以</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BE2806">
        <w:rPr>
          <w:rFonts w:ascii="宋体" w:hAnsi="宋体" w:hint="eastAsia"/>
          <w:szCs w:val="21"/>
        </w:rPr>
        <w:t>招商</w:t>
      </w:r>
      <w:r w:rsidR="007E6E1F">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BE2806">
        <w:rPr>
          <w:rFonts w:ascii="宋体" w:hAnsi="宋体" w:hint="eastAsia"/>
          <w:szCs w:val="21"/>
        </w:rPr>
        <w:t>95555</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BE2806">
        <w:rPr>
          <w:rFonts w:ascii="宋体" w:hAnsi="宋体"/>
          <w:szCs w:val="21"/>
        </w:rPr>
        <w:t>cmb</w:t>
      </w:r>
      <w:r w:rsidR="00BE2806">
        <w:rPr>
          <w:rFonts w:ascii="宋体" w:hAnsi="宋体" w:hint="eastAsia"/>
          <w:szCs w:val="21"/>
        </w:rPr>
        <w:t>china</w:t>
      </w:r>
      <w:r w:rsidR="00BE2806">
        <w:rPr>
          <w:rFonts w:ascii="宋体" w:hAnsi="宋体"/>
          <w:szCs w:val="21"/>
        </w:rPr>
        <w:t>.com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bookmarkStart w:id="0" w:name="_GoBack"/>
      <w:bookmarkEnd w:id="0"/>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3617F4">
        <w:rPr>
          <w:rFonts w:ascii="宋体" w:hAnsi="宋体" w:hint="eastAsia"/>
          <w:szCs w:val="21"/>
        </w:rPr>
        <w:t>1</w:t>
      </w:r>
      <w:r w:rsidR="00750489" w:rsidRPr="00DB735C">
        <w:rPr>
          <w:rFonts w:ascii="宋体" w:hAnsi="宋体" w:hint="eastAsia"/>
          <w:szCs w:val="21"/>
        </w:rPr>
        <w:t>月</w:t>
      </w:r>
      <w:r w:rsidR="003617F4">
        <w:rPr>
          <w:rFonts w:ascii="宋体" w:hAnsi="宋体" w:hint="eastAsia"/>
          <w:szCs w:val="21"/>
        </w:rPr>
        <w:t>23</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24" w:rsidRDefault="00F95524" w:rsidP="00CF406E">
      <w:r>
        <w:separator/>
      </w:r>
    </w:p>
  </w:endnote>
  <w:endnote w:type="continuationSeparator" w:id="0">
    <w:p w:rsidR="00F95524" w:rsidRDefault="00F95524"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24" w:rsidRDefault="00F95524" w:rsidP="00CF406E">
      <w:r>
        <w:separator/>
      </w:r>
    </w:p>
  </w:footnote>
  <w:footnote w:type="continuationSeparator" w:id="0">
    <w:p w:rsidR="00F95524" w:rsidRDefault="00F95524"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1791F"/>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4574"/>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6CAA-5482-41B9-AE18-AEA13A7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4</DocSecurity>
  <Lines>9</Lines>
  <Paragraphs>2</Paragraphs>
  <ScaleCrop>false</ScaleCrop>
  <Company>中国平安保险(集团)股份有限公司</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2024-01-22T16:02:00Z</dcterms:created>
  <dcterms:modified xsi:type="dcterms:W3CDTF">2024-01-22T16:02:00Z</dcterms:modified>
</cp:coreProperties>
</file>