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6C" w:rsidRDefault="00B95FD2">
      <w:pPr>
        <w:autoSpaceDE w:val="0"/>
        <w:autoSpaceDN w:val="0"/>
        <w:adjustRightInd w:val="0"/>
        <w:spacing w:line="440" w:lineRule="exact"/>
        <w:jc w:val="center"/>
        <w:rPr>
          <w:rFonts w:ascii="宋体" w:hAnsi="宋体" w:cs="宋体"/>
          <w:b/>
          <w:bCs/>
          <w:kern w:val="0"/>
          <w:sz w:val="24"/>
          <w:szCs w:val="24"/>
        </w:rPr>
      </w:pPr>
      <w:r>
        <w:rPr>
          <w:rFonts w:ascii="宋体" w:hAnsi="宋体" w:cs="宋体" w:hint="eastAsia"/>
          <w:b/>
          <w:bCs/>
          <w:kern w:val="0"/>
          <w:sz w:val="24"/>
          <w:szCs w:val="24"/>
        </w:rPr>
        <w:t>银华基金管理股份有限公司关于增加部分代销机构为旗下部分基金申购赎回代办券商的公告</w:t>
      </w:r>
    </w:p>
    <w:p w:rsidR="005E4D6C" w:rsidRDefault="005E4D6C">
      <w:pPr>
        <w:autoSpaceDE w:val="0"/>
        <w:autoSpaceDN w:val="0"/>
        <w:adjustRightInd w:val="0"/>
        <w:spacing w:line="440" w:lineRule="exact"/>
        <w:jc w:val="center"/>
        <w:rPr>
          <w:rFonts w:ascii="宋体" w:hAnsi="宋体" w:cs="宋体"/>
          <w:b/>
          <w:bCs/>
          <w:kern w:val="0"/>
          <w:sz w:val="24"/>
          <w:szCs w:val="24"/>
        </w:rPr>
      </w:pPr>
    </w:p>
    <w:p w:rsidR="005E4D6C" w:rsidRDefault="00B95FD2">
      <w:pPr>
        <w:pStyle w:val="10"/>
        <w:spacing w:line="360" w:lineRule="auto"/>
        <w:ind w:firstLineChars="200" w:firstLine="420"/>
        <w:jc w:val="both"/>
        <w:rPr>
          <w:sz w:val="21"/>
          <w:szCs w:val="21"/>
        </w:rPr>
      </w:pPr>
      <w:r>
        <w:rPr>
          <w:rFonts w:hint="eastAsia"/>
          <w:sz w:val="21"/>
          <w:szCs w:val="21"/>
        </w:rPr>
        <w:t>根据银华基金管理股份有限公司（以下简称“本公司”）与</w:t>
      </w:r>
      <w:r>
        <w:rPr>
          <w:sz w:val="21"/>
          <w:szCs w:val="21"/>
        </w:rPr>
        <w:t>山西证券股份有限公司</w:t>
      </w:r>
      <w:r>
        <w:rPr>
          <w:rFonts w:hint="eastAsia"/>
          <w:sz w:val="21"/>
          <w:szCs w:val="21"/>
        </w:rPr>
        <w:t>（以下简称“山西证券”）签署的销售代理协议，本公司决定从</w:t>
      </w:r>
      <w:r>
        <w:rPr>
          <w:rFonts w:hint="eastAsia"/>
          <w:sz w:val="21"/>
          <w:szCs w:val="21"/>
        </w:rPr>
        <w:t>2024</w:t>
      </w:r>
      <w:r>
        <w:rPr>
          <w:rFonts w:hint="eastAsia"/>
          <w:sz w:val="21"/>
          <w:szCs w:val="21"/>
        </w:rPr>
        <w:t>年</w:t>
      </w:r>
      <w:r w:rsidR="003774C3">
        <w:rPr>
          <w:sz w:val="21"/>
          <w:szCs w:val="21"/>
        </w:rPr>
        <w:t>1</w:t>
      </w:r>
      <w:r>
        <w:rPr>
          <w:rFonts w:hint="eastAsia"/>
          <w:sz w:val="21"/>
          <w:szCs w:val="21"/>
        </w:rPr>
        <w:t>月</w:t>
      </w:r>
      <w:r w:rsidR="00EB417A">
        <w:rPr>
          <w:sz w:val="21"/>
          <w:szCs w:val="21"/>
        </w:rPr>
        <w:t>22</w:t>
      </w:r>
      <w:r>
        <w:rPr>
          <w:rFonts w:hint="eastAsia"/>
          <w:sz w:val="21"/>
          <w:szCs w:val="21"/>
        </w:rPr>
        <w:t>日起增加山西证券为银华中证全指证券公司交易型开放式指数证券投资基金（场内简称：券商</w:t>
      </w:r>
      <w:r>
        <w:rPr>
          <w:rFonts w:hint="eastAsia"/>
          <w:sz w:val="21"/>
          <w:szCs w:val="21"/>
        </w:rPr>
        <w:t>ETF</w:t>
      </w:r>
      <w:r>
        <w:rPr>
          <w:rFonts w:hint="eastAsia"/>
          <w:sz w:val="21"/>
          <w:szCs w:val="21"/>
        </w:rPr>
        <w:t>，基金代码：</w:t>
      </w:r>
      <w:r>
        <w:rPr>
          <w:rFonts w:hint="eastAsia"/>
          <w:sz w:val="21"/>
          <w:szCs w:val="21"/>
        </w:rPr>
        <w:t>159842</w:t>
      </w:r>
      <w:r>
        <w:rPr>
          <w:rFonts w:hint="eastAsia"/>
          <w:sz w:val="21"/>
          <w:szCs w:val="21"/>
        </w:rPr>
        <w:t>）、银华中证影视主题交易型开放式指数证券投资基金（场内简称：影视</w:t>
      </w:r>
      <w:r>
        <w:rPr>
          <w:rFonts w:hint="eastAsia"/>
          <w:sz w:val="21"/>
          <w:szCs w:val="21"/>
        </w:rPr>
        <w:t>ETF</w:t>
      </w:r>
      <w:r>
        <w:rPr>
          <w:rFonts w:hint="eastAsia"/>
          <w:sz w:val="21"/>
          <w:szCs w:val="21"/>
        </w:rPr>
        <w:t>，基金代码：</w:t>
      </w:r>
      <w:r>
        <w:rPr>
          <w:rFonts w:hint="eastAsia"/>
          <w:sz w:val="21"/>
          <w:szCs w:val="21"/>
        </w:rPr>
        <w:t>159855</w:t>
      </w:r>
      <w:r>
        <w:rPr>
          <w:rFonts w:hint="eastAsia"/>
          <w:sz w:val="21"/>
          <w:szCs w:val="21"/>
        </w:rPr>
        <w:t>）、银华中证有色金属交易型开放式指数证券投资基金（场内简称：有色金属</w:t>
      </w:r>
      <w:r>
        <w:rPr>
          <w:rFonts w:hint="eastAsia"/>
          <w:sz w:val="21"/>
          <w:szCs w:val="21"/>
        </w:rPr>
        <w:t>ETF</w:t>
      </w:r>
      <w:r>
        <w:rPr>
          <w:rFonts w:hint="eastAsia"/>
          <w:sz w:val="21"/>
          <w:szCs w:val="21"/>
        </w:rPr>
        <w:t>，基金代码：</w:t>
      </w:r>
      <w:r>
        <w:rPr>
          <w:rFonts w:hint="eastAsia"/>
          <w:sz w:val="21"/>
          <w:szCs w:val="21"/>
        </w:rPr>
        <w:t>159871</w:t>
      </w:r>
      <w:r>
        <w:rPr>
          <w:rFonts w:hint="eastAsia"/>
          <w:sz w:val="21"/>
          <w:szCs w:val="21"/>
        </w:rPr>
        <w:t>）、银华中证创新药产业交易型开放式指数证券投资基金（场内简称：创新药</w:t>
      </w:r>
      <w:r>
        <w:rPr>
          <w:rFonts w:hint="eastAsia"/>
          <w:sz w:val="21"/>
          <w:szCs w:val="21"/>
        </w:rPr>
        <w:t>ETF</w:t>
      </w:r>
      <w:r>
        <w:rPr>
          <w:rFonts w:hint="eastAsia"/>
          <w:sz w:val="21"/>
          <w:szCs w:val="21"/>
        </w:rPr>
        <w:t>，基金代码：</w:t>
      </w:r>
      <w:r>
        <w:rPr>
          <w:rFonts w:hint="eastAsia"/>
          <w:sz w:val="21"/>
          <w:szCs w:val="21"/>
        </w:rPr>
        <w:t>159992</w:t>
      </w:r>
      <w:r>
        <w:rPr>
          <w:rFonts w:hint="eastAsia"/>
          <w:sz w:val="21"/>
          <w:szCs w:val="21"/>
        </w:rPr>
        <w:t>）、银华中证</w:t>
      </w:r>
      <w:r>
        <w:rPr>
          <w:rFonts w:hint="eastAsia"/>
          <w:sz w:val="21"/>
          <w:szCs w:val="21"/>
        </w:rPr>
        <w:t>5G</w:t>
      </w:r>
      <w:r>
        <w:rPr>
          <w:rFonts w:hint="eastAsia"/>
          <w:sz w:val="21"/>
          <w:szCs w:val="21"/>
        </w:rPr>
        <w:t>通信主题交易型开放式指数证券投资基金（场内简称：</w:t>
      </w:r>
      <w:r>
        <w:rPr>
          <w:rFonts w:hint="eastAsia"/>
          <w:sz w:val="21"/>
          <w:szCs w:val="21"/>
        </w:rPr>
        <w:t>5GETF</w:t>
      </w:r>
      <w:r>
        <w:rPr>
          <w:rFonts w:hint="eastAsia"/>
          <w:sz w:val="21"/>
          <w:szCs w:val="21"/>
        </w:rPr>
        <w:t>，基金代码：</w:t>
      </w:r>
      <w:r>
        <w:rPr>
          <w:rFonts w:hint="eastAsia"/>
          <w:sz w:val="21"/>
          <w:szCs w:val="21"/>
        </w:rPr>
        <w:t>159994</w:t>
      </w:r>
      <w:r>
        <w:rPr>
          <w:rFonts w:hint="eastAsia"/>
          <w:sz w:val="21"/>
          <w:szCs w:val="21"/>
        </w:rPr>
        <w:t>）、银华中证</w:t>
      </w:r>
      <w:r>
        <w:rPr>
          <w:rFonts w:hint="eastAsia"/>
          <w:sz w:val="21"/>
          <w:szCs w:val="21"/>
        </w:rPr>
        <w:t>现代物流交易型开放式指数证券投资基金（场内简称：物流快递，扩位证券简称：物流快递</w:t>
      </w:r>
      <w:r>
        <w:rPr>
          <w:sz w:val="21"/>
          <w:szCs w:val="21"/>
        </w:rPr>
        <w:t>ETF</w:t>
      </w:r>
      <w:r>
        <w:rPr>
          <w:rFonts w:hint="eastAsia"/>
          <w:sz w:val="21"/>
          <w:szCs w:val="21"/>
        </w:rPr>
        <w:t>，基金代码：</w:t>
      </w:r>
      <w:r>
        <w:rPr>
          <w:sz w:val="21"/>
          <w:szCs w:val="21"/>
        </w:rPr>
        <w:t>516530</w:t>
      </w:r>
      <w:r>
        <w:rPr>
          <w:rFonts w:hint="eastAsia"/>
          <w:sz w:val="21"/>
          <w:szCs w:val="21"/>
        </w:rPr>
        <w:t>）、银华中证全指电力公用事业交易型开放式指数证券投资基金（场内简称：电力，扩位证券简称：电力指数</w:t>
      </w:r>
      <w:r>
        <w:rPr>
          <w:rFonts w:hint="eastAsia"/>
          <w:sz w:val="21"/>
          <w:szCs w:val="21"/>
        </w:rPr>
        <w:t>ETF</w:t>
      </w:r>
      <w:r>
        <w:rPr>
          <w:rFonts w:hint="eastAsia"/>
          <w:sz w:val="21"/>
          <w:szCs w:val="21"/>
        </w:rPr>
        <w:t>，基金代码：</w:t>
      </w:r>
      <w:r>
        <w:rPr>
          <w:sz w:val="21"/>
          <w:szCs w:val="21"/>
        </w:rPr>
        <w:t>562350</w:t>
      </w:r>
      <w:r>
        <w:rPr>
          <w:rFonts w:hint="eastAsia"/>
          <w:sz w:val="21"/>
          <w:szCs w:val="21"/>
        </w:rPr>
        <w:t>）、银华中证基建交易型开放式指数证券投资基金（场内简称：基建</w:t>
      </w:r>
      <w:r>
        <w:rPr>
          <w:rFonts w:hint="eastAsia"/>
          <w:sz w:val="21"/>
          <w:szCs w:val="21"/>
        </w:rPr>
        <w:t>ETF</w:t>
      </w:r>
      <w:r>
        <w:rPr>
          <w:rFonts w:hint="eastAsia"/>
          <w:sz w:val="21"/>
          <w:szCs w:val="21"/>
        </w:rPr>
        <w:t>，扩位证券简称：基建</w:t>
      </w:r>
      <w:r>
        <w:rPr>
          <w:rFonts w:hint="eastAsia"/>
          <w:sz w:val="21"/>
          <w:szCs w:val="21"/>
        </w:rPr>
        <w:t>ETF</w:t>
      </w:r>
      <w:r>
        <w:rPr>
          <w:rFonts w:hint="eastAsia"/>
          <w:sz w:val="21"/>
          <w:szCs w:val="21"/>
        </w:rPr>
        <w:t>，基金代码：</w:t>
      </w:r>
      <w:r>
        <w:rPr>
          <w:sz w:val="21"/>
          <w:szCs w:val="21"/>
        </w:rPr>
        <w:t>516950</w:t>
      </w:r>
      <w:r>
        <w:rPr>
          <w:rFonts w:hint="eastAsia"/>
          <w:sz w:val="21"/>
          <w:szCs w:val="21"/>
        </w:rPr>
        <w:t>）、银华中证光伏产业交易型开放式指数证券投资基金（场内简称：光伏</w:t>
      </w:r>
      <w:r>
        <w:rPr>
          <w:rFonts w:hint="eastAsia"/>
          <w:sz w:val="21"/>
          <w:szCs w:val="21"/>
        </w:rPr>
        <w:t>50</w:t>
      </w:r>
      <w:r>
        <w:rPr>
          <w:rFonts w:hint="eastAsia"/>
          <w:sz w:val="21"/>
          <w:szCs w:val="21"/>
        </w:rPr>
        <w:t>，扩位证券简称：光伏</w:t>
      </w:r>
      <w:r>
        <w:rPr>
          <w:rFonts w:hint="eastAsia"/>
          <w:sz w:val="21"/>
          <w:szCs w:val="21"/>
        </w:rPr>
        <w:t>50ETF</w:t>
      </w:r>
      <w:r>
        <w:rPr>
          <w:rFonts w:hint="eastAsia"/>
          <w:sz w:val="21"/>
          <w:szCs w:val="21"/>
        </w:rPr>
        <w:t>，基金代码：</w:t>
      </w:r>
      <w:r>
        <w:rPr>
          <w:rFonts w:hint="eastAsia"/>
          <w:sz w:val="21"/>
          <w:szCs w:val="21"/>
        </w:rPr>
        <w:t>516880</w:t>
      </w:r>
      <w:r>
        <w:rPr>
          <w:rFonts w:hint="eastAsia"/>
          <w:sz w:val="21"/>
          <w:szCs w:val="21"/>
        </w:rPr>
        <w:t>）、银华中证内地地产主题交易型开放式指</w:t>
      </w:r>
      <w:r>
        <w:rPr>
          <w:rFonts w:hint="eastAsia"/>
          <w:sz w:val="21"/>
          <w:szCs w:val="21"/>
        </w:rPr>
        <w:t>数证券投资基金（场内简称：房地产</w:t>
      </w:r>
      <w:r>
        <w:rPr>
          <w:rFonts w:hint="eastAsia"/>
          <w:sz w:val="21"/>
          <w:szCs w:val="21"/>
        </w:rPr>
        <w:t>ETF</w:t>
      </w:r>
      <w:r>
        <w:rPr>
          <w:rFonts w:hint="eastAsia"/>
          <w:sz w:val="21"/>
          <w:szCs w:val="21"/>
        </w:rPr>
        <w:t>，基金代码：</w:t>
      </w:r>
      <w:r>
        <w:rPr>
          <w:rFonts w:hint="eastAsia"/>
          <w:sz w:val="21"/>
          <w:szCs w:val="21"/>
        </w:rPr>
        <w:t>159768</w:t>
      </w:r>
      <w:r>
        <w:rPr>
          <w:rFonts w:hint="eastAsia"/>
          <w:sz w:val="21"/>
          <w:szCs w:val="21"/>
        </w:rPr>
        <w:t>）、银华中证内地低碳经济主题交易型开放式指数证券投资基金（场内简称：低碳</w:t>
      </w:r>
      <w:r>
        <w:rPr>
          <w:rFonts w:hint="eastAsia"/>
          <w:sz w:val="21"/>
          <w:szCs w:val="21"/>
        </w:rPr>
        <w:t>ETF</w:t>
      </w:r>
      <w:r>
        <w:rPr>
          <w:rFonts w:hint="eastAsia"/>
          <w:sz w:val="21"/>
          <w:szCs w:val="21"/>
        </w:rPr>
        <w:t>，扩位证券简称：碳中和</w:t>
      </w:r>
      <w:r>
        <w:rPr>
          <w:rFonts w:hint="eastAsia"/>
          <w:sz w:val="21"/>
          <w:szCs w:val="21"/>
        </w:rPr>
        <w:t>ETF</w:t>
      </w:r>
      <w:r>
        <w:rPr>
          <w:rFonts w:hint="eastAsia"/>
          <w:sz w:val="21"/>
          <w:szCs w:val="21"/>
        </w:rPr>
        <w:t>基金，基金代码：</w:t>
      </w:r>
      <w:r>
        <w:rPr>
          <w:rFonts w:hint="eastAsia"/>
          <w:sz w:val="21"/>
          <w:szCs w:val="21"/>
        </w:rPr>
        <w:t>5</w:t>
      </w:r>
      <w:r>
        <w:rPr>
          <w:sz w:val="21"/>
          <w:szCs w:val="21"/>
        </w:rPr>
        <w:t>62300</w:t>
      </w:r>
      <w:r>
        <w:rPr>
          <w:rFonts w:hint="eastAsia"/>
          <w:sz w:val="21"/>
          <w:szCs w:val="21"/>
        </w:rPr>
        <w:t>）、银华中证机器人交易型开放式指数证券投资基金（场内简称：机器人</w:t>
      </w:r>
      <w:r>
        <w:rPr>
          <w:rFonts w:hint="eastAsia"/>
          <w:sz w:val="21"/>
          <w:szCs w:val="21"/>
        </w:rPr>
        <w:t>YH</w:t>
      </w:r>
      <w:r>
        <w:rPr>
          <w:rFonts w:hint="eastAsia"/>
          <w:sz w:val="21"/>
          <w:szCs w:val="21"/>
        </w:rPr>
        <w:t>，扩位证券简称：机器人</w:t>
      </w:r>
      <w:r>
        <w:rPr>
          <w:sz w:val="21"/>
          <w:szCs w:val="21"/>
        </w:rPr>
        <w:t>ETF</w:t>
      </w:r>
      <w:r>
        <w:rPr>
          <w:rFonts w:hint="eastAsia"/>
          <w:sz w:val="21"/>
          <w:szCs w:val="21"/>
        </w:rPr>
        <w:t>基金，基金代码：</w:t>
      </w:r>
      <w:r>
        <w:rPr>
          <w:rFonts w:hint="eastAsia"/>
          <w:sz w:val="21"/>
          <w:szCs w:val="21"/>
        </w:rPr>
        <w:t>5</w:t>
      </w:r>
      <w:r>
        <w:rPr>
          <w:sz w:val="21"/>
          <w:szCs w:val="21"/>
        </w:rPr>
        <w:t>62360</w:t>
      </w:r>
      <w:r>
        <w:rPr>
          <w:rFonts w:hint="eastAsia"/>
          <w:sz w:val="21"/>
          <w:szCs w:val="21"/>
        </w:rPr>
        <w:t>）、银华中证中药交易型开放式指数证券投资基金（场内简称：中药，扩位证券简称：中药</w:t>
      </w:r>
      <w:r>
        <w:rPr>
          <w:rFonts w:hint="eastAsia"/>
          <w:sz w:val="21"/>
          <w:szCs w:val="21"/>
        </w:rPr>
        <w:t>5</w:t>
      </w:r>
      <w:r>
        <w:rPr>
          <w:sz w:val="21"/>
          <w:szCs w:val="21"/>
        </w:rPr>
        <w:t>0ETF</w:t>
      </w:r>
      <w:r>
        <w:rPr>
          <w:rFonts w:hint="eastAsia"/>
          <w:sz w:val="21"/>
          <w:szCs w:val="21"/>
        </w:rPr>
        <w:t>，基金代码：</w:t>
      </w:r>
      <w:r>
        <w:rPr>
          <w:rFonts w:hint="eastAsia"/>
          <w:sz w:val="21"/>
          <w:szCs w:val="21"/>
        </w:rPr>
        <w:t>5</w:t>
      </w:r>
      <w:r>
        <w:rPr>
          <w:sz w:val="21"/>
          <w:szCs w:val="21"/>
        </w:rPr>
        <w:t>62390</w:t>
      </w:r>
      <w:r>
        <w:rPr>
          <w:rFonts w:hint="eastAsia"/>
          <w:sz w:val="21"/>
          <w:szCs w:val="21"/>
        </w:rPr>
        <w:t>）的场内申购赎回代办券商。</w:t>
      </w:r>
    </w:p>
    <w:p w:rsidR="005E4D6C" w:rsidRDefault="00B95FD2">
      <w:pPr>
        <w:pStyle w:val="10"/>
        <w:spacing w:line="360" w:lineRule="auto"/>
        <w:ind w:firstLineChars="200" w:firstLine="420"/>
        <w:jc w:val="both"/>
        <w:rPr>
          <w:sz w:val="21"/>
          <w:szCs w:val="21"/>
        </w:rPr>
      </w:pPr>
      <w:r>
        <w:rPr>
          <w:rFonts w:hint="eastAsia"/>
          <w:sz w:val="21"/>
          <w:szCs w:val="21"/>
        </w:rPr>
        <w:t>根据本公司与</w:t>
      </w:r>
      <w:r>
        <w:rPr>
          <w:sz w:val="21"/>
          <w:szCs w:val="21"/>
        </w:rPr>
        <w:t>中泰证券股份有限公司</w:t>
      </w:r>
      <w:r>
        <w:rPr>
          <w:rFonts w:hint="eastAsia"/>
          <w:sz w:val="21"/>
          <w:szCs w:val="21"/>
        </w:rPr>
        <w:t>（以下简称“中泰证</w:t>
      </w:r>
      <w:r>
        <w:rPr>
          <w:rFonts w:hint="eastAsia"/>
          <w:sz w:val="21"/>
          <w:szCs w:val="21"/>
        </w:rPr>
        <w:t>券”）签署的销售代理协议，本公司决定从</w:t>
      </w:r>
      <w:r>
        <w:rPr>
          <w:rFonts w:hint="eastAsia"/>
          <w:sz w:val="21"/>
          <w:szCs w:val="21"/>
        </w:rPr>
        <w:t>2024</w:t>
      </w:r>
      <w:r>
        <w:rPr>
          <w:rFonts w:hint="eastAsia"/>
          <w:sz w:val="21"/>
          <w:szCs w:val="21"/>
        </w:rPr>
        <w:t>年</w:t>
      </w:r>
      <w:r w:rsidR="003774C3">
        <w:rPr>
          <w:sz w:val="21"/>
          <w:szCs w:val="21"/>
        </w:rPr>
        <w:t>1</w:t>
      </w:r>
      <w:r>
        <w:rPr>
          <w:rFonts w:hint="eastAsia"/>
          <w:sz w:val="21"/>
          <w:szCs w:val="21"/>
        </w:rPr>
        <w:t>月</w:t>
      </w:r>
      <w:r w:rsidR="00EB417A">
        <w:rPr>
          <w:sz w:val="21"/>
          <w:szCs w:val="21"/>
        </w:rPr>
        <w:t>22</w:t>
      </w:r>
      <w:r>
        <w:rPr>
          <w:rFonts w:hint="eastAsia"/>
          <w:sz w:val="21"/>
          <w:szCs w:val="21"/>
        </w:rPr>
        <w:t>日起增加中泰证券为银华中证港股通消费主题交易型开放式指数证券投资基金（场内简称：港股消费</w:t>
      </w:r>
      <w:r>
        <w:rPr>
          <w:rFonts w:hint="eastAsia"/>
          <w:sz w:val="21"/>
          <w:szCs w:val="21"/>
        </w:rPr>
        <w:t>ETF</w:t>
      </w:r>
      <w:r>
        <w:rPr>
          <w:rFonts w:hint="eastAsia"/>
          <w:sz w:val="21"/>
          <w:szCs w:val="21"/>
        </w:rPr>
        <w:t>，基金代码：</w:t>
      </w:r>
      <w:r>
        <w:rPr>
          <w:sz w:val="21"/>
          <w:szCs w:val="21"/>
        </w:rPr>
        <w:t>159735</w:t>
      </w:r>
      <w:r>
        <w:rPr>
          <w:rFonts w:hint="eastAsia"/>
          <w:sz w:val="21"/>
          <w:szCs w:val="21"/>
        </w:rPr>
        <w:t>）、银华中证港股通医药卫生综合交易型开放式指数证券投资基金（场内简称：港股通医药</w:t>
      </w:r>
      <w:r>
        <w:rPr>
          <w:rFonts w:hint="eastAsia"/>
          <w:sz w:val="21"/>
          <w:szCs w:val="21"/>
        </w:rPr>
        <w:t>ETF</w:t>
      </w:r>
      <w:r>
        <w:rPr>
          <w:rFonts w:hint="eastAsia"/>
          <w:sz w:val="21"/>
          <w:szCs w:val="21"/>
        </w:rPr>
        <w:t>，基金代码：</w:t>
      </w:r>
      <w:r>
        <w:rPr>
          <w:rFonts w:hint="eastAsia"/>
          <w:sz w:val="21"/>
          <w:szCs w:val="21"/>
        </w:rPr>
        <w:t>159776</w:t>
      </w:r>
      <w:r>
        <w:rPr>
          <w:rFonts w:hint="eastAsia"/>
          <w:sz w:val="21"/>
          <w:szCs w:val="21"/>
        </w:rPr>
        <w:t>）、银华工银南方东英标普中国新经济行业交易型开放式指数证券投资基金</w:t>
      </w:r>
      <w:r>
        <w:rPr>
          <w:rFonts w:hint="eastAsia"/>
          <w:sz w:val="21"/>
          <w:szCs w:val="21"/>
        </w:rPr>
        <w:t>(QDII)</w:t>
      </w:r>
      <w:r>
        <w:rPr>
          <w:rFonts w:hint="eastAsia"/>
          <w:sz w:val="21"/>
          <w:szCs w:val="21"/>
        </w:rPr>
        <w:t>（场内简称：新经济</w:t>
      </w:r>
      <w:r>
        <w:rPr>
          <w:rFonts w:hint="eastAsia"/>
          <w:sz w:val="21"/>
          <w:szCs w:val="21"/>
        </w:rPr>
        <w:t>ETF</w:t>
      </w:r>
      <w:r>
        <w:rPr>
          <w:rFonts w:hint="eastAsia"/>
          <w:sz w:val="21"/>
          <w:szCs w:val="21"/>
        </w:rPr>
        <w:t>，基金代码：</w:t>
      </w:r>
      <w:r>
        <w:rPr>
          <w:sz w:val="21"/>
          <w:szCs w:val="21"/>
        </w:rPr>
        <w:t>159822</w:t>
      </w:r>
      <w:r>
        <w:rPr>
          <w:rFonts w:hint="eastAsia"/>
          <w:sz w:val="21"/>
          <w:szCs w:val="21"/>
        </w:rPr>
        <w:t>）的场内申购赎回代办券商。</w:t>
      </w:r>
    </w:p>
    <w:p w:rsidR="005E4D6C" w:rsidRDefault="00B95FD2">
      <w:pPr>
        <w:pStyle w:val="10"/>
        <w:spacing w:line="360" w:lineRule="auto"/>
        <w:ind w:firstLineChars="200" w:firstLine="420"/>
        <w:jc w:val="both"/>
        <w:rPr>
          <w:sz w:val="21"/>
          <w:szCs w:val="21"/>
        </w:rPr>
      </w:pPr>
      <w:r>
        <w:rPr>
          <w:rFonts w:hint="eastAsia"/>
          <w:sz w:val="21"/>
          <w:szCs w:val="21"/>
        </w:rPr>
        <w:lastRenderedPageBreak/>
        <w:t>根据本公司与</w:t>
      </w:r>
      <w:r>
        <w:rPr>
          <w:sz w:val="21"/>
          <w:szCs w:val="21"/>
        </w:rPr>
        <w:t>申万宏源证券有限公司</w:t>
      </w:r>
      <w:r>
        <w:rPr>
          <w:rFonts w:hint="eastAsia"/>
          <w:sz w:val="21"/>
          <w:szCs w:val="21"/>
        </w:rPr>
        <w:t>（以下简称“申万宏源”）</w:t>
      </w:r>
      <w:r w:rsidR="00837A2B">
        <w:rPr>
          <w:rFonts w:hint="eastAsia"/>
          <w:sz w:val="21"/>
          <w:szCs w:val="21"/>
        </w:rPr>
        <w:t>、</w:t>
      </w:r>
      <w:r w:rsidR="00837A2B" w:rsidRPr="00837A2B">
        <w:rPr>
          <w:sz w:val="21"/>
          <w:szCs w:val="21"/>
        </w:rPr>
        <w:t>申万宏源西部证券有限公司</w:t>
      </w:r>
      <w:r w:rsidR="00837A2B" w:rsidRPr="00837A2B">
        <w:rPr>
          <w:rFonts w:hint="eastAsia"/>
          <w:sz w:val="21"/>
          <w:szCs w:val="21"/>
        </w:rPr>
        <w:t>（</w:t>
      </w:r>
      <w:r w:rsidR="00837A2B">
        <w:rPr>
          <w:rFonts w:hint="eastAsia"/>
          <w:sz w:val="21"/>
          <w:szCs w:val="21"/>
        </w:rPr>
        <w:t>以下简称“申万宏源西部”</w:t>
      </w:r>
      <w:r w:rsidR="00837A2B" w:rsidRPr="00837A2B">
        <w:rPr>
          <w:rFonts w:hint="eastAsia"/>
          <w:sz w:val="21"/>
          <w:szCs w:val="21"/>
        </w:rPr>
        <w:t>）</w:t>
      </w:r>
      <w:r>
        <w:rPr>
          <w:rFonts w:hint="eastAsia"/>
          <w:sz w:val="21"/>
          <w:szCs w:val="21"/>
        </w:rPr>
        <w:t>签署的销售代理协议，本公司决定从</w:t>
      </w:r>
      <w:r>
        <w:rPr>
          <w:rFonts w:hint="eastAsia"/>
          <w:sz w:val="21"/>
          <w:szCs w:val="21"/>
        </w:rPr>
        <w:t>2024</w:t>
      </w:r>
      <w:r>
        <w:rPr>
          <w:rFonts w:hint="eastAsia"/>
          <w:sz w:val="21"/>
          <w:szCs w:val="21"/>
        </w:rPr>
        <w:t>年</w:t>
      </w:r>
      <w:r w:rsidR="003774C3">
        <w:rPr>
          <w:sz w:val="21"/>
          <w:szCs w:val="21"/>
        </w:rPr>
        <w:t>1</w:t>
      </w:r>
      <w:r>
        <w:rPr>
          <w:rFonts w:hint="eastAsia"/>
          <w:sz w:val="21"/>
          <w:szCs w:val="21"/>
        </w:rPr>
        <w:t>月</w:t>
      </w:r>
      <w:r w:rsidR="00EB417A">
        <w:rPr>
          <w:sz w:val="21"/>
          <w:szCs w:val="21"/>
        </w:rPr>
        <w:t>22</w:t>
      </w:r>
      <w:r>
        <w:rPr>
          <w:rFonts w:hint="eastAsia"/>
          <w:sz w:val="21"/>
          <w:szCs w:val="21"/>
        </w:rPr>
        <w:t>日起增加申万宏源</w:t>
      </w:r>
      <w:r w:rsidR="00837A2B">
        <w:rPr>
          <w:rFonts w:hint="eastAsia"/>
          <w:sz w:val="21"/>
          <w:szCs w:val="21"/>
        </w:rPr>
        <w:t>、申万宏源西部</w:t>
      </w:r>
      <w:r>
        <w:rPr>
          <w:rFonts w:hint="eastAsia"/>
          <w:sz w:val="21"/>
          <w:szCs w:val="21"/>
        </w:rPr>
        <w:t>为银华中证</w:t>
      </w:r>
      <w:r>
        <w:rPr>
          <w:rFonts w:hint="eastAsia"/>
          <w:sz w:val="21"/>
          <w:szCs w:val="21"/>
        </w:rPr>
        <w:t>800</w:t>
      </w:r>
      <w:r>
        <w:rPr>
          <w:rFonts w:hint="eastAsia"/>
          <w:sz w:val="21"/>
          <w:szCs w:val="21"/>
        </w:rPr>
        <w:t>增强策略交易型开放式指数证券投资基金（场内简称：</w:t>
      </w:r>
      <w:r>
        <w:rPr>
          <w:rFonts w:hint="eastAsia"/>
          <w:sz w:val="21"/>
          <w:szCs w:val="21"/>
        </w:rPr>
        <w:t>800</w:t>
      </w:r>
      <w:r>
        <w:rPr>
          <w:rFonts w:hint="eastAsia"/>
          <w:sz w:val="21"/>
          <w:szCs w:val="21"/>
        </w:rPr>
        <w:t>增强</w:t>
      </w:r>
      <w:r>
        <w:rPr>
          <w:rFonts w:hint="eastAsia"/>
          <w:sz w:val="21"/>
          <w:szCs w:val="21"/>
        </w:rPr>
        <w:t>ETF</w:t>
      </w:r>
      <w:r>
        <w:rPr>
          <w:rFonts w:hint="eastAsia"/>
          <w:sz w:val="21"/>
          <w:szCs w:val="21"/>
        </w:rPr>
        <w:t>，基金代码：</w:t>
      </w:r>
      <w:r>
        <w:rPr>
          <w:sz w:val="21"/>
          <w:szCs w:val="21"/>
        </w:rPr>
        <w:t>159517</w:t>
      </w:r>
      <w:r>
        <w:rPr>
          <w:rFonts w:hint="eastAsia"/>
          <w:sz w:val="21"/>
          <w:szCs w:val="21"/>
        </w:rPr>
        <w:t>）、银华中证全指电力公用事业交易型开放式指数证券投资基金（场内简称：电力，扩位证券简称：电力指数</w:t>
      </w:r>
      <w:r>
        <w:rPr>
          <w:rFonts w:hint="eastAsia"/>
          <w:sz w:val="21"/>
          <w:szCs w:val="21"/>
        </w:rPr>
        <w:t>ETF</w:t>
      </w:r>
      <w:r>
        <w:rPr>
          <w:rFonts w:hint="eastAsia"/>
          <w:sz w:val="21"/>
          <w:szCs w:val="21"/>
        </w:rPr>
        <w:t>，基金代码：</w:t>
      </w:r>
      <w:r>
        <w:rPr>
          <w:sz w:val="21"/>
          <w:szCs w:val="21"/>
        </w:rPr>
        <w:t>562350</w:t>
      </w:r>
      <w:r>
        <w:rPr>
          <w:rFonts w:hint="eastAsia"/>
          <w:sz w:val="21"/>
          <w:szCs w:val="21"/>
        </w:rPr>
        <w:t>）的场内申购赎回代办券商。</w:t>
      </w:r>
    </w:p>
    <w:p w:rsidR="005E4D6C" w:rsidRDefault="00B95FD2">
      <w:pPr>
        <w:shd w:val="clear" w:color="auto" w:fill="FFFFFF"/>
        <w:spacing w:line="360" w:lineRule="auto"/>
        <w:ind w:leftChars="200" w:left="540" w:hangingChars="57" w:hanging="120"/>
        <w:rPr>
          <w:rFonts w:ascii="宋体" w:hAnsi="宋体" w:cs="宋体"/>
        </w:rPr>
      </w:pPr>
      <w:r>
        <w:rPr>
          <w:rFonts w:ascii="宋体" w:hAnsi="宋体" w:cs="宋体" w:hint="eastAsia"/>
        </w:rPr>
        <w:t>投资者可通过以下途径咨询有关详情：</w:t>
      </w:r>
    </w:p>
    <w:p w:rsidR="005E4D6C" w:rsidRDefault="00B95FD2">
      <w:pPr>
        <w:pStyle w:val="a8"/>
        <w:numPr>
          <w:ilvl w:val="0"/>
          <w:numId w:val="1"/>
        </w:numPr>
        <w:autoSpaceDE w:val="0"/>
        <w:autoSpaceDN w:val="0"/>
        <w:adjustRightInd w:val="0"/>
        <w:spacing w:line="360" w:lineRule="auto"/>
        <w:ind w:firstLineChars="0"/>
        <w:jc w:val="left"/>
        <w:rPr>
          <w:rFonts w:asciiTheme="minorEastAsia" w:eastAsiaTheme="minorEastAsia" w:hAnsiTheme="minorEastAsia"/>
          <w:kern w:val="0"/>
        </w:rPr>
      </w:pPr>
      <w:bookmarkStart w:id="0" w:name="_Hlk104920284"/>
      <w:r>
        <w:rPr>
          <w:rFonts w:ascii="宋体" w:hAnsi="宋体" w:cs="宋体"/>
          <w:szCs w:val="21"/>
        </w:rPr>
        <w:t>山西证券股份有限公司</w:t>
      </w:r>
    </w:p>
    <w:tbl>
      <w:tblPr>
        <w:tblW w:w="47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5"/>
        <w:gridCol w:w="2601"/>
        <w:gridCol w:w="876"/>
        <w:gridCol w:w="3097"/>
      </w:tblGrid>
      <w:tr w:rsidR="005E4D6C">
        <w:tc>
          <w:tcPr>
            <w:tcW w:w="931" w:type="pct"/>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rPr>
            </w:pPr>
            <w:r>
              <w:rPr>
                <w:rFonts w:eastAsia="宋体" w:hAnsi="宋体" w:hint="eastAsia"/>
                <w:sz w:val="21"/>
                <w:szCs w:val="21"/>
              </w:rPr>
              <w:t>注册地址</w:t>
            </w:r>
          </w:p>
        </w:tc>
        <w:tc>
          <w:tcPr>
            <w:tcW w:w="4069" w:type="pct"/>
            <w:gridSpan w:val="3"/>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rPr>
            </w:pPr>
            <w:r>
              <w:rPr>
                <w:rFonts w:eastAsia="宋体" w:hAnsi="宋体"/>
                <w:sz w:val="21"/>
                <w:szCs w:val="21"/>
              </w:rPr>
              <w:t>太原市府西街</w:t>
            </w:r>
            <w:r>
              <w:rPr>
                <w:rFonts w:eastAsia="宋体" w:hAnsi="宋体"/>
                <w:sz w:val="21"/>
                <w:szCs w:val="21"/>
              </w:rPr>
              <w:t>69</w:t>
            </w:r>
            <w:r>
              <w:rPr>
                <w:rFonts w:eastAsia="宋体" w:hAnsi="宋体"/>
                <w:sz w:val="21"/>
                <w:szCs w:val="21"/>
              </w:rPr>
              <w:t>号山西国际贸易中心东塔楼</w:t>
            </w:r>
          </w:p>
        </w:tc>
      </w:tr>
      <w:tr w:rsidR="005E4D6C">
        <w:tc>
          <w:tcPr>
            <w:tcW w:w="931" w:type="pct"/>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rPr>
            </w:pPr>
            <w:r>
              <w:rPr>
                <w:rFonts w:eastAsia="宋体" w:hAnsi="宋体" w:hint="eastAsia"/>
                <w:sz w:val="21"/>
                <w:szCs w:val="21"/>
              </w:rPr>
              <w:t>法定代表人</w:t>
            </w:r>
          </w:p>
        </w:tc>
        <w:tc>
          <w:tcPr>
            <w:tcW w:w="4069" w:type="pct"/>
            <w:gridSpan w:val="3"/>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rPr>
            </w:pPr>
            <w:r>
              <w:rPr>
                <w:rFonts w:eastAsia="宋体" w:hAnsi="宋体"/>
                <w:sz w:val="21"/>
                <w:szCs w:val="21"/>
              </w:rPr>
              <w:t>王怡里</w:t>
            </w:r>
          </w:p>
        </w:tc>
      </w:tr>
      <w:tr w:rsidR="005E4D6C">
        <w:tc>
          <w:tcPr>
            <w:tcW w:w="931" w:type="pct"/>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rPr>
            </w:pPr>
            <w:r>
              <w:rPr>
                <w:rFonts w:eastAsia="宋体" w:hAnsi="宋体" w:hint="eastAsia"/>
                <w:sz w:val="21"/>
                <w:szCs w:val="21"/>
              </w:rPr>
              <w:t>客服电话</w:t>
            </w:r>
          </w:p>
        </w:tc>
        <w:tc>
          <w:tcPr>
            <w:tcW w:w="1610" w:type="pct"/>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lang w:val="en-US"/>
              </w:rPr>
            </w:pPr>
            <w:r>
              <w:rPr>
                <w:rFonts w:eastAsia="宋体" w:hAnsi="宋体"/>
                <w:sz w:val="21"/>
                <w:szCs w:val="21"/>
              </w:rPr>
              <w:t>95573</w:t>
            </w:r>
          </w:p>
        </w:tc>
        <w:tc>
          <w:tcPr>
            <w:tcW w:w="542" w:type="pct"/>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rPr>
            </w:pPr>
            <w:r>
              <w:rPr>
                <w:rFonts w:eastAsia="宋体" w:hAnsi="宋体" w:hint="eastAsia"/>
                <w:sz w:val="21"/>
                <w:szCs w:val="21"/>
              </w:rPr>
              <w:t>网址</w:t>
            </w:r>
          </w:p>
        </w:tc>
        <w:tc>
          <w:tcPr>
            <w:tcW w:w="1917" w:type="pct"/>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rPr>
            </w:pPr>
            <w:r>
              <w:rPr>
                <w:rFonts w:eastAsia="宋体" w:hAnsi="宋体"/>
                <w:sz w:val="21"/>
                <w:szCs w:val="21"/>
              </w:rPr>
              <w:t>http://www.i618.com.cn</w:t>
            </w:r>
          </w:p>
        </w:tc>
      </w:tr>
    </w:tbl>
    <w:bookmarkEnd w:id="0"/>
    <w:p w:rsidR="005E4D6C" w:rsidRDefault="00B95FD2">
      <w:pPr>
        <w:pStyle w:val="a8"/>
        <w:numPr>
          <w:ilvl w:val="0"/>
          <w:numId w:val="1"/>
        </w:numPr>
        <w:autoSpaceDE w:val="0"/>
        <w:autoSpaceDN w:val="0"/>
        <w:adjustRightInd w:val="0"/>
        <w:spacing w:line="360" w:lineRule="auto"/>
        <w:ind w:firstLineChars="0"/>
        <w:jc w:val="left"/>
        <w:rPr>
          <w:rFonts w:ascii="宋体" w:hAnsi="宋体" w:cs="宋体"/>
          <w:szCs w:val="21"/>
        </w:rPr>
      </w:pPr>
      <w:r>
        <w:rPr>
          <w:rFonts w:ascii="宋体" w:hAnsi="宋体" w:cs="宋体"/>
          <w:szCs w:val="21"/>
        </w:rPr>
        <w:t>中泰证券股份有限公司</w:t>
      </w:r>
    </w:p>
    <w:tbl>
      <w:tblPr>
        <w:tblW w:w="47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5"/>
        <w:gridCol w:w="2601"/>
        <w:gridCol w:w="876"/>
        <w:gridCol w:w="3097"/>
      </w:tblGrid>
      <w:tr w:rsidR="005E4D6C">
        <w:tc>
          <w:tcPr>
            <w:tcW w:w="931" w:type="pct"/>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rPr>
            </w:pPr>
            <w:r>
              <w:rPr>
                <w:rFonts w:eastAsia="宋体" w:hAnsi="宋体" w:hint="eastAsia"/>
                <w:sz w:val="21"/>
                <w:szCs w:val="21"/>
              </w:rPr>
              <w:t>注册地址</w:t>
            </w:r>
          </w:p>
        </w:tc>
        <w:tc>
          <w:tcPr>
            <w:tcW w:w="4069" w:type="pct"/>
            <w:gridSpan w:val="3"/>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rPr>
            </w:pPr>
            <w:r>
              <w:rPr>
                <w:rFonts w:eastAsia="宋体" w:hAnsi="宋体"/>
                <w:sz w:val="21"/>
                <w:szCs w:val="21"/>
              </w:rPr>
              <w:t>山东省济南市经七路</w:t>
            </w:r>
            <w:r>
              <w:rPr>
                <w:rFonts w:eastAsia="宋体" w:hAnsi="宋体"/>
                <w:sz w:val="21"/>
                <w:szCs w:val="21"/>
              </w:rPr>
              <w:t>86</w:t>
            </w:r>
            <w:r>
              <w:rPr>
                <w:rFonts w:eastAsia="宋体" w:hAnsi="宋体"/>
                <w:sz w:val="21"/>
                <w:szCs w:val="21"/>
              </w:rPr>
              <w:t>号</w:t>
            </w:r>
          </w:p>
        </w:tc>
      </w:tr>
      <w:tr w:rsidR="005E4D6C">
        <w:tc>
          <w:tcPr>
            <w:tcW w:w="931" w:type="pct"/>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rPr>
            </w:pPr>
            <w:r>
              <w:rPr>
                <w:rFonts w:eastAsia="宋体" w:hAnsi="宋体" w:hint="eastAsia"/>
                <w:sz w:val="21"/>
                <w:szCs w:val="21"/>
              </w:rPr>
              <w:t>法定代表人</w:t>
            </w:r>
          </w:p>
        </w:tc>
        <w:tc>
          <w:tcPr>
            <w:tcW w:w="4069" w:type="pct"/>
            <w:gridSpan w:val="3"/>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Theme="minorEastAsia" w:hAnsi="宋体"/>
                <w:sz w:val="21"/>
                <w:szCs w:val="21"/>
              </w:rPr>
            </w:pPr>
            <w:r>
              <w:rPr>
                <w:rFonts w:eastAsia="宋体" w:hAnsi="宋体"/>
                <w:sz w:val="21"/>
                <w:szCs w:val="21"/>
              </w:rPr>
              <w:t>王洪</w:t>
            </w:r>
          </w:p>
        </w:tc>
      </w:tr>
      <w:tr w:rsidR="005E4D6C">
        <w:tc>
          <w:tcPr>
            <w:tcW w:w="931" w:type="pct"/>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rPr>
            </w:pPr>
            <w:r>
              <w:rPr>
                <w:rFonts w:eastAsia="宋体" w:hAnsi="宋体" w:hint="eastAsia"/>
                <w:sz w:val="21"/>
                <w:szCs w:val="21"/>
              </w:rPr>
              <w:t>客服电话</w:t>
            </w:r>
          </w:p>
        </w:tc>
        <w:tc>
          <w:tcPr>
            <w:tcW w:w="1610" w:type="pct"/>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lang w:val="en-US"/>
              </w:rPr>
            </w:pPr>
            <w:r>
              <w:rPr>
                <w:rFonts w:eastAsia="宋体" w:hAnsi="宋体"/>
                <w:sz w:val="21"/>
                <w:szCs w:val="21"/>
              </w:rPr>
              <w:t>95538</w:t>
            </w:r>
          </w:p>
        </w:tc>
        <w:tc>
          <w:tcPr>
            <w:tcW w:w="542" w:type="pct"/>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rPr>
            </w:pPr>
            <w:r>
              <w:rPr>
                <w:rFonts w:eastAsia="宋体" w:hAnsi="宋体" w:hint="eastAsia"/>
                <w:sz w:val="21"/>
                <w:szCs w:val="21"/>
              </w:rPr>
              <w:t>网址</w:t>
            </w:r>
          </w:p>
        </w:tc>
        <w:tc>
          <w:tcPr>
            <w:tcW w:w="1917" w:type="pct"/>
            <w:tcBorders>
              <w:top w:val="single" w:sz="4" w:space="0" w:color="auto"/>
              <w:left w:val="single" w:sz="4" w:space="0" w:color="auto"/>
              <w:bottom w:val="single" w:sz="4" w:space="0" w:color="auto"/>
              <w:right w:val="single" w:sz="4" w:space="0" w:color="auto"/>
            </w:tcBorders>
            <w:vAlign w:val="center"/>
          </w:tcPr>
          <w:p w:rsidR="005E4D6C" w:rsidRDefault="00B95FD2">
            <w:pPr>
              <w:widowControl/>
              <w:rPr>
                <w:rFonts w:ascii="Helvetica" w:hAnsi="Helvetica" w:cs="Helvetica"/>
                <w:color w:val="606266"/>
                <w:kern w:val="0"/>
                <w:sz w:val="24"/>
                <w:szCs w:val="24"/>
              </w:rPr>
            </w:pPr>
            <w:r>
              <w:rPr>
                <w:rFonts w:ascii="宋体" w:hAnsi="宋体" w:cs="宋体"/>
                <w:lang w:val="zh-CN"/>
              </w:rPr>
              <w:t>http://www.zts.com.cn/</w:t>
            </w:r>
          </w:p>
        </w:tc>
      </w:tr>
    </w:tbl>
    <w:p w:rsidR="005E4D6C" w:rsidRDefault="00B95FD2">
      <w:pPr>
        <w:pStyle w:val="a8"/>
        <w:numPr>
          <w:ilvl w:val="0"/>
          <w:numId w:val="1"/>
        </w:numPr>
        <w:autoSpaceDE w:val="0"/>
        <w:autoSpaceDN w:val="0"/>
        <w:adjustRightInd w:val="0"/>
        <w:spacing w:line="360" w:lineRule="auto"/>
        <w:ind w:firstLineChars="0"/>
        <w:jc w:val="left"/>
        <w:rPr>
          <w:rFonts w:ascii="宋体" w:hAnsi="宋体" w:cs="宋体"/>
          <w:szCs w:val="21"/>
        </w:rPr>
      </w:pPr>
      <w:r>
        <w:rPr>
          <w:rFonts w:ascii="宋体" w:hAnsi="宋体" w:cs="宋体"/>
          <w:szCs w:val="21"/>
        </w:rPr>
        <w:t>申万宏源证券有限公司</w:t>
      </w:r>
    </w:p>
    <w:tbl>
      <w:tblPr>
        <w:tblW w:w="47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5"/>
        <w:gridCol w:w="2601"/>
        <w:gridCol w:w="876"/>
        <w:gridCol w:w="3097"/>
      </w:tblGrid>
      <w:tr w:rsidR="005E4D6C">
        <w:tc>
          <w:tcPr>
            <w:tcW w:w="931" w:type="pct"/>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rPr>
            </w:pPr>
            <w:r>
              <w:rPr>
                <w:rFonts w:eastAsia="宋体" w:hAnsi="宋体" w:hint="eastAsia"/>
                <w:sz w:val="21"/>
                <w:szCs w:val="21"/>
              </w:rPr>
              <w:t>注册地址</w:t>
            </w:r>
          </w:p>
        </w:tc>
        <w:tc>
          <w:tcPr>
            <w:tcW w:w="4069" w:type="pct"/>
            <w:gridSpan w:val="3"/>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rPr>
            </w:pPr>
            <w:r>
              <w:rPr>
                <w:rFonts w:eastAsia="宋体" w:hAnsi="宋体"/>
                <w:sz w:val="21"/>
                <w:szCs w:val="21"/>
              </w:rPr>
              <w:t>上海市徐汇区长乐路</w:t>
            </w:r>
            <w:r>
              <w:rPr>
                <w:rFonts w:eastAsia="宋体" w:hAnsi="宋体"/>
                <w:sz w:val="21"/>
                <w:szCs w:val="21"/>
              </w:rPr>
              <w:t>989</w:t>
            </w:r>
            <w:r>
              <w:rPr>
                <w:rFonts w:eastAsia="宋体" w:hAnsi="宋体"/>
                <w:sz w:val="21"/>
                <w:szCs w:val="21"/>
              </w:rPr>
              <w:t>号</w:t>
            </w:r>
            <w:r>
              <w:rPr>
                <w:rFonts w:eastAsia="宋体" w:hAnsi="宋体"/>
                <w:sz w:val="21"/>
                <w:szCs w:val="21"/>
              </w:rPr>
              <w:t>45</w:t>
            </w:r>
            <w:r>
              <w:rPr>
                <w:rFonts w:eastAsia="宋体" w:hAnsi="宋体"/>
                <w:sz w:val="21"/>
                <w:szCs w:val="21"/>
              </w:rPr>
              <w:t>层</w:t>
            </w:r>
          </w:p>
        </w:tc>
      </w:tr>
      <w:tr w:rsidR="005E4D6C">
        <w:tc>
          <w:tcPr>
            <w:tcW w:w="931" w:type="pct"/>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rPr>
            </w:pPr>
            <w:r>
              <w:rPr>
                <w:rFonts w:eastAsia="宋体" w:hAnsi="宋体" w:hint="eastAsia"/>
                <w:sz w:val="21"/>
                <w:szCs w:val="21"/>
              </w:rPr>
              <w:t>法定代表人</w:t>
            </w:r>
          </w:p>
        </w:tc>
        <w:tc>
          <w:tcPr>
            <w:tcW w:w="4069" w:type="pct"/>
            <w:gridSpan w:val="3"/>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rPr>
            </w:pPr>
            <w:r>
              <w:rPr>
                <w:rFonts w:eastAsia="宋体" w:hAnsi="宋体"/>
                <w:sz w:val="21"/>
                <w:szCs w:val="21"/>
              </w:rPr>
              <w:t>杨玉成</w:t>
            </w:r>
          </w:p>
        </w:tc>
      </w:tr>
      <w:tr w:rsidR="005E4D6C">
        <w:tc>
          <w:tcPr>
            <w:tcW w:w="931" w:type="pct"/>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rPr>
            </w:pPr>
            <w:r>
              <w:rPr>
                <w:rFonts w:eastAsia="宋体" w:hAnsi="宋体" w:hint="eastAsia"/>
                <w:sz w:val="21"/>
                <w:szCs w:val="21"/>
              </w:rPr>
              <w:t>客服电话</w:t>
            </w:r>
          </w:p>
        </w:tc>
        <w:tc>
          <w:tcPr>
            <w:tcW w:w="1610" w:type="pct"/>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lang w:val="en-US"/>
              </w:rPr>
            </w:pPr>
            <w:r>
              <w:rPr>
                <w:rFonts w:eastAsia="宋体" w:hAnsi="宋体"/>
                <w:sz w:val="21"/>
                <w:szCs w:val="21"/>
              </w:rPr>
              <w:t>95523</w:t>
            </w:r>
          </w:p>
        </w:tc>
        <w:tc>
          <w:tcPr>
            <w:tcW w:w="542" w:type="pct"/>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rPr>
            </w:pPr>
            <w:r>
              <w:rPr>
                <w:rFonts w:eastAsia="宋体" w:hAnsi="宋体" w:hint="eastAsia"/>
                <w:sz w:val="21"/>
                <w:szCs w:val="21"/>
              </w:rPr>
              <w:t>网址</w:t>
            </w:r>
          </w:p>
        </w:tc>
        <w:tc>
          <w:tcPr>
            <w:tcW w:w="1917" w:type="pct"/>
            <w:tcBorders>
              <w:top w:val="single" w:sz="4" w:space="0" w:color="auto"/>
              <w:left w:val="single" w:sz="4" w:space="0" w:color="auto"/>
              <w:bottom w:val="single" w:sz="4" w:space="0" w:color="auto"/>
              <w:right w:val="single" w:sz="4" w:space="0" w:color="auto"/>
            </w:tcBorders>
            <w:vAlign w:val="center"/>
          </w:tcPr>
          <w:p w:rsidR="005E4D6C" w:rsidRDefault="00B95FD2">
            <w:pPr>
              <w:pStyle w:val="080318"/>
              <w:spacing w:line="440" w:lineRule="exact"/>
              <w:ind w:firstLineChars="0" w:firstLine="0"/>
              <w:rPr>
                <w:rFonts w:eastAsia="宋体" w:hAnsi="宋体"/>
                <w:sz w:val="21"/>
                <w:szCs w:val="21"/>
              </w:rPr>
            </w:pPr>
            <w:r>
              <w:rPr>
                <w:rFonts w:eastAsia="宋体" w:hAnsi="宋体"/>
                <w:sz w:val="21"/>
                <w:szCs w:val="21"/>
              </w:rPr>
              <w:t>http://www.swhysc.com</w:t>
            </w:r>
          </w:p>
        </w:tc>
      </w:tr>
    </w:tbl>
    <w:p w:rsidR="00837A2B" w:rsidRDefault="00837A2B" w:rsidP="00837A2B">
      <w:pPr>
        <w:pStyle w:val="a8"/>
        <w:numPr>
          <w:ilvl w:val="0"/>
          <w:numId w:val="1"/>
        </w:numPr>
        <w:autoSpaceDE w:val="0"/>
        <w:autoSpaceDN w:val="0"/>
        <w:adjustRightInd w:val="0"/>
        <w:spacing w:line="360" w:lineRule="auto"/>
        <w:ind w:firstLineChars="0"/>
        <w:jc w:val="left"/>
        <w:rPr>
          <w:rFonts w:ascii="宋体" w:hAnsi="宋体" w:cs="宋体"/>
          <w:szCs w:val="21"/>
        </w:rPr>
      </w:pPr>
      <w:r w:rsidRPr="00837A2B">
        <w:rPr>
          <w:rFonts w:ascii="宋体" w:hAnsi="宋体" w:cs="宋体"/>
          <w:szCs w:val="21"/>
        </w:rPr>
        <w:t>申万宏源西部证券有限公司</w:t>
      </w:r>
    </w:p>
    <w:tbl>
      <w:tblPr>
        <w:tblW w:w="47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5"/>
        <w:gridCol w:w="2601"/>
        <w:gridCol w:w="876"/>
        <w:gridCol w:w="3097"/>
      </w:tblGrid>
      <w:tr w:rsidR="00837A2B" w:rsidTr="00297392">
        <w:tc>
          <w:tcPr>
            <w:tcW w:w="931" w:type="pct"/>
            <w:tcBorders>
              <w:top w:val="single" w:sz="4" w:space="0" w:color="auto"/>
              <w:left w:val="single" w:sz="4" w:space="0" w:color="auto"/>
              <w:bottom w:val="single" w:sz="4" w:space="0" w:color="auto"/>
              <w:right w:val="single" w:sz="4" w:space="0" w:color="auto"/>
            </w:tcBorders>
            <w:vAlign w:val="center"/>
          </w:tcPr>
          <w:p w:rsidR="00837A2B" w:rsidRDefault="00837A2B" w:rsidP="00297392">
            <w:pPr>
              <w:pStyle w:val="080318"/>
              <w:spacing w:line="440" w:lineRule="exact"/>
              <w:ind w:firstLineChars="0" w:firstLine="0"/>
              <w:rPr>
                <w:rFonts w:eastAsia="宋体" w:hAnsi="宋体"/>
                <w:sz w:val="21"/>
                <w:szCs w:val="21"/>
              </w:rPr>
            </w:pPr>
            <w:r>
              <w:rPr>
                <w:rFonts w:eastAsia="宋体" w:hAnsi="宋体" w:hint="eastAsia"/>
                <w:sz w:val="21"/>
                <w:szCs w:val="21"/>
              </w:rPr>
              <w:t>注册地址</w:t>
            </w:r>
          </w:p>
        </w:tc>
        <w:tc>
          <w:tcPr>
            <w:tcW w:w="4069" w:type="pct"/>
            <w:gridSpan w:val="3"/>
            <w:tcBorders>
              <w:top w:val="single" w:sz="4" w:space="0" w:color="auto"/>
              <w:left w:val="single" w:sz="4" w:space="0" w:color="auto"/>
              <w:bottom w:val="single" w:sz="4" w:space="0" w:color="auto"/>
              <w:right w:val="single" w:sz="4" w:space="0" w:color="auto"/>
            </w:tcBorders>
            <w:vAlign w:val="center"/>
          </w:tcPr>
          <w:p w:rsidR="00837A2B" w:rsidRDefault="00837A2B" w:rsidP="00297392">
            <w:pPr>
              <w:pStyle w:val="080318"/>
              <w:spacing w:line="440" w:lineRule="exact"/>
              <w:ind w:firstLineChars="0" w:firstLine="0"/>
              <w:rPr>
                <w:rFonts w:eastAsia="宋体" w:hAnsi="宋体"/>
                <w:sz w:val="21"/>
                <w:szCs w:val="21"/>
              </w:rPr>
            </w:pPr>
            <w:r w:rsidRPr="00837A2B">
              <w:rPr>
                <w:rFonts w:eastAsia="宋体" w:hAnsi="宋体"/>
                <w:sz w:val="21"/>
                <w:szCs w:val="21"/>
              </w:rPr>
              <w:t>新疆乌鲁木齐市高新区(新市区)北京南路358号大成国际大厦20楼2005室</w:t>
            </w:r>
          </w:p>
        </w:tc>
      </w:tr>
      <w:tr w:rsidR="00837A2B" w:rsidTr="00297392">
        <w:tc>
          <w:tcPr>
            <w:tcW w:w="931" w:type="pct"/>
            <w:tcBorders>
              <w:top w:val="single" w:sz="4" w:space="0" w:color="auto"/>
              <w:left w:val="single" w:sz="4" w:space="0" w:color="auto"/>
              <w:bottom w:val="single" w:sz="4" w:space="0" w:color="auto"/>
              <w:right w:val="single" w:sz="4" w:space="0" w:color="auto"/>
            </w:tcBorders>
            <w:vAlign w:val="center"/>
          </w:tcPr>
          <w:p w:rsidR="00837A2B" w:rsidRDefault="00837A2B" w:rsidP="00297392">
            <w:pPr>
              <w:pStyle w:val="080318"/>
              <w:spacing w:line="440" w:lineRule="exact"/>
              <w:ind w:firstLineChars="0" w:firstLine="0"/>
              <w:rPr>
                <w:rFonts w:eastAsia="宋体" w:hAnsi="宋体"/>
                <w:sz w:val="21"/>
                <w:szCs w:val="21"/>
              </w:rPr>
            </w:pPr>
            <w:r>
              <w:rPr>
                <w:rFonts w:eastAsia="宋体" w:hAnsi="宋体" w:hint="eastAsia"/>
                <w:sz w:val="21"/>
                <w:szCs w:val="21"/>
              </w:rPr>
              <w:t>法定代表人</w:t>
            </w:r>
          </w:p>
        </w:tc>
        <w:tc>
          <w:tcPr>
            <w:tcW w:w="4069" w:type="pct"/>
            <w:gridSpan w:val="3"/>
            <w:tcBorders>
              <w:top w:val="single" w:sz="4" w:space="0" w:color="auto"/>
              <w:left w:val="single" w:sz="4" w:space="0" w:color="auto"/>
              <w:bottom w:val="single" w:sz="4" w:space="0" w:color="auto"/>
              <w:right w:val="single" w:sz="4" w:space="0" w:color="auto"/>
            </w:tcBorders>
            <w:vAlign w:val="center"/>
          </w:tcPr>
          <w:p w:rsidR="00837A2B" w:rsidRDefault="00837A2B" w:rsidP="00297392">
            <w:pPr>
              <w:pStyle w:val="080318"/>
              <w:spacing w:line="440" w:lineRule="exact"/>
              <w:ind w:firstLineChars="0" w:firstLine="0"/>
              <w:rPr>
                <w:rFonts w:eastAsia="宋体" w:hAnsi="宋体"/>
                <w:sz w:val="21"/>
                <w:szCs w:val="21"/>
              </w:rPr>
            </w:pPr>
            <w:r w:rsidRPr="00837A2B">
              <w:rPr>
                <w:rFonts w:eastAsia="宋体" w:hAnsi="宋体"/>
                <w:sz w:val="21"/>
                <w:szCs w:val="21"/>
              </w:rPr>
              <w:t>王献军</w:t>
            </w:r>
          </w:p>
        </w:tc>
      </w:tr>
      <w:tr w:rsidR="00837A2B" w:rsidTr="00297392">
        <w:tc>
          <w:tcPr>
            <w:tcW w:w="931" w:type="pct"/>
            <w:tcBorders>
              <w:top w:val="single" w:sz="4" w:space="0" w:color="auto"/>
              <w:left w:val="single" w:sz="4" w:space="0" w:color="auto"/>
              <w:bottom w:val="single" w:sz="4" w:space="0" w:color="auto"/>
              <w:right w:val="single" w:sz="4" w:space="0" w:color="auto"/>
            </w:tcBorders>
            <w:vAlign w:val="center"/>
          </w:tcPr>
          <w:p w:rsidR="00837A2B" w:rsidRDefault="00837A2B" w:rsidP="00297392">
            <w:pPr>
              <w:pStyle w:val="080318"/>
              <w:spacing w:line="440" w:lineRule="exact"/>
              <w:ind w:firstLineChars="0" w:firstLine="0"/>
              <w:rPr>
                <w:rFonts w:eastAsia="宋体" w:hAnsi="宋体"/>
                <w:sz w:val="21"/>
                <w:szCs w:val="21"/>
              </w:rPr>
            </w:pPr>
            <w:r>
              <w:rPr>
                <w:rFonts w:eastAsia="宋体" w:hAnsi="宋体" w:hint="eastAsia"/>
                <w:sz w:val="21"/>
                <w:szCs w:val="21"/>
              </w:rPr>
              <w:t>客服电话</w:t>
            </w:r>
          </w:p>
        </w:tc>
        <w:tc>
          <w:tcPr>
            <w:tcW w:w="1610" w:type="pct"/>
            <w:tcBorders>
              <w:top w:val="single" w:sz="4" w:space="0" w:color="auto"/>
              <w:left w:val="single" w:sz="4" w:space="0" w:color="auto"/>
              <w:bottom w:val="single" w:sz="4" w:space="0" w:color="auto"/>
              <w:right w:val="single" w:sz="4" w:space="0" w:color="auto"/>
            </w:tcBorders>
            <w:vAlign w:val="center"/>
          </w:tcPr>
          <w:p w:rsidR="00837A2B" w:rsidRDefault="00837A2B" w:rsidP="00297392">
            <w:pPr>
              <w:pStyle w:val="080318"/>
              <w:spacing w:line="440" w:lineRule="exact"/>
              <w:ind w:firstLineChars="0" w:firstLine="0"/>
              <w:rPr>
                <w:rFonts w:eastAsia="宋体" w:hAnsi="宋体"/>
                <w:sz w:val="21"/>
                <w:szCs w:val="21"/>
                <w:lang w:val="en-US"/>
              </w:rPr>
            </w:pPr>
            <w:r w:rsidRPr="00837A2B">
              <w:rPr>
                <w:rFonts w:eastAsia="宋体" w:hAnsi="宋体"/>
                <w:sz w:val="21"/>
                <w:szCs w:val="21"/>
              </w:rPr>
              <w:t>95523</w:t>
            </w:r>
          </w:p>
        </w:tc>
        <w:tc>
          <w:tcPr>
            <w:tcW w:w="542" w:type="pct"/>
            <w:tcBorders>
              <w:top w:val="single" w:sz="4" w:space="0" w:color="auto"/>
              <w:left w:val="single" w:sz="4" w:space="0" w:color="auto"/>
              <w:bottom w:val="single" w:sz="4" w:space="0" w:color="auto"/>
              <w:right w:val="single" w:sz="4" w:space="0" w:color="auto"/>
            </w:tcBorders>
            <w:vAlign w:val="center"/>
          </w:tcPr>
          <w:p w:rsidR="00837A2B" w:rsidRDefault="00837A2B" w:rsidP="00297392">
            <w:pPr>
              <w:pStyle w:val="080318"/>
              <w:spacing w:line="440" w:lineRule="exact"/>
              <w:ind w:firstLineChars="0" w:firstLine="0"/>
              <w:rPr>
                <w:rFonts w:eastAsia="宋体" w:hAnsi="宋体"/>
                <w:sz w:val="21"/>
                <w:szCs w:val="21"/>
              </w:rPr>
            </w:pPr>
            <w:r>
              <w:rPr>
                <w:rFonts w:eastAsia="宋体" w:hAnsi="宋体" w:hint="eastAsia"/>
                <w:sz w:val="21"/>
                <w:szCs w:val="21"/>
              </w:rPr>
              <w:t>网址</w:t>
            </w:r>
          </w:p>
        </w:tc>
        <w:tc>
          <w:tcPr>
            <w:tcW w:w="1917" w:type="pct"/>
            <w:tcBorders>
              <w:top w:val="single" w:sz="4" w:space="0" w:color="auto"/>
              <w:left w:val="single" w:sz="4" w:space="0" w:color="auto"/>
              <w:bottom w:val="single" w:sz="4" w:space="0" w:color="auto"/>
              <w:right w:val="single" w:sz="4" w:space="0" w:color="auto"/>
            </w:tcBorders>
            <w:vAlign w:val="center"/>
          </w:tcPr>
          <w:p w:rsidR="00837A2B" w:rsidRDefault="00837A2B" w:rsidP="00297392">
            <w:pPr>
              <w:pStyle w:val="080318"/>
              <w:spacing w:line="440" w:lineRule="exact"/>
              <w:ind w:firstLineChars="0" w:firstLine="0"/>
              <w:rPr>
                <w:rFonts w:eastAsia="宋体" w:hAnsi="宋体"/>
                <w:sz w:val="21"/>
                <w:szCs w:val="21"/>
              </w:rPr>
            </w:pPr>
            <w:r w:rsidRPr="00837A2B">
              <w:rPr>
                <w:rFonts w:eastAsia="宋体" w:hAnsi="宋体"/>
                <w:sz w:val="21"/>
                <w:szCs w:val="21"/>
              </w:rPr>
              <w:t>http://www.swhysc.com</w:t>
            </w:r>
          </w:p>
        </w:tc>
      </w:tr>
    </w:tbl>
    <w:p w:rsidR="005E4D6C" w:rsidRDefault="00B95FD2">
      <w:pPr>
        <w:pStyle w:val="a8"/>
        <w:numPr>
          <w:ilvl w:val="0"/>
          <w:numId w:val="1"/>
        </w:numPr>
        <w:autoSpaceDE w:val="0"/>
        <w:autoSpaceDN w:val="0"/>
        <w:adjustRightInd w:val="0"/>
        <w:spacing w:line="360" w:lineRule="auto"/>
        <w:ind w:firstLineChars="0"/>
        <w:jc w:val="left"/>
        <w:rPr>
          <w:rFonts w:asciiTheme="minorEastAsia" w:eastAsiaTheme="minorEastAsia" w:hAnsiTheme="minorEastAsia"/>
          <w:kern w:val="0"/>
        </w:rPr>
      </w:pPr>
      <w:r>
        <w:rPr>
          <w:rFonts w:asciiTheme="minorEastAsia" w:eastAsiaTheme="minorEastAsia" w:hAnsiTheme="minorEastAsia" w:hint="eastAsia"/>
          <w:kern w:val="0"/>
        </w:rPr>
        <w:t>银华基金管理股份有限公司</w:t>
      </w:r>
    </w:p>
    <w:tbl>
      <w:tblPr>
        <w:tblW w:w="4760"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2"/>
        <w:gridCol w:w="6438"/>
      </w:tblGrid>
      <w:tr w:rsidR="005E4D6C">
        <w:trPr>
          <w:trHeight w:val="313"/>
        </w:trPr>
        <w:tc>
          <w:tcPr>
            <w:tcW w:w="1026" w:type="pct"/>
            <w:vAlign w:val="center"/>
          </w:tcPr>
          <w:p w:rsidR="005E4D6C" w:rsidRDefault="00B95FD2">
            <w:pPr>
              <w:pStyle w:val="080318"/>
              <w:spacing w:line="440" w:lineRule="exact"/>
              <w:ind w:firstLineChars="0" w:firstLine="0"/>
              <w:rPr>
                <w:rFonts w:eastAsia="宋体" w:hAnsi="宋体"/>
                <w:sz w:val="21"/>
                <w:szCs w:val="21"/>
              </w:rPr>
            </w:pPr>
            <w:r>
              <w:rPr>
                <w:rFonts w:eastAsia="宋体" w:hAnsi="宋体" w:hint="eastAsia"/>
                <w:sz w:val="21"/>
                <w:szCs w:val="21"/>
              </w:rPr>
              <w:t>客服电话</w:t>
            </w:r>
          </w:p>
        </w:tc>
        <w:tc>
          <w:tcPr>
            <w:tcW w:w="3973" w:type="pct"/>
            <w:vAlign w:val="center"/>
          </w:tcPr>
          <w:p w:rsidR="005E4D6C" w:rsidRDefault="00B95FD2">
            <w:pPr>
              <w:pStyle w:val="080318"/>
              <w:spacing w:line="440" w:lineRule="exact"/>
              <w:ind w:firstLineChars="0" w:firstLine="0"/>
              <w:rPr>
                <w:rFonts w:eastAsia="宋体" w:hAnsi="宋体"/>
                <w:sz w:val="21"/>
                <w:szCs w:val="21"/>
              </w:rPr>
            </w:pPr>
            <w:r>
              <w:rPr>
                <w:rFonts w:eastAsia="宋体" w:hAnsi="宋体" w:hint="eastAsia"/>
                <w:sz w:val="21"/>
                <w:szCs w:val="21"/>
              </w:rPr>
              <w:t>400-678-3333</w:t>
            </w:r>
            <w:r>
              <w:rPr>
                <w:rFonts w:eastAsia="宋体" w:hAnsi="宋体" w:hint="eastAsia"/>
                <w:sz w:val="21"/>
                <w:szCs w:val="21"/>
              </w:rPr>
              <w:t>、</w:t>
            </w:r>
            <w:r>
              <w:rPr>
                <w:rFonts w:eastAsia="宋体" w:hAnsi="宋体" w:hint="eastAsia"/>
                <w:sz w:val="21"/>
                <w:szCs w:val="21"/>
              </w:rPr>
              <w:t>010-85186558</w:t>
            </w:r>
          </w:p>
        </w:tc>
      </w:tr>
      <w:tr w:rsidR="005E4D6C">
        <w:trPr>
          <w:trHeight w:val="263"/>
        </w:trPr>
        <w:tc>
          <w:tcPr>
            <w:tcW w:w="1026" w:type="pct"/>
            <w:vAlign w:val="center"/>
          </w:tcPr>
          <w:p w:rsidR="005E4D6C" w:rsidRDefault="00B95FD2">
            <w:pPr>
              <w:pStyle w:val="080318"/>
              <w:spacing w:line="440" w:lineRule="exact"/>
              <w:ind w:firstLineChars="0" w:firstLine="0"/>
              <w:rPr>
                <w:rFonts w:eastAsia="宋体" w:hAnsi="宋体"/>
                <w:sz w:val="21"/>
                <w:szCs w:val="21"/>
              </w:rPr>
            </w:pPr>
            <w:r>
              <w:rPr>
                <w:rFonts w:eastAsia="宋体" w:hAnsi="宋体" w:hint="eastAsia"/>
                <w:sz w:val="21"/>
                <w:szCs w:val="21"/>
              </w:rPr>
              <w:t>网址</w:t>
            </w:r>
          </w:p>
        </w:tc>
        <w:tc>
          <w:tcPr>
            <w:tcW w:w="3973" w:type="pct"/>
            <w:vAlign w:val="center"/>
          </w:tcPr>
          <w:p w:rsidR="005E4D6C" w:rsidRDefault="00B95FD2">
            <w:pPr>
              <w:pStyle w:val="080318"/>
              <w:spacing w:line="440" w:lineRule="exact"/>
              <w:ind w:firstLineChars="0" w:firstLine="0"/>
              <w:rPr>
                <w:rFonts w:eastAsia="宋体" w:hAnsi="宋体"/>
                <w:sz w:val="21"/>
                <w:szCs w:val="21"/>
              </w:rPr>
            </w:pPr>
            <w:r>
              <w:rPr>
                <w:rFonts w:eastAsia="宋体" w:hAnsi="宋体" w:hint="eastAsia"/>
                <w:sz w:val="21"/>
                <w:szCs w:val="21"/>
              </w:rPr>
              <w:t>www.yhfund.com.cn</w:t>
            </w:r>
          </w:p>
        </w:tc>
      </w:tr>
    </w:tbl>
    <w:p w:rsidR="005E4D6C" w:rsidRDefault="005E4D6C">
      <w:pPr>
        <w:autoSpaceDE w:val="0"/>
        <w:autoSpaceDN w:val="0"/>
        <w:adjustRightInd w:val="0"/>
        <w:spacing w:before="50" w:line="440" w:lineRule="exact"/>
        <w:ind w:firstLineChars="200" w:firstLine="420"/>
        <w:jc w:val="left"/>
        <w:rPr>
          <w:rFonts w:ascii="宋体" w:hAnsi="宋体" w:cs="宋体"/>
          <w:kern w:val="0"/>
        </w:rPr>
      </w:pPr>
    </w:p>
    <w:p w:rsidR="005E4D6C" w:rsidRDefault="00B95FD2">
      <w:pPr>
        <w:autoSpaceDE w:val="0"/>
        <w:autoSpaceDN w:val="0"/>
        <w:adjustRightInd w:val="0"/>
        <w:spacing w:before="50" w:line="440" w:lineRule="exact"/>
        <w:ind w:firstLineChars="200" w:firstLine="420"/>
        <w:jc w:val="left"/>
        <w:rPr>
          <w:rFonts w:ascii="宋体" w:cs="宋体"/>
          <w:kern w:val="0"/>
        </w:rPr>
      </w:pPr>
      <w:r>
        <w:rPr>
          <w:rFonts w:ascii="宋体" w:hAnsi="宋体" w:cs="宋体" w:hint="eastAsia"/>
          <w:kern w:val="0"/>
        </w:rPr>
        <w:t>风险提示：</w:t>
      </w:r>
    </w:p>
    <w:p w:rsidR="005E4D6C" w:rsidRDefault="00B95FD2">
      <w:pPr>
        <w:autoSpaceDE w:val="0"/>
        <w:autoSpaceDN w:val="0"/>
        <w:adjustRightInd w:val="0"/>
        <w:spacing w:before="50" w:line="440" w:lineRule="exact"/>
        <w:ind w:firstLineChars="200" w:firstLine="420"/>
        <w:jc w:val="left"/>
        <w:rPr>
          <w:rFonts w:ascii="宋体" w:hAnsi="宋体" w:cs="宋体"/>
          <w:kern w:val="0"/>
        </w:rPr>
      </w:pPr>
      <w:r>
        <w:rPr>
          <w:rFonts w:ascii="宋体" w:hAnsi="宋体" w:cs="宋体" w:hint="eastAsia"/>
          <w:kern w:val="0"/>
        </w:rPr>
        <w:lastRenderedPageBreak/>
        <w:t>基金管理人承诺以诚实信用、勤勉尽责的原则管理和运用基金资产，但不保证基金一定盈利，也不保证最低收益。敬请投资者留意投资风险。</w:t>
      </w:r>
    </w:p>
    <w:p w:rsidR="005E4D6C" w:rsidRDefault="005E4D6C">
      <w:pPr>
        <w:autoSpaceDE w:val="0"/>
        <w:autoSpaceDN w:val="0"/>
        <w:adjustRightInd w:val="0"/>
        <w:spacing w:before="50" w:line="440" w:lineRule="exact"/>
        <w:ind w:firstLineChars="200" w:firstLine="420"/>
        <w:jc w:val="left"/>
        <w:rPr>
          <w:rFonts w:ascii="宋体" w:hAnsi="宋体" w:cs="宋体"/>
          <w:kern w:val="0"/>
        </w:rPr>
      </w:pPr>
    </w:p>
    <w:p w:rsidR="005E4D6C" w:rsidRDefault="00B95FD2">
      <w:pPr>
        <w:autoSpaceDE w:val="0"/>
        <w:autoSpaceDN w:val="0"/>
        <w:adjustRightInd w:val="0"/>
        <w:spacing w:before="50" w:line="440" w:lineRule="exact"/>
        <w:ind w:firstLineChars="200" w:firstLine="420"/>
        <w:jc w:val="left"/>
        <w:rPr>
          <w:rFonts w:ascii="宋体" w:hAnsi="宋体" w:cs="宋体"/>
          <w:kern w:val="0"/>
        </w:rPr>
      </w:pPr>
      <w:r>
        <w:rPr>
          <w:rFonts w:ascii="宋体" w:hAnsi="宋体" w:cs="宋体" w:hint="eastAsia"/>
          <w:kern w:val="0"/>
        </w:rPr>
        <w:t>特此公告。</w:t>
      </w:r>
    </w:p>
    <w:p w:rsidR="005E4D6C" w:rsidRDefault="00B95FD2">
      <w:pPr>
        <w:autoSpaceDE w:val="0"/>
        <w:autoSpaceDN w:val="0"/>
        <w:adjustRightInd w:val="0"/>
        <w:spacing w:before="50" w:line="440" w:lineRule="exact"/>
        <w:ind w:right="105"/>
        <w:jc w:val="right"/>
        <w:rPr>
          <w:rFonts w:ascii="宋体" w:cs="宋体"/>
          <w:kern w:val="0"/>
        </w:rPr>
      </w:pPr>
      <w:r>
        <w:rPr>
          <w:rFonts w:ascii="宋体" w:hAnsi="宋体" w:cs="宋体" w:hint="eastAsia"/>
          <w:kern w:val="0"/>
        </w:rPr>
        <w:t>银华基金管理股份有限公司</w:t>
      </w:r>
    </w:p>
    <w:p w:rsidR="005E4D6C" w:rsidRDefault="00B95FD2">
      <w:pPr>
        <w:wordWrap w:val="0"/>
        <w:autoSpaceDE w:val="0"/>
        <w:autoSpaceDN w:val="0"/>
        <w:adjustRightInd w:val="0"/>
        <w:spacing w:before="50" w:line="440" w:lineRule="exact"/>
        <w:ind w:right="420"/>
        <w:jc w:val="right"/>
        <w:rPr>
          <w:rFonts w:ascii="宋体" w:cs="宋体"/>
        </w:rPr>
      </w:pPr>
      <w:r>
        <w:rPr>
          <w:rFonts w:ascii="宋体" w:hAnsi="宋体" w:cs="宋体" w:hint="eastAsia"/>
          <w:kern w:val="0"/>
        </w:rPr>
        <w:t>2024</w:t>
      </w:r>
      <w:r>
        <w:rPr>
          <w:rFonts w:ascii="宋体" w:hAnsi="宋体" w:cs="宋体" w:hint="eastAsia"/>
          <w:kern w:val="0"/>
        </w:rPr>
        <w:t>年</w:t>
      </w:r>
      <w:r w:rsidR="003774C3">
        <w:rPr>
          <w:rFonts w:ascii="宋体" w:hAnsi="宋体" w:cs="宋体"/>
          <w:kern w:val="0"/>
        </w:rPr>
        <w:t>1</w:t>
      </w:r>
      <w:r>
        <w:rPr>
          <w:rFonts w:ascii="宋体" w:hAnsi="宋体" w:cs="宋体" w:hint="eastAsia"/>
          <w:kern w:val="0"/>
        </w:rPr>
        <w:t>月</w:t>
      </w:r>
      <w:r w:rsidR="00EB417A">
        <w:rPr>
          <w:rFonts w:ascii="宋体" w:hAnsi="宋体" w:cs="宋体"/>
          <w:kern w:val="0"/>
        </w:rPr>
        <w:t>22</w:t>
      </w:r>
      <w:r>
        <w:rPr>
          <w:rFonts w:ascii="宋体" w:hAnsi="宋体" w:cs="宋体" w:hint="eastAsia"/>
          <w:kern w:val="0"/>
        </w:rPr>
        <w:t>日</w:t>
      </w:r>
    </w:p>
    <w:sectPr w:rsidR="005E4D6C" w:rsidSect="00817E0A">
      <w:headerReference w:type="default" r:id="rId7"/>
      <w:pgSz w:w="11906" w:h="16838"/>
      <w:pgMar w:top="1440" w:right="1814"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D04" w:rsidRDefault="003C4D04">
      <w:r>
        <w:separator/>
      </w:r>
    </w:p>
  </w:endnote>
  <w:endnote w:type="continuationSeparator" w:id="0">
    <w:p w:rsidR="003C4D04" w:rsidRDefault="003C4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00"/>
    <w:family w:val="auto"/>
    <w:pitch w:val="default"/>
    <w:sig w:usb0="00000000" w:usb1="0000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D04" w:rsidRDefault="003C4D04">
      <w:r>
        <w:separator/>
      </w:r>
    </w:p>
  </w:footnote>
  <w:footnote w:type="continuationSeparator" w:id="0">
    <w:p w:rsidR="003C4D04" w:rsidRDefault="003C4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D6C" w:rsidRDefault="00B95FD2">
    <w:pPr>
      <w:pStyle w:val="a5"/>
      <w:jc w:val="both"/>
    </w:pPr>
    <w:r>
      <w:rPr>
        <w:noProof/>
      </w:rPr>
      <w:drawing>
        <wp:inline distT="0" distB="0" distL="0" distR="0">
          <wp:extent cx="2237105" cy="4857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46153" cy="48773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81F1"/>
    <w:multiLevelType w:val="singleLevel"/>
    <w:tmpl w:val="016381F1"/>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M5ZjkyZDQwZjhkNGFlOGNmZmFkNjUyNTgwM2YxMGIifQ=="/>
  </w:docVars>
  <w:rsids>
    <w:rsidRoot w:val="00005D4D"/>
    <w:rsid w:val="BFB9A4D5"/>
    <w:rsid w:val="CFB545BE"/>
    <w:rsid w:val="D7FF3CB6"/>
    <w:rsid w:val="DE5FCD70"/>
    <w:rsid w:val="F6FBEC60"/>
    <w:rsid w:val="FA3FBB8E"/>
    <w:rsid w:val="FDFE60B7"/>
    <w:rsid w:val="FE6B4182"/>
    <w:rsid w:val="FFAF98C8"/>
    <w:rsid w:val="00005D4D"/>
    <w:rsid w:val="00007E95"/>
    <w:rsid w:val="00015E44"/>
    <w:rsid w:val="00015EB3"/>
    <w:rsid w:val="000176AC"/>
    <w:rsid w:val="00017740"/>
    <w:rsid w:val="00017EDC"/>
    <w:rsid w:val="00032814"/>
    <w:rsid w:val="00033590"/>
    <w:rsid w:val="000409A7"/>
    <w:rsid w:val="00041488"/>
    <w:rsid w:val="000442DD"/>
    <w:rsid w:val="00046D71"/>
    <w:rsid w:val="00053690"/>
    <w:rsid w:val="000641B7"/>
    <w:rsid w:val="00064825"/>
    <w:rsid w:val="000660FA"/>
    <w:rsid w:val="000668C8"/>
    <w:rsid w:val="00066FDD"/>
    <w:rsid w:val="00067284"/>
    <w:rsid w:val="00073697"/>
    <w:rsid w:val="0009034B"/>
    <w:rsid w:val="000913D6"/>
    <w:rsid w:val="00094384"/>
    <w:rsid w:val="000A11D8"/>
    <w:rsid w:val="000A4C49"/>
    <w:rsid w:val="000B6982"/>
    <w:rsid w:val="000C7BDA"/>
    <w:rsid w:val="000E16D1"/>
    <w:rsid w:val="000E1DA2"/>
    <w:rsid w:val="000F44FA"/>
    <w:rsid w:val="00107367"/>
    <w:rsid w:val="00111BE3"/>
    <w:rsid w:val="001135F0"/>
    <w:rsid w:val="00115181"/>
    <w:rsid w:val="00115E50"/>
    <w:rsid w:val="00116D83"/>
    <w:rsid w:val="00117BE4"/>
    <w:rsid w:val="00124537"/>
    <w:rsid w:val="00130B51"/>
    <w:rsid w:val="00140D27"/>
    <w:rsid w:val="00141C6C"/>
    <w:rsid w:val="00142651"/>
    <w:rsid w:val="0015426B"/>
    <w:rsid w:val="00154410"/>
    <w:rsid w:val="00160C03"/>
    <w:rsid w:val="00164B8A"/>
    <w:rsid w:val="00166862"/>
    <w:rsid w:val="001700CC"/>
    <w:rsid w:val="001820C9"/>
    <w:rsid w:val="00185787"/>
    <w:rsid w:val="001A378C"/>
    <w:rsid w:val="001B034D"/>
    <w:rsid w:val="001B6EF5"/>
    <w:rsid w:val="001B7E26"/>
    <w:rsid w:val="001C1E3B"/>
    <w:rsid w:val="001C635F"/>
    <w:rsid w:val="001D073E"/>
    <w:rsid w:val="001D5120"/>
    <w:rsid w:val="001D5C76"/>
    <w:rsid w:val="001E5AC4"/>
    <w:rsid w:val="001F0940"/>
    <w:rsid w:val="001F2216"/>
    <w:rsid w:val="001F344A"/>
    <w:rsid w:val="001F3F97"/>
    <w:rsid w:val="001F59B9"/>
    <w:rsid w:val="00203A86"/>
    <w:rsid w:val="0020581C"/>
    <w:rsid w:val="00205A0D"/>
    <w:rsid w:val="00206BE2"/>
    <w:rsid w:val="00211A4D"/>
    <w:rsid w:val="00225115"/>
    <w:rsid w:val="00226BD0"/>
    <w:rsid w:val="0022721F"/>
    <w:rsid w:val="00236E03"/>
    <w:rsid w:val="00245CBF"/>
    <w:rsid w:val="002461A5"/>
    <w:rsid w:val="00255F11"/>
    <w:rsid w:val="00263BBE"/>
    <w:rsid w:val="00267421"/>
    <w:rsid w:val="00267AEB"/>
    <w:rsid w:val="00271223"/>
    <w:rsid w:val="00273C48"/>
    <w:rsid w:val="0027526E"/>
    <w:rsid w:val="0028133A"/>
    <w:rsid w:val="00286E2D"/>
    <w:rsid w:val="002A12A1"/>
    <w:rsid w:val="002B49DF"/>
    <w:rsid w:val="002D08F4"/>
    <w:rsid w:val="002D1273"/>
    <w:rsid w:val="002E72D1"/>
    <w:rsid w:val="002E7EEA"/>
    <w:rsid w:val="003024CC"/>
    <w:rsid w:val="003035EA"/>
    <w:rsid w:val="003114A0"/>
    <w:rsid w:val="00320EB1"/>
    <w:rsid w:val="0032340B"/>
    <w:rsid w:val="003346A1"/>
    <w:rsid w:val="0033681E"/>
    <w:rsid w:val="0034041D"/>
    <w:rsid w:val="00341ABF"/>
    <w:rsid w:val="00343B33"/>
    <w:rsid w:val="00343F2D"/>
    <w:rsid w:val="0035292A"/>
    <w:rsid w:val="00353713"/>
    <w:rsid w:val="0035510A"/>
    <w:rsid w:val="00363259"/>
    <w:rsid w:val="00365BDF"/>
    <w:rsid w:val="00373A7E"/>
    <w:rsid w:val="00375E63"/>
    <w:rsid w:val="003774C3"/>
    <w:rsid w:val="00384DC4"/>
    <w:rsid w:val="00385F8A"/>
    <w:rsid w:val="003976D8"/>
    <w:rsid w:val="003977D5"/>
    <w:rsid w:val="003B216A"/>
    <w:rsid w:val="003C1B2B"/>
    <w:rsid w:val="003C4D04"/>
    <w:rsid w:val="003D4DE0"/>
    <w:rsid w:val="003D79D6"/>
    <w:rsid w:val="003E125E"/>
    <w:rsid w:val="003F616A"/>
    <w:rsid w:val="00411215"/>
    <w:rsid w:val="004161DC"/>
    <w:rsid w:val="004216CC"/>
    <w:rsid w:val="00427171"/>
    <w:rsid w:val="00436D0F"/>
    <w:rsid w:val="0044046C"/>
    <w:rsid w:val="00451827"/>
    <w:rsid w:val="00463744"/>
    <w:rsid w:val="0046630F"/>
    <w:rsid w:val="00482E95"/>
    <w:rsid w:val="00492899"/>
    <w:rsid w:val="0049402B"/>
    <w:rsid w:val="004A020A"/>
    <w:rsid w:val="004A6052"/>
    <w:rsid w:val="004A7CB7"/>
    <w:rsid w:val="004C4422"/>
    <w:rsid w:val="004C766C"/>
    <w:rsid w:val="004E24D3"/>
    <w:rsid w:val="004F2008"/>
    <w:rsid w:val="004F442A"/>
    <w:rsid w:val="00505DAA"/>
    <w:rsid w:val="0050751B"/>
    <w:rsid w:val="00512111"/>
    <w:rsid w:val="0051356D"/>
    <w:rsid w:val="00515BD0"/>
    <w:rsid w:val="0051696D"/>
    <w:rsid w:val="0052557F"/>
    <w:rsid w:val="00525FBE"/>
    <w:rsid w:val="00527682"/>
    <w:rsid w:val="00560A61"/>
    <w:rsid w:val="00562BAB"/>
    <w:rsid w:val="00565045"/>
    <w:rsid w:val="00570C96"/>
    <w:rsid w:val="00576253"/>
    <w:rsid w:val="00577563"/>
    <w:rsid w:val="00582837"/>
    <w:rsid w:val="00585637"/>
    <w:rsid w:val="005950AD"/>
    <w:rsid w:val="005B0D78"/>
    <w:rsid w:val="005B1535"/>
    <w:rsid w:val="005B54A4"/>
    <w:rsid w:val="005C3F71"/>
    <w:rsid w:val="005C407C"/>
    <w:rsid w:val="005D06AD"/>
    <w:rsid w:val="005D5579"/>
    <w:rsid w:val="005D58D2"/>
    <w:rsid w:val="005E4D6C"/>
    <w:rsid w:val="005F2480"/>
    <w:rsid w:val="005F4FE1"/>
    <w:rsid w:val="006027B5"/>
    <w:rsid w:val="00612992"/>
    <w:rsid w:val="00616A75"/>
    <w:rsid w:val="00623855"/>
    <w:rsid w:val="00625B91"/>
    <w:rsid w:val="006326D5"/>
    <w:rsid w:val="00633889"/>
    <w:rsid w:val="0063683E"/>
    <w:rsid w:val="0063721C"/>
    <w:rsid w:val="00642D09"/>
    <w:rsid w:val="006502B1"/>
    <w:rsid w:val="0065117D"/>
    <w:rsid w:val="0065493B"/>
    <w:rsid w:val="00661EB0"/>
    <w:rsid w:val="00662B3C"/>
    <w:rsid w:val="006675B8"/>
    <w:rsid w:val="00667F40"/>
    <w:rsid w:val="00675DEE"/>
    <w:rsid w:val="006809CB"/>
    <w:rsid w:val="00685F24"/>
    <w:rsid w:val="006901F1"/>
    <w:rsid w:val="00696FD4"/>
    <w:rsid w:val="006971BB"/>
    <w:rsid w:val="006A2B3F"/>
    <w:rsid w:val="006A45D3"/>
    <w:rsid w:val="006B001D"/>
    <w:rsid w:val="006B22D2"/>
    <w:rsid w:val="006B68FA"/>
    <w:rsid w:val="006C60A6"/>
    <w:rsid w:val="006D0FC4"/>
    <w:rsid w:val="006D41E7"/>
    <w:rsid w:val="006E3F34"/>
    <w:rsid w:val="006E4109"/>
    <w:rsid w:val="006F4ED6"/>
    <w:rsid w:val="007018B8"/>
    <w:rsid w:val="00712C33"/>
    <w:rsid w:val="0071452F"/>
    <w:rsid w:val="0071465B"/>
    <w:rsid w:val="00723DD2"/>
    <w:rsid w:val="007320A7"/>
    <w:rsid w:val="007349E7"/>
    <w:rsid w:val="00737268"/>
    <w:rsid w:val="0074415B"/>
    <w:rsid w:val="007456EE"/>
    <w:rsid w:val="007471A5"/>
    <w:rsid w:val="00756A2B"/>
    <w:rsid w:val="00774CC7"/>
    <w:rsid w:val="00775B81"/>
    <w:rsid w:val="007A5824"/>
    <w:rsid w:val="007B010A"/>
    <w:rsid w:val="007B3DF5"/>
    <w:rsid w:val="007C03F5"/>
    <w:rsid w:val="007C0855"/>
    <w:rsid w:val="007C6C99"/>
    <w:rsid w:val="007D1AE9"/>
    <w:rsid w:val="007D6E4A"/>
    <w:rsid w:val="007D6F0F"/>
    <w:rsid w:val="007E020F"/>
    <w:rsid w:val="00817396"/>
    <w:rsid w:val="00817E0A"/>
    <w:rsid w:val="00825C7D"/>
    <w:rsid w:val="008337A2"/>
    <w:rsid w:val="00834A26"/>
    <w:rsid w:val="00837A2B"/>
    <w:rsid w:val="0085122D"/>
    <w:rsid w:val="0085587D"/>
    <w:rsid w:val="008653CA"/>
    <w:rsid w:val="008750C2"/>
    <w:rsid w:val="00883E28"/>
    <w:rsid w:val="00885A39"/>
    <w:rsid w:val="00885CA5"/>
    <w:rsid w:val="008965D2"/>
    <w:rsid w:val="008B273E"/>
    <w:rsid w:val="008B38E3"/>
    <w:rsid w:val="008B3B1F"/>
    <w:rsid w:val="008B6854"/>
    <w:rsid w:val="008D6046"/>
    <w:rsid w:val="008D63A0"/>
    <w:rsid w:val="008E37DE"/>
    <w:rsid w:val="008F2B4C"/>
    <w:rsid w:val="008F71FB"/>
    <w:rsid w:val="00900992"/>
    <w:rsid w:val="00904011"/>
    <w:rsid w:val="0092142C"/>
    <w:rsid w:val="009217A2"/>
    <w:rsid w:val="0094440A"/>
    <w:rsid w:val="009456B1"/>
    <w:rsid w:val="00947132"/>
    <w:rsid w:val="00951727"/>
    <w:rsid w:val="00953F6F"/>
    <w:rsid w:val="009546BA"/>
    <w:rsid w:val="009563C7"/>
    <w:rsid w:val="00957E09"/>
    <w:rsid w:val="00985CCA"/>
    <w:rsid w:val="00993139"/>
    <w:rsid w:val="009B3C25"/>
    <w:rsid w:val="009B4D49"/>
    <w:rsid w:val="009C1D4E"/>
    <w:rsid w:val="009C6D08"/>
    <w:rsid w:val="009C7852"/>
    <w:rsid w:val="009E35E9"/>
    <w:rsid w:val="009F5761"/>
    <w:rsid w:val="009F68FD"/>
    <w:rsid w:val="00A06E53"/>
    <w:rsid w:val="00A10665"/>
    <w:rsid w:val="00A23E06"/>
    <w:rsid w:val="00A26265"/>
    <w:rsid w:val="00A30F2D"/>
    <w:rsid w:val="00A42E30"/>
    <w:rsid w:val="00A55EBD"/>
    <w:rsid w:val="00A57A0D"/>
    <w:rsid w:val="00A62C46"/>
    <w:rsid w:val="00A711FA"/>
    <w:rsid w:val="00A81037"/>
    <w:rsid w:val="00A848F8"/>
    <w:rsid w:val="00A87C66"/>
    <w:rsid w:val="00A901FF"/>
    <w:rsid w:val="00A92D1E"/>
    <w:rsid w:val="00AA16EF"/>
    <w:rsid w:val="00AA21CC"/>
    <w:rsid w:val="00AA3BA7"/>
    <w:rsid w:val="00AB0F04"/>
    <w:rsid w:val="00AB7FA3"/>
    <w:rsid w:val="00AC0DF3"/>
    <w:rsid w:val="00AC1B29"/>
    <w:rsid w:val="00AC1E87"/>
    <w:rsid w:val="00AC660C"/>
    <w:rsid w:val="00AD0343"/>
    <w:rsid w:val="00AD07D6"/>
    <w:rsid w:val="00AD0936"/>
    <w:rsid w:val="00AD6C28"/>
    <w:rsid w:val="00AF4141"/>
    <w:rsid w:val="00B03A22"/>
    <w:rsid w:val="00B33E58"/>
    <w:rsid w:val="00B40E8C"/>
    <w:rsid w:val="00B44E0D"/>
    <w:rsid w:val="00B56458"/>
    <w:rsid w:val="00B57E79"/>
    <w:rsid w:val="00B6527C"/>
    <w:rsid w:val="00B66D51"/>
    <w:rsid w:val="00B80F2F"/>
    <w:rsid w:val="00B841C4"/>
    <w:rsid w:val="00B87B31"/>
    <w:rsid w:val="00B95FD2"/>
    <w:rsid w:val="00BA7B71"/>
    <w:rsid w:val="00BC1125"/>
    <w:rsid w:val="00BC5345"/>
    <w:rsid w:val="00BC5E45"/>
    <w:rsid w:val="00BD1741"/>
    <w:rsid w:val="00BD4E51"/>
    <w:rsid w:val="00BD5236"/>
    <w:rsid w:val="00BE05BA"/>
    <w:rsid w:val="00BE5092"/>
    <w:rsid w:val="00C02DAA"/>
    <w:rsid w:val="00C06FB6"/>
    <w:rsid w:val="00C12FB6"/>
    <w:rsid w:val="00C143E0"/>
    <w:rsid w:val="00C336BA"/>
    <w:rsid w:val="00C4088B"/>
    <w:rsid w:val="00C44960"/>
    <w:rsid w:val="00C556FF"/>
    <w:rsid w:val="00C7213A"/>
    <w:rsid w:val="00C72E91"/>
    <w:rsid w:val="00C761EF"/>
    <w:rsid w:val="00C77BE4"/>
    <w:rsid w:val="00C87F7E"/>
    <w:rsid w:val="00C92536"/>
    <w:rsid w:val="00C93345"/>
    <w:rsid w:val="00C96A44"/>
    <w:rsid w:val="00CA1DA4"/>
    <w:rsid w:val="00CA5B26"/>
    <w:rsid w:val="00CA6682"/>
    <w:rsid w:val="00CB535B"/>
    <w:rsid w:val="00CC245E"/>
    <w:rsid w:val="00CD4067"/>
    <w:rsid w:val="00CE3274"/>
    <w:rsid w:val="00CE3AF1"/>
    <w:rsid w:val="00CF3B73"/>
    <w:rsid w:val="00D02282"/>
    <w:rsid w:val="00D03716"/>
    <w:rsid w:val="00D0419F"/>
    <w:rsid w:val="00D34FBE"/>
    <w:rsid w:val="00D35654"/>
    <w:rsid w:val="00D35F55"/>
    <w:rsid w:val="00D3630F"/>
    <w:rsid w:val="00D50140"/>
    <w:rsid w:val="00D55C41"/>
    <w:rsid w:val="00D6041D"/>
    <w:rsid w:val="00D64260"/>
    <w:rsid w:val="00D64638"/>
    <w:rsid w:val="00D83348"/>
    <w:rsid w:val="00D84EE4"/>
    <w:rsid w:val="00D8712B"/>
    <w:rsid w:val="00D9141B"/>
    <w:rsid w:val="00DF1E78"/>
    <w:rsid w:val="00E000F3"/>
    <w:rsid w:val="00E0377C"/>
    <w:rsid w:val="00E04C6C"/>
    <w:rsid w:val="00E071A1"/>
    <w:rsid w:val="00E07DD2"/>
    <w:rsid w:val="00E21CE2"/>
    <w:rsid w:val="00E27F2B"/>
    <w:rsid w:val="00E54DEA"/>
    <w:rsid w:val="00E70022"/>
    <w:rsid w:val="00E75470"/>
    <w:rsid w:val="00E75F5A"/>
    <w:rsid w:val="00E8066C"/>
    <w:rsid w:val="00E824D8"/>
    <w:rsid w:val="00E82BD9"/>
    <w:rsid w:val="00E948C6"/>
    <w:rsid w:val="00E955BA"/>
    <w:rsid w:val="00EB417A"/>
    <w:rsid w:val="00EB709B"/>
    <w:rsid w:val="00ED2B24"/>
    <w:rsid w:val="00EE4F17"/>
    <w:rsid w:val="00EF03EB"/>
    <w:rsid w:val="00EF40A7"/>
    <w:rsid w:val="00EF7782"/>
    <w:rsid w:val="00F175A7"/>
    <w:rsid w:val="00F26D7A"/>
    <w:rsid w:val="00F36BF3"/>
    <w:rsid w:val="00F43561"/>
    <w:rsid w:val="00F50F70"/>
    <w:rsid w:val="00F52B44"/>
    <w:rsid w:val="00F52FF4"/>
    <w:rsid w:val="00F62BC0"/>
    <w:rsid w:val="00F80D0A"/>
    <w:rsid w:val="00FA7335"/>
    <w:rsid w:val="00FB162C"/>
    <w:rsid w:val="00FC246F"/>
    <w:rsid w:val="00FE164A"/>
    <w:rsid w:val="00FE47CD"/>
    <w:rsid w:val="00FF1859"/>
    <w:rsid w:val="040F25B0"/>
    <w:rsid w:val="05905EC3"/>
    <w:rsid w:val="098A2029"/>
    <w:rsid w:val="09E65669"/>
    <w:rsid w:val="0F8F1D15"/>
    <w:rsid w:val="13E11E64"/>
    <w:rsid w:val="156660DA"/>
    <w:rsid w:val="180948FC"/>
    <w:rsid w:val="19EC3A1D"/>
    <w:rsid w:val="207D1D18"/>
    <w:rsid w:val="20AF6F24"/>
    <w:rsid w:val="22813348"/>
    <w:rsid w:val="22F4261A"/>
    <w:rsid w:val="23287B18"/>
    <w:rsid w:val="28FA660B"/>
    <w:rsid w:val="299E2994"/>
    <w:rsid w:val="2CEC3670"/>
    <w:rsid w:val="2FDF23EB"/>
    <w:rsid w:val="31FE750F"/>
    <w:rsid w:val="328E7910"/>
    <w:rsid w:val="3428679B"/>
    <w:rsid w:val="368F11EE"/>
    <w:rsid w:val="3C5A0A03"/>
    <w:rsid w:val="43D74871"/>
    <w:rsid w:val="46BC22E6"/>
    <w:rsid w:val="4D4F78EA"/>
    <w:rsid w:val="50C97D4A"/>
    <w:rsid w:val="52A63DE3"/>
    <w:rsid w:val="549734A7"/>
    <w:rsid w:val="585E1813"/>
    <w:rsid w:val="5A534CBD"/>
    <w:rsid w:val="5CF8462B"/>
    <w:rsid w:val="629056C4"/>
    <w:rsid w:val="6A9E5172"/>
    <w:rsid w:val="739E3E88"/>
    <w:rsid w:val="761802AD"/>
    <w:rsid w:val="778066EB"/>
    <w:rsid w:val="787E20E4"/>
    <w:rsid w:val="7B7F9DDA"/>
    <w:rsid w:val="7C830A0A"/>
    <w:rsid w:val="7DFF0F4C"/>
    <w:rsid w:val="7F7366B3"/>
    <w:rsid w:val="7FBE1956"/>
    <w:rsid w:val="7FF7B2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Balloon Text"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A"/>
    <w:pPr>
      <w:widowControl w:val="0"/>
      <w:jc w:val="both"/>
    </w:pPr>
    <w:rPr>
      <w:kern w:val="2"/>
      <w:sz w:val="21"/>
      <w:szCs w:val="21"/>
    </w:rPr>
  </w:style>
  <w:style w:type="paragraph" w:styleId="3">
    <w:name w:val="heading 3"/>
    <w:basedOn w:val="a"/>
    <w:next w:val="a"/>
    <w:semiHidden/>
    <w:unhideWhenUsed/>
    <w:qFormat/>
    <w:locked/>
    <w:rsid w:val="00817E0A"/>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817E0A"/>
    <w:rPr>
      <w:sz w:val="18"/>
      <w:szCs w:val="18"/>
    </w:rPr>
  </w:style>
  <w:style w:type="paragraph" w:styleId="a4">
    <w:name w:val="footer"/>
    <w:basedOn w:val="a"/>
    <w:link w:val="Char"/>
    <w:autoRedefine/>
    <w:uiPriority w:val="99"/>
    <w:semiHidden/>
    <w:qFormat/>
    <w:rsid w:val="00817E0A"/>
    <w:pPr>
      <w:tabs>
        <w:tab w:val="center" w:pos="4153"/>
        <w:tab w:val="right" w:pos="8306"/>
      </w:tabs>
      <w:snapToGrid w:val="0"/>
      <w:jc w:val="left"/>
    </w:pPr>
    <w:rPr>
      <w:sz w:val="18"/>
      <w:szCs w:val="18"/>
    </w:rPr>
  </w:style>
  <w:style w:type="paragraph" w:styleId="a5">
    <w:name w:val="header"/>
    <w:basedOn w:val="a"/>
    <w:link w:val="Char0"/>
    <w:uiPriority w:val="99"/>
    <w:qFormat/>
    <w:rsid w:val="00817E0A"/>
    <w:pPr>
      <w:pBdr>
        <w:bottom w:val="single" w:sz="6" w:space="1" w:color="auto"/>
      </w:pBdr>
      <w:tabs>
        <w:tab w:val="center" w:pos="4153"/>
        <w:tab w:val="right" w:pos="8306"/>
      </w:tabs>
      <w:snapToGrid w:val="0"/>
      <w:jc w:val="center"/>
    </w:pPr>
    <w:rPr>
      <w:sz w:val="18"/>
      <w:szCs w:val="18"/>
    </w:rPr>
  </w:style>
  <w:style w:type="paragraph" w:styleId="a6">
    <w:name w:val="Normal (Web)"/>
    <w:basedOn w:val="a"/>
    <w:autoRedefine/>
    <w:uiPriority w:val="99"/>
    <w:qFormat/>
    <w:rsid w:val="00817E0A"/>
    <w:pPr>
      <w:widowControl/>
      <w:spacing w:before="100" w:beforeAutospacing="1" w:after="100" w:afterAutospacing="1"/>
      <w:jc w:val="left"/>
    </w:pPr>
    <w:rPr>
      <w:rFonts w:ascii="宋体" w:hAnsi="宋体" w:cs="宋体"/>
      <w:kern w:val="0"/>
      <w:sz w:val="24"/>
      <w:szCs w:val="24"/>
    </w:rPr>
  </w:style>
  <w:style w:type="character" w:styleId="a7">
    <w:name w:val="Hyperlink"/>
    <w:basedOn w:val="a0"/>
    <w:qFormat/>
    <w:rsid w:val="00817E0A"/>
    <w:rPr>
      <w:color w:val="0000FF"/>
      <w:u w:val="single"/>
    </w:rPr>
  </w:style>
  <w:style w:type="character" w:customStyle="1" w:styleId="Char0">
    <w:name w:val="页眉 Char"/>
    <w:basedOn w:val="a0"/>
    <w:link w:val="a5"/>
    <w:autoRedefine/>
    <w:uiPriority w:val="99"/>
    <w:qFormat/>
    <w:locked/>
    <w:rsid w:val="00817E0A"/>
    <w:rPr>
      <w:rFonts w:ascii="Times New Roman" w:eastAsia="宋体" w:hAnsi="Times New Roman" w:cs="Times New Roman"/>
      <w:sz w:val="18"/>
      <w:szCs w:val="18"/>
    </w:rPr>
  </w:style>
  <w:style w:type="paragraph" w:customStyle="1" w:styleId="080318">
    <w:name w:val="产品方案正文080318"/>
    <w:basedOn w:val="222"/>
    <w:qFormat/>
    <w:rsid w:val="00817E0A"/>
    <w:pPr>
      <w:ind w:firstLine="200"/>
    </w:pPr>
    <w:rPr>
      <w:rFonts w:ascii="宋体"/>
    </w:rPr>
  </w:style>
  <w:style w:type="paragraph" w:customStyle="1" w:styleId="222">
    <w:name w:val="样式 样式 产品正文2 + 首行缩进:  2 字符 + 首行缩进:  2 字符"/>
    <w:basedOn w:val="a"/>
    <w:qFormat/>
    <w:rsid w:val="00817E0A"/>
    <w:pPr>
      <w:autoSpaceDE w:val="0"/>
      <w:autoSpaceDN w:val="0"/>
      <w:adjustRightInd w:val="0"/>
      <w:snapToGrid w:val="0"/>
      <w:spacing w:line="360" w:lineRule="auto"/>
      <w:ind w:firstLineChars="200" w:firstLine="480"/>
    </w:pPr>
    <w:rPr>
      <w:rFonts w:ascii="仿宋_GB2312" w:eastAsia="仿宋_GB2312" w:cs="宋体"/>
      <w:sz w:val="24"/>
      <w:szCs w:val="20"/>
      <w:lang w:val="zh-CN"/>
    </w:rPr>
  </w:style>
  <w:style w:type="character" w:customStyle="1" w:styleId="Char">
    <w:name w:val="页脚 Char"/>
    <w:basedOn w:val="a0"/>
    <w:link w:val="a4"/>
    <w:uiPriority w:val="99"/>
    <w:semiHidden/>
    <w:qFormat/>
    <w:locked/>
    <w:rsid w:val="00817E0A"/>
    <w:rPr>
      <w:rFonts w:ascii="Times New Roman" w:eastAsia="宋体" w:hAnsi="Times New Roman" w:cs="Times New Roman"/>
      <w:sz w:val="18"/>
      <w:szCs w:val="18"/>
    </w:rPr>
  </w:style>
  <w:style w:type="character" w:customStyle="1" w:styleId="txtcontent11">
    <w:name w:val="txtcontent11"/>
    <w:basedOn w:val="a0"/>
    <w:qFormat/>
    <w:rsid w:val="00817E0A"/>
    <w:rPr>
      <w:color w:val="000000"/>
      <w:sz w:val="19"/>
      <w:szCs w:val="19"/>
    </w:rPr>
  </w:style>
  <w:style w:type="paragraph" w:customStyle="1" w:styleId="Default">
    <w:name w:val="Default"/>
    <w:autoRedefine/>
    <w:qFormat/>
    <w:rsid w:val="00817E0A"/>
    <w:pPr>
      <w:widowControl w:val="0"/>
      <w:autoSpaceDE w:val="0"/>
      <w:autoSpaceDN w:val="0"/>
      <w:adjustRightInd w:val="0"/>
    </w:pPr>
    <w:rPr>
      <w:rFonts w:ascii="宋体" w:cs="宋体"/>
      <w:color w:val="000000"/>
      <w:sz w:val="24"/>
      <w:szCs w:val="24"/>
    </w:rPr>
  </w:style>
  <w:style w:type="paragraph" w:styleId="a8">
    <w:name w:val="List Paragraph"/>
    <w:basedOn w:val="a"/>
    <w:autoRedefine/>
    <w:uiPriority w:val="34"/>
    <w:qFormat/>
    <w:rsid w:val="00817E0A"/>
    <w:pPr>
      <w:ind w:firstLineChars="200" w:firstLine="420"/>
    </w:pPr>
    <w:rPr>
      <w:szCs w:val="24"/>
    </w:rPr>
  </w:style>
  <w:style w:type="paragraph" w:customStyle="1" w:styleId="Revision1">
    <w:name w:val="Revision1"/>
    <w:autoRedefine/>
    <w:hidden/>
    <w:uiPriority w:val="99"/>
    <w:semiHidden/>
    <w:qFormat/>
    <w:rsid w:val="00817E0A"/>
    <w:rPr>
      <w:kern w:val="2"/>
      <w:sz w:val="21"/>
      <w:szCs w:val="21"/>
    </w:rPr>
  </w:style>
  <w:style w:type="paragraph" w:customStyle="1" w:styleId="1">
    <w:name w:val="修订1"/>
    <w:autoRedefine/>
    <w:hidden/>
    <w:uiPriority w:val="99"/>
    <w:unhideWhenUsed/>
    <w:qFormat/>
    <w:rsid w:val="00817E0A"/>
    <w:rPr>
      <w:kern w:val="2"/>
      <w:sz w:val="21"/>
      <w:szCs w:val="21"/>
    </w:rPr>
  </w:style>
  <w:style w:type="paragraph" w:customStyle="1" w:styleId="10">
    <w:name w:val="普通(网站)1"/>
    <w:basedOn w:val="a"/>
    <w:autoRedefine/>
    <w:qFormat/>
    <w:rsid w:val="00817E0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1586</Characters>
  <Application>Microsoft Office Word</Application>
  <DocSecurity>4</DocSecurity>
  <Lines>13</Lines>
  <Paragraphs>3</Paragraphs>
  <ScaleCrop>false</ScaleCrop>
  <Company>微软中国</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银华基金管理有限公司关于增加光大银行、哈尔滨银行、东莞证券</dc:title>
  <dc:creator>gaoying</dc:creator>
  <cp:lastModifiedBy>ZHONGM</cp:lastModifiedBy>
  <cp:revision>2</cp:revision>
  <cp:lastPrinted>2022-05-11T10:06:00Z</cp:lastPrinted>
  <dcterms:created xsi:type="dcterms:W3CDTF">2024-01-21T16:03:00Z</dcterms:created>
  <dcterms:modified xsi:type="dcterms:W3CDTF">2024-01-21T16:03:00Z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3BB8E699A2204415BDD674165B10113A</vt:lpwstr>
  </property>
  <property fmtid="{D5CDD505-2E9C-101B-9397-08002B2CF9AE}" pid="4" name="GrammarlyDocumentId">
    <vt:lpwstr>cca618f6a765fd344b2aefee12bf5a9455632d66e438ac8531d039222b1e239e</vt:lpwstr>
  </property>
</Properties>
</file>