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B15" w:rsidRDefault="00853BAA">
      <w:pPr>
        <w:spacing w:line="540" w:lineRule="exact"/>
        <w:ind w:firstLineChars="50" w:firstLine="141"/>
        <w:jc w:val="center"/>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富国基金管理有限公司旗下</w:t>
      </w:r>
      <w:r>
        <w:rPr>
          <w:rFonts w:asciiTheme="minorEastAsia" w:hAnsiTheme="minorEastAsia"/>
          <w:b/>
          <w:color w:val="000000" w:themeColor="text1"/>
          <w:sz w:val="28"/>
          <w:szCs w:val="28"/>
        </w:rPr>
        <w:t>部分</w:t>
      </w:r>
      <w:r>
        <w:rPr>
          <w:rFonts w:asciiTheme="minorEastAsia" w:hAnsiTheme="minorEastAsia" w:hint="eastAsia"/>
          <w:b/>
          <w:color w:val="000000" w:themeColor="text1"/>
          <w:sz w:val="28"/>
          <w:szCs w:val="28"/>
        </w:rPr>
        <w:t>基金季度报告提示性公告</w:t>
      </w:r>
    </w:p>
    <w:p w:rsidR="00E74B15" w:rsidRDefault="00E74B15">
      <w:pPr>
        <w:rPr>
          <w:rFonts w:asciiTheme="minorEastAsia" w:hAnsiTheme="minorEastAsia"/>
          <w:color w:val="000000" w:themeColor="text1"/>
          <w:sz w:val="24"/>
          <w:szCs w:val="24"/>
        </w:rPr>
      </w:pPr>
    </w:p>
    <w:p w:rsidR="00E74B15" w:rsidRDefault="00853BAA">
      <w:pPr>
        <w:spacing w:line="540" w:lineRule="exact"/>
        <w:ind w:firstLineChars="250" w:firstLine="60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本公司董事会及董事保证基金季度报告所载资料不存在虚假记载、误导性陈述或重大遗漏，并对其内容的真实性、准确性和完整性承担个别及连带责任。</w:t>
      </w:r>
    </w:p>
    <w:p w:rsidR="00E74B15" w:rsidRDefault="00853BAA">
      <w:pPr>
        <w:spacing w:line="540" w:lineRule="exact"/>
        <w:ind w:firstLineChars="250" w:firstLine="60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富国基金管理有限</w:t>
      </w:r>
      <w:r>
        <w:rPr>
          <w:rFonts w:asciiTheme="minorEastAsia" w:hAnsiTheme="minorEastAsia"/>
          <w:color w:val="000000" w:themeColor="text1"/>
          <w:sz w:val="24"/>
          <w:szCs w:val="24"/>
        </w:rPr>
        <w:t>公司</w:t>
      </w:r>
      <w:r>
        <w:rPr>
          <w:rFonts w:asciiTheme="minorEastAsia" w:hAnsiTheme="minorEastAsia" w:hint="eastAsia"/>
          <w:color w:val="000000" w:themeColor="text1"/>
          <w:sz w:val="24"/>
          <w:szCs w:val="24"/>
        </w:rPr>
        <w:t>旗下如下</w:t>
      </w:r>
      <w:r>
        <w:rPr>
          <w:rFonts w:asciiTheme="minorEastAsia" w:hAnsiTheme="minorEastAsia"/>
          <w:color w:val="000000" w:themeColor="text1"/>
          <w:sz w:val="24"/>
          <w:szCs w:val="24"/>
        </w:rPr>
        <w:t>基金</w:t>
      </w:r>
      <w:r>
        <w:rPr>
          <w:rFonts w:asciiTheme="minorEastAsia" w:hAnsiTheme="minorEastAsia"/>
          <w:color w:val="000000" w:themeColor="text1"/>
          <w:sz w:val="24"/>
          <w:szCs w:val="24"/>
        </w:rPr>
        <w:t>2023</w:t>
      </w:r>
      <w:r>
        <w:rPr>
          <w:rFonts w:asciiTheme="minorEastAsia" w:hAnsiTheme="minorEastAsia"/>
          <w:color w:val="000000" w:themeColor="text1"/>
          <w:sz w:val="24"/>
          <w:szCs w:val="24"/>
        </w:rPr>
        <w:t>年度第</w:t>
      </w:r>
      <w:r>
        <w:rPr>
          <w:rFonts w:asciiTheme="minorEastAsia" w:hAnsiTheme="minorEastAsia" w:hint="eastAsia"/>
          <w:color w:val="000000" w:themeColor="text1"/>
          <w:sz w:val="24"/>
          <w:szCs w:val="24"/>
        </w:rPr>
        <w:t>四</w:t>
      </w:r>
      <w:r>
        <w:rPr>
          <w:rFonts w:asciiTheme="minorEastAsia" w:hAnsiTheme="minorEastAsia" w:hint="eastAsia"/>
          <w:color w:val="000000" w:themeColor="text1"/>
          <w:sz w:val="24"/>
          <w:szCs w:val="24"/>
        </w:rPr>
        <w:t>季度</w:t>
      </w:r>
      <w:r>
        <w:rPr>
          <w:rFonts w:asciiTheme="minorEastAsia" w:hAnsiTheme="minorEastAsia"/>
          <w:color w:val="000000" w:themeColor="text1"/>
          <w:sz w:val="24"/>
          <w:szCs w:val="24"/>
        </w:rPr>
        <w:t>报告全文</w:t>
      </w:r>
      <w:r>
        <w:rPr>
          <w:rFonts w:asciiTheme="minorEastAsia" w:hAnsiTheme="minorEastAsia" w:hint="eastAsia"/>
          <w:color w:val="000000" w:themeColor="text1"/>
          <w:sz w:val="24"/>
          <w:szCs w:val="24"/>
        </w:rPr>
        <w:t>于</w:t>
      </w:r>
      <w:r>
        <w:rPr>
          <w:rFonts w:asciiTheme="minorEastAsia" w:hAnsiTheme="minorEastAsia" w:hint="eastAsia"/>
          <w:color w:val="000000" w:themeColor="text1"/>
          <w:sz w:val="24"/>
          <w:szCs w:val="24"/>
        </w:rPr>
        <w:t>2024</w:t>
      </w:r>
      <w:r>
        <w:rPr>
          <w:rFonts w:asciiTheme="minorEastAsia" w:hAnsiTheme="minorEastAsia" w:hint="eastAsia"/>
          <w:color w:val="000000" w:themeColor="text1"/>
          <w:sz w:val="24"/>
          <w:szCs w:val="24"/>
        </w:rPr>
        <w:t>年</w:t>
      </w:r>
      <w:r>
        <w:rPr>
          <w:rFonts w:asciiTheme="minorEastAsia" w:hAnsiTheme="minorEastAsia"/>
          <w:color w:val="000000" w:themeColor="text1"/>
          <w:sz w:val="24"/>
          <w:szCs w:val="24"/>
        </w:rPr>
        <w:t>1</w:t>
      </w:r>
      <w:r>
        <w:rPr>
          <w:rFonts w:asciiTheme="minorEastAsia" w:hAnsiTheme="minorEastAsia" w:hint="eastAsia"/>
          <w:color w:val="000000" w:themeColor="text1"/>
          <w:sz w:val="24"/>
          <w:szCs w:val="24"/>
        </w:rPr>
        <w:t>月</w:t>
      </w:r>
      <w:r>
        <w:rPr>
          <w:rFonts w:asciiTheme="minorEastAsia" w:hAnsiTheme="minorEastAsia" w:hint="eastAsia"/>
          <w:color w:val="000000" w:themeColor="text1"/>
          <w:sz w:val="24"/>
          <w:szCs w:val="24"/>
        </w:rPr>
        <w:t>22</w:t>
      </w:r>
      <w:r>
        <w:rPr>
          <w:rFonts w:asciiTheme="minorEastAsia" w:hAnsiTheme="minorEastAsia" w:hint="eastAsia"/>
          <w:color w:val="000000" w:themeColor="text1"/>
          <w:sz w:val="24"/>
          <w:szCs w:val="24"/>
        </w:rPr>
        <w:t>日在</w:t>
      </w:r>
      <w:r>
        <w:rPr>
          <w:rFonts w:asciiTheme="minorEastAsia" w:hAnsiTheme="minorEastAsia"/>
          <w:color w:val="000000" w:themeColor="text1"/>
          <w:sz w:val="24"/>
          <w:szCs w:val="24"/>
        </w:rPr>
        <w:t>本公司网站</w:t>
      </w:r>
      <w:r>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www.fullgoal.com.cn</w:t>
      </w:r>
      <w:r>
        <w:rPr>
          <w:rFonts w:asciiTheme="minorEastAsia" w:hAnsiTheme="minorEastAsia" w:hint="eastAsia"/>
          <w:color w:val="000000" w:themeColor="text1"/>
          <w:sz w:val="24"/>
          <w:szCs w:val="24"/>
        </w:rPr>
        <w:t>）</w:t>
      </w:r>
      <w:r>
        <w:rPr>
          <w:rFonts w:asciiTheme="minorEastAsia" w:hAnsiTheme="minorEastAsia"/>
          <w:color w:val="000000" w:themeColor="text1"/>
          <w:sz w:val="24"/>
          <w:szCs w:val="24"/>
        </w:rPr>
        <w:t>和中国证监会</w:t>
      </w:r>
      <w:r>
        <w:rPr>
          <w:rFonts w:asciiTheme="minorEastAsia" w:hAnsiTheme="minorEastAsia" w:hint="eastAsia"/>
          <w:color w:val="000000" w:themeColor="text1"/>
          <w:sz w:val="24"/>
          <w:szCs w:val="24"/>
        </w:rPr>
        <w:t>基金</w:t>
      </w:r>
      <w:r>
        <w:rPr>
          <w:rFonts w:asciiTheme="minorEastAsia" w:hAnsiTheme="minorEastAsia"/>
          <w:color w:val="000000" w:themeColor="text1"/>
          <w:sz w:val="24"/>
          <w:szCs w:val="24"/>
        </w:rPr>
        <w:t>电子披露网站</w:t>
      </w:r>
      <w:r>
        <w:rPr>
          <w:rFonts w:asciiTheme="minorEastAsia" w:hAnsiTheme="minorEastAsia" w:hint="eastAsia"/>
          <w:color w:val="000000" w:themeColor="text1"/>
          <w:sz w:val="24"/>
          <w:szCs w:val="24"/>
        </w:rPr>
        <w:t>（</w:t>
      </w:r>
      <w:r>
        <w:rPr>
          <w:rFonts w:asciiTheme="minorEastAsia" w:hAnsiTheme="minorEastAsia" w:hint="eastAsia"/>
          <w:sz w:val="24"/>
          <w:szCs w:val="24"/>
        </w:rPr>
        <w:t>http://eid.csrc.gov.cn/fund</w:t>
      </w:r>
      <w:r>
        <w:rPr>
          <w:rFonts w:asciiTheme="minorEastAsia" w:hAnsiTheme="minorEastAsia" w:hint="eastAsia"/>
          <w:color w:val="000000" w:themeColor="text1"/>
          <w:sz w:val="24"/>
          <w:szCs w:val="24"/>
        </w:rPr>
        <w:t>）</w:t>
      </w:r>
      <w:r>
        <w:rPr>
          <w:rFonts w:asciiTheme="minorEastAsia" w:hAnsiTheme="minorEastAsia"/>
          <w:color w:val="000000" w:themeColor="text1"/>
          <w:sz w:val="24"/>
          <w:szCs w:val="24"/>
        </w:rPr>
        <w:t>披露，供投资者查阅。</w:t>
      </w:r>
      <w:r>
        <w:rPr>
          <w:rFonts w:asciiTheme="minorEastAsia" w:hAnsiTheme="minorEastAsia" w:hint="eastAsia"/>
          <w:color w:val="000000" w:themeColor="text1"/>
          <w:sz w:val="24"/>
          <w:szCs w:val="24"/>
        </w:rPr>
        <w:t>如有疑问可拨打本公司客服电话（</w:t>
      </w:r>
      <w:r>
        <w:rPr>
          <w:rFonts w:asciiTheme="minorEastAsia" w:hAnsiTheme="minorEastAsia" w:hint="eastAsia"/>
          <w:color w:val="000000" w:themeColor="text1"/>
          <w:sz w:val="24"/>
          <w:szCs w:val="24"/>
        </w:rPr>
        <w:t>4008880688</w:t>
      </w:r>
      <w:r>
        <w:rPr>
          <w:rFonts w:asciiTheme="minorEastAsia" w:hAnsiTheme="minorEastAsia" w:hint="eastAsia"/>
          <w:color w:val="000000" w:themeColor="text1"/>
          <w:sz w:val="24"/>
          <w:szCs w:val="24"/>
        </w:rPr>
        <w:t>（全国统一，均免长途话费）或</w:t>
      </w:r>
      <w:r>
        <w:rPr>
          <w:rFonts w:asciiTheme="minorEastAsia" w:hAnsiTheme="minorEastAsia" w:hint="eastAsia"/>
          <w:color w:val="000000" w:themeColor="text1"/>
          <w:sz w:val="24"/>
          <w:szCs w:val="24"/>
        </w:rPr>
        <w:t>95105686</w:t>
      </w:r>
      <w:r>
        <w:rPr>
          <w:rFonts w:asciiTheme="minorEastAsia" w:hAnsiTheme="minorEastAsia" w:hint="eastAsia"/>
          <w:color w:val="000000" w:themeColor="text1"/>
          <w:sz w:val="24"/>
          <w:szCs w:val="24"/>
        </w:rPr>
        <w:t>）咨询。</w:t>
      </w:r>
    </w:p>
    <w:p w:rsidR="00E74B15" w:rsidRDefault="00E74B15">
      <w:pPr>
        <w:spacing w:line="540" w:lineRule="exact"/>
        <w:ind w:firstLineChars="250" w:firstLine="600"/>
        <w:rPr>
          <w:rFonts w:asciiTheme="minorEastAsia" w:hAnsiTheme="minorEastAsia"/>
          <w:color w:val="000000" w:themeColor="text1"/>
          <w:sz w:val="24"/>
          <w:szCs w:val="24"/>
        </w:rPr>
      </w:pPr>
    </w:p>
    <w:tbl>
      <w:tblPr>
        <w:tblStyle w:val="a9"/>
        <w:tblW w:w="0" w:type="auto"/>
        <w:jc w:val="center"/>
        <w:tblLook w:val="04A0"/>
      </w:tblPr>
      <w:tblGrid>
        <w:gridCol w:w="766"/>
        <w:gridCol w:w="1249"/>
        <w:gridCol w:w="6281"/>
      </w:tblGrid>
      <w:tr w:rsidR="00E74B15">
        <w:trPr>
          <w:trHeight w:val="340"/>
          <w:jc w:val="center"/>
        </w:trPr>
        <w:tc>
          <w:tcPr>
            <w:tcW w:w="766" w:type="dxa"/>
            <w:vAlign w:val="center"/>
          </w:tcPr>
          <w:p w:rsidR="00E74B15" w:rsidRDefault="00853BAA">
            <w:pPr>
              <w:adjustRightInd w:val="0"/>
              <w:snapToGrid w:val="0"/>
              <w:jc w:val="center"/>
              <w:rPr>
                <w:rFonts w:asciiTheme="minorEastAsia" w:hAnsiTheme="minorEastAsia"/>
                <w:b/>
                <w:bCs/>
                <w:color w:val="000000" w:themeColor="text1"/>
                <w:sz w:val="24"/>
                <w:szCs w:val="24"/>
              </w:rPr>
            </w:pPr>
            <w:r>
              <w:rPr>
                <w:rFonts w:asciiTheme="minorEastAsia" w:hAnsiTheme="minorEastAsia" w:hint="eastAsia"/>
                <w:b/>
                <w:bCs/>
                <w:color w:val="000000" w:themeColor="text1"/>
                <w:sz w:val="24"/>
                <w:szCs w:val="24"/>
              </w:rPr>
              <w:t>序号</w:t>
            </w:r>
          </w:p>
        </w:tc>
        <w:tc>
          <w:tcPr>
            <w:tcW w:w="1249" w:type="dxa"/>
            <w:vAlign w:val="center"/>
          </w:tcPr>
          <w:p w:rsidR="00E74B15" w:rsidRDefault="00853BAA">
            <w:pPr>
              <w:adjustRightInd w:val="0"/>
              <w:snapToGrid w:val="0"/>
              <w:jc w:val="center"/>
              <w:rPr>
                <w:rFonts w:asciiTheme="minorEastAsia" w:hAnsiTheme="minorEastAsia"/>
                <w:b/>
                <w:bCs/>
                <w:color w:val="000000" w:themeColor="text1"/>
                <w:sz w:val="24"/>
                <w:szCs w:val="24"/>
              </w:rPr>
            </w:pPr>
            <w:r>
              <w:rPr>
                <w:rFonts w:asciiTheme="minorEastAsia" w:hAnsiTheme="minorEastAsia" w:hint="eastAsia"/>
                <w:b/>
                <w:bCs/>
                <w:color w:val="000000" w:themeColor="text1"/>
                <w:sz w:val="24"/>
                <w:szCs w:val="24"/>
              </w:rPr>
              <w:t>基金代码</w:t>
            </w:r>
          </w:p>
        </w:tc>
        <w:tc>
          <w:tcPr>
            <w:tcW w:w="6281" w:type="dxa"/>
            <w:vAlign w:val="center"/>
          </w:tcPr>
          <w:p w:rsidR="00E74B15" w:rsidRDefault="00853BAA">
            <w:pPr>
              <w:adjustRightInd w:val="0"/>
              <w:snapToGrid w:val="0"/>
              <w:jc w:val="center"/>
              <w:rPr>
                <w:rFonts w:asciiTheme="minorEastAsia" w:hAnsiTheme="minorEastAsia"/>
                <w:b/>
                <w:bCs/>
                <w:color w:val="000000" w:themeColor="text1"/>
                <w:sz w:val="24"/>
                <w:szCs w:val="24"/>
              </w:rPr>
            </w:pPr>
            <w:r>
              <w:rPr>
                <w:rFonts w:asciiTheme="minorEastAsia" w:hAnsiTheme="minorEastAsia" w:hint="eastAsia"/>
                <w:b/>
                <w:bCs/>
                <w:color w:val="000000" w:themeColor="text1"/>
                <w:sz w:val="24"/>
                <w:szCs w:val="24"/>
              </w:rPr>
              <w:t>基金名称</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100016</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富国天源沪港深平衡混合型证券投资基金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100018</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富国天利增长债券投资基金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100020</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富国天益价值混合型证券投资基金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100022</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富国天瑞强势地区精选混合型证券投资基金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161005</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富国天惠精选成长混合型证券投资基金（</w:t>
            </w:r>
            <w:r>
              <w:rPr>
                <w:rFonts w:ascii="宋体" w:eastAsia="宋体" w:hAnsi="宋体" w:cs="Arial" w:hint="eastAsia"/>
                <w:color w:val="000000"/>
                <w:kern w:val="0"/>
                <w:sz w:val="22"/>
                <w:szCs w:val="18"/>
              </w:rPr>
              <w:t>LOF</w:t>
            </w:r>
            <w:r>
              <w:rPr>
                <w:rFonts w:ascii="宋体" w:eastAsia="宋体" w:hAnsi="宋体" w:cs="Arial" w:hint="eastAsia"/>
                <w:color w:val="000000"/>
                <w:kern w:val="0"/>
                <w:sz w:val="22"/>
                <w:szCs w:val="18"/>
              </w:rPr>
              <w:t>）</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100025</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富国天时货币市场基金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100026</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富国天合稳健优选混合型证券投资基金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519035</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富国天博创新主题混合型证券投资基金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100029</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富国天成红利灵活配置混合型证券投资基金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161010</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富国天丰强化收益债券型证券投资基金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100032</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富国中证红利指数增强型证券投资基金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100035</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富国优化增强债券型证券投资基金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100038</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富国沪深</w:t>
            </w:r>
            <w:r>
              <w:rPr>
                <w:rFonts w:ascii="宋体" w:eastAsia="宋体" w:hAnsi="宋体" w:cs="Arial" w:hint="eastAsia"/>
                <w:color w:val="000000"/>
                <w:kern w:val="0"/>
                <w:sz w:val="22"/>
                <w:szCs w:val="18"/>
              </w:rPr>
              <w:t>300</w:t>
            </w:r>
            <w:r>
              <w:rPr>
                <w:rFonts w:ascii="宋体" w:eastAsia="宋体" w:hAnsi="宋体" w:cs="Arial" w:hint="eastAsia"/>
                <w:color w:val="000000"/>
                <w:kern w:val="0"/>
                <w:sz w:val="22"/>
                <w:szCs w:val="18"/>
              </w:rPr>
              <w:t>增强证券投资基金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100039</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富国通胀通缩主题轮动混合型证券投资基金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100050</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富国全球债券证券投资基金（</w:t>
            </w:r>
            <w:r>
              <w:rPr>
                <w:rFonts w:ascii="宋体" w:eastAsia="宋体" w:hAnsi="宋体" w:cs="Arial" w:hint="eastAsia"/>
                <w:color w:val="000000"/>
                <w:kern w:val="0"/>
                <w:sz w:val="22"/>
                <w:szCs w:val="18"/>
              </w:rPr>
              <w:t>QDII</w:t>
            </w:r>
            <w:r>
              <w:rPr>
                <w:rFonts w:ascii="宋体" w:eastAsia="宋体" w:hAnsi="宋体" w:cs="Arial" w:hint="eastAsia"/>
                <w:color w:val="000000"/>
                <w:kern w:val="0"/>
                <w:sz w:val="22"/>
                <w:szCs w:val="18"/>
              </w:rPr>
              <w:t>）</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100051</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富国可转换债券证券投资基金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510210</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上证综指交易型开放式指数证券投资基金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100053</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富国上证综指交易型开放式指数证券投资基金联接基金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161015</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富国天盈债券型证券投资基金（</w:t>
            </w:r>
            <w:r>
              <w:rPr>
                <w:rFonts w:ascii="宋体" w:eastAsia="宋体" w:hAnsi="宋体" w:cs="Arial" w:hint="eastAsia"/>
                <w:color w:val="000000"/>
                <w:kern w:val="0"/>
                <w:sz w:val="22"/>
                <w:szCs w:val="18"/>
              </w:rPr>
              <w:t>LOF</w:t>
            </w:r>
            <w:r>
              <w:rPr>
                <w:rFonts w:ascii="宋体" w:eastAsia="宋体" w:hAnsi="宋体" w:cs="Arial" w:hint="eastAsia"/>
                <w:color w:val="000000"/>
                <w:kern w:val="0"/>
                <w:sz w:val="22"/>
                <w:szCs w:val="18"/>
              </w:rPr>
              <w:t>）</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100055</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富国全球科技互联网股票型证券投资基金（</w:t>
            </w:r>
            <w:r>
              <w:rPr>
                <w:rFonts w:ascii="宋体" w:eastAsia="宋体" w:hAnsi="宋体" w:cs="Arial" w:hint="eastAsia"/>
                <w:color w:val="000000"/>
                <w:kern w:val="0"/>
                <w:sz w:val="22"/>
                <w:szCs w:val="18"/>
              </w:rPr>
              <w:t>QDII</w:t>
            </w:r>
            <w:r>
              <w:rPr>
                <w:rFonts w:ascii="宋体" w:eastAsia="宋体" w:hAnsi="宋体" w:cs="Arial" w:hint="eastAsia"/>
                <w:color w:val="000000"/>
                <w:kern w:val="0"/>
                <w:sz w:val="22"/>
                <w:szCs w:val="18"/>
              </w:rPr>
              <w:t>）</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100056</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富国低碳环保混合型证券投资基金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161017</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w:t>
            </w:r>
            <w:r>
              <w:rPr>
                <w:rFonts w:ascii="宋体" w:eastAsia="宋体" w:hAnsi="宋体" w:cs="Arial" w:hint="eastAsia"/>
                <w:color w:val="000000"/>
                <w:kern w:val="0"/>
                <w:sz w:val="22"/>
                <w:szCs w:val="18"/>
              </w:rPr>
              <w:t>500</w:t>
            </w:r>
            <w:r>
              <w:rPr>
                <w:rFonts w:ascii="宋体" w:eastAsia="宋体" w:hAnsi="宋体" w:cs="Arial" w:hint="eastAsia"/>
                <w:color w:val="000000"/>
                <w:kern w:val="0"/>
                <w:sz w:val="22"/>
                <w:szCs w:val="18"/>
              </w:rPr>
              <w:t>指数增强型证券投资基金</w:t>
            </w:r>
            <w:r>
              <w:rPr>
                <w:rFonts w:ascii="宋体" w:eastAsia="宋体" w:hAnsi="宋体" w:cs="Arial" w:hint="eastAsia"/>
                <w:color w:val="000000"/>
                <w:kern w:val="0"/>
                <w:sz w:val="22"/>
                <w:szCs w:val="18"/>
              </w:rPr>
              <w:t>(LOF)</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100058</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富国产业债债券型证券投资基金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161019</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富国新天锋债券型证券投资基金（</w:t>
            </w:r>
            <w:r>
              <w:rPr>
                <w:rFonts w:ascii="宋体" w:eastAsia="宋体" w:hAnsi="宋体" w:cs="Arial" w:hint="eastAsia"/>
                <w:color w:val="000000"/>
                <w:kern w:val="0"/>
                <w:sz w:val="22"/>
                <w:szCs w:val="18"/>
              </w:rPr>
              <w:t>LOF</w:t>
            </w:r>
            <w:r>
              <w:rPr>
                <w:rFonts w:ascii="宋体" w:eastAsia="宋体" w:hAnsi="宋体" w:cs="Arial" w:hint="eastAsia"/>
                <w:color w:val="000000"/>
                <w:kern w:val="0"/>
                <w:sz w:val="22"/>
                <w:szCs w:val="18"/>
              </w:rPr>
              <w:t>）</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100060</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富国高新技术产业混合型证券投资基金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100061</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富国中国中小盘（香港上市）混合型证券投资基金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100066</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富国纯债债券型发起式证券投资基金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100072</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富国强回报定期开放债券型证券投资基金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000029</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富国宏观策略灵活配置混合型证券投资基金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000107</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富国稳健增强债券型证券投资基金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000191</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富国信用债债券型证券投资基金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000197</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富国目标收益一年期纯债债券型证券投资基金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000220</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富国医疗保健行业混合型证券投资基金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161022</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富国创业板指数型证券投资基金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161014</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富国汇利回报两年定期开放债券型证券投资基金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000139</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富国国有企业债债券型证券投资基金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000471</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富国城镇发展股票型证券投资基金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161024</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富国中证军工指数型证券投资基金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000634</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富国天盛灵活配置混合型证券投资基金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000638</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富国富钱包货币市场基金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000602</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富国安益货币市场基金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000513</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富国高端制造行业股票型证券投资基金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000469</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富国目标齐利一年期纯债债券型证券投资基金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161025</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富国中证移动互联网指数型证券投资基金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000810</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富国收益增强债券型证券投资基金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000841</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富国新回报灵活配置混合型证券投资基金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519915</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富国消费主题混合型证券投资基金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000880</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富国研究精选灵活配置混合型证券投资基金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161026</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富国中证国有企业改革指数型证券投资基金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000940</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富国中小盘精选混合型证券投资基金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001048</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富国新兴产业股票型证券投资基金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161027</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富国中证全指证券公司指数型证券投资基金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161028</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富国中证新能源汽车指数型证券投资基金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161029</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富国中证银行指数型证券投资基金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001186</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富国文体健康股票型证券投资基金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001268</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富国国家安全主题混合型证券投资基金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001349</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富国改革动力混合型证券投资基金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001345</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富国新收益灵活配置混合型证券投资基金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161031</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富国中证工业</w:t>
            </w:r>
            <w:r>
              <w:rPr>
                <w:rFonts w:ascii="宋体" w:eastAsia="宋体" w:hAnsi="宋体" w:cs="Arial" w:hint="eastAsia"/>
                <w:color w:val="000000"/>
                <w:kern w:val="0"/>
                <w:sz w:val="22"/>
                <w:szCs w:val="18"/>
              </w:rPr>
              <w:t>4.0</w:t>
            </w:r>
            <w:r>
              <w:rPr>
                <w:rFonts w:ascii="宋体" w:eastAsia="宋体" w:hAnsi="宋体" w:cs="Arial" w:hint="eastAsia"/>
                <w:color w:val="000000"/>
                <w:kern w:val="0"/>
                <w:sz w:val="22"/>
                <w:szCs w:val="18"/>
              </w:rPr>
              <w:t>指数型证券投资基金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161032</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富国中证煤炭指数型证券投资基金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001371</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富国沪港深价值精选灵活配置混合型证券投资基金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161030</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富国中证体育产业指数型证券投资基金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001508</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富国新动力灵活配置混合型证券投资基金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001641</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富国绝对收益多策略定期开放混合型发起式证券投资基金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511900</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富国收益宝交易型货币市场基金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001985</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富国低碳新经济混合型证券投资基金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161033</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富国中证智能汽车指数证券投资基金（</w:t>
            </w:r>
            <w:r>
              <w:rPr>
                <w:rFonts w:ascii="宋体" w:eastAsia="宋体" w:hAnsi="宋体" w:cs="Arial" w:hint="eastAsia"/>
                <w:color w:val="000000"/>
                <w:kern w:val="0"/>
                <w:sz w:val="22"/>
                <w:szCs w:val="18"/>
              </w:rPr>
              <w:t>LOF</w:t>
            </w:r>
            <w:r>
              <w:rPr>
                <w:rFonts w:ascii="宋体" w:eastAsia="宋体" w:hAnsi="宋体" w:cs="Arial" w:hint="eastAsia"/>
                <w:color w:val="000000"/>
                <w:kern w:val="0"/>
                <w:sz w:val="22"/>
                <w:szCs w:val="18"/>
              </w:rPr>
              <w:t>）</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001827</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富国研究优选沪港深灵活配置混合型证券投资基金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002340</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富国价值优势混合型证券投资基金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002483</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富国泰利定期开放债券型发起式证券投资基金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002593</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富国美丽中国混合型证券投资基金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002692</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富国创新科技混合型证券投资基金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002908</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富国睿利定期开放混合型发起式证券投资基金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161035</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富国中证医药主题指数增强型证券投资基金（</w:t>
            </w:r>
            <w:r>
              <w:rPr>
                <w:rFonts w:ascii="宋体" w:eastAsia="宋体" w:hAnsi="宋体" w:cs="Arial" w:hint="eastAsia"/>
                <w:color w:val="000000"/>
                <w:kern w:val="0"/>
                <w:sz w:val="22"/>
                <w:szCs w:val="18"/>
              </w:rPr>
              <w:t>LOF</w:t>
            </w:r>
            <w:r>
              <w:rPr>
                <w:rFonts w:ascii="宋体" w:eastAsia="宋体" w:hAnsi="宋体" w:cs="Arial" w:hint="eastAsia"/>
                <w:color w:val="000000"/>
                <w:kern w:val="0"/>
                <w:sz w:val="22"/>
                <w:szCs w:val="18"/>
              </w:rPr>
              <w:t>）</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002898</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富国两年期理财债券型证券投资基金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003877</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富国久利稳健配置混合型证券投资基金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161036</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富国中证娱乐主题指数增强型证券投资基金（</w:t>
            </w:r>
            <w:r>
              <w:rPr>
                <w:rFonts w:ascii="宋体" w:eastAsia="宋体" w:hAnsi="宋体" w:cs="Arial" w:hint="eastAsia"/>
                <w:color w:val="000000"/>
                <w:kern w:val="0"/>
                <w:sz w:val="22"/>
                <w:szCs w:val="18"/>
              </w:rPr>
              <w:t>LOF</w:t>
            </w:r>
            <w:r>
              <w:rPr>
                <w:rFonts w:ascii="宋体" w:eastAsia="宋体" w:hAnsi="宋体" w:cs="Arial" w:hint="eastAsia"/>
                <w:color w:val="000000"/>
                <w:kern w:val="0"/>
                <w:sz w:val="22"/>
                <w:szCs w:val="18"/>
              </w:rPr>
              <w:t>）</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161037</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富国中证高端制造指数增强型证券投资基金（</w:t>
            </w:r>
            <w:r>
              <w:rPr>
                <w:rFonts w:ascii="宋体" w:eastAsia="宋体" w:hAnsi="宋体" w:cs="Arial" w:hint="eastAsia"/>
                <w:color w:val="000000"/>
                <w:kern w:val="0"/>
                <w:sz w:val="22"/>
                <w:szCs w:val="18"/>
              </w:rPr>
              <w:t>LOF</w:t>
            </w:r>
            <w:r>
              <w:rPr>
                <w:rFonts w:ascii="宋体" w:eastAsia="宋体" w:hAnsi="宋体" w:cs="Arial" w:hint="eastAsia"/>
                <w:color w:val="000000"/>
                <w:kern w:val="0"/>
                <w:sz w:val="22"/>
                <w:szCs w:val="18"/>
              </w:rPr>
              <w:t>）</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004604</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富国新活力灵活配置混合型发起式证券投资基金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004183</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富国产业升级混合型证券投资基金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004736</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富国鼎利纯债三个月定期开放债券型发起式证券投资基金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161038</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富国新兴成长量化精选混合型证券投资基金（</w:t>
            </w:r>
            <w:r>
              <w:rPr>
                <w:rFonts w:ascii="宋体" w:eastAsia="宋体" w:hAnsi="宋体" w:cs="Arial" w:hint="eastAsia"/>
                <w:color w:val="000000"/>
                <w:kern w:val="0"/>
                <w:sz w:val="22"/>
                <w:szCs w:val="18"/>
              </w:rPr>
              <w:t>LOF</w:t>
            </w:r>
            <w:r>
              <w:rPr>
                <w:rFonts w:ascii="宋体" w:eastAsia="宋体" w:hAnsi="宋体" w:cs="Arial" w:hint="eastAsia"/>
                <w:color w:val="000000"/>
                <w:kern w:val="0"/>
                <w:sz w:val="22"/>
                <w:szCs w:val="18"/>
              </w:rPr>
              <w:t>）</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004920</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富国泓利纯债债券型发起式证券投资基金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004737</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富国新优享灵活配置混合型证券投资基金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004978</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富国聚利纯债三个月定期开放债券型发起式证券投资基金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000516</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富国祥利一年期定期开放债券型证券投资基金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004902</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富国丰利增强债券型发起式证券投资基金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005121</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富国兴利增强债券型发起式证券投资基金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005171</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富国景利纯债债券型发起式证券投资基金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004674</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富国新机遇灵活配置混合型发起式证券投资基金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005176</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富国精准医疗灵活配置混合型证券投资基金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005075</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富国研究量化精选混合型证券投资基金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005354</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富国沪港深行业精选灵活配置混合型发起式证券投资基金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005383</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富国绿色纯债一年定期开放债券型证券投资基金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005549</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富国成长优选三年定期开放灵活配置混合型证券投资基金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005357</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富国国企改革灵活配置混合型证券投资基金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005078</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富国宝利增强债券型发起式证券投资基金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005517</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富国新趋势灵活配置混合型证券投资基金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005472</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富国价值驱动灵活配置混合型证券投资基金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005609</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富国军工主题混合型证券投资基金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005369</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富国臻利纯债定期开放债券型发起式证券投资基金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005739</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富国转型机遇混合型证券投资基金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005841</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富国尊利纯债定期开放债券型发起式证券投资基金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005707</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富国港股通量化精选股票型证券投资基金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161039</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w:t>
            </w:r>
            <w:r>
              <w:rPr>
                <w:rFonts w:ascii="宋体" w:eastAsia="宋体" w:hAnsi="宋体" w:cs="Arial" w:hint="eastAsia"/>
                <w:color w:val="000000"/>
                <w:kern w:val="0"/>
                <w:sz w:val="22"/>
                <w:szCs w:val="18"/>
              </w:rPr>
              <w:t>1000</w:t>
            </w:r>
            <w:r>
              <w:rPr>
                <w:rFonts w:ascii="宋体" w:eastAsia="宋体" w:hAnsi="宋体" w:cs="Arial" w:hint="eastAsia"/>
                <w:color w:val="000000"/>
                <w:kern w:val="0"/>
                <w:sz w:val="22"/>
                <w:szCs w:val="18"/>
              </w:rPr>
              <w:t>指数增强型证券投资基金（</w:t>
            </w:r>
            <w:r>
              <w:rPr>
                <w:rFonts w:ascii="宋体" w:eastAsia="宋体" w:hAnsi="宋体" w:cs="Arial" w:hint="eastAsia"/>
                <w:color w:val="000000"/>
                <w:kern w:val="0"/>
                <w:sz w:val="22"/>
                <w:szCs w:val="18"/>
              </w:rPr>
              <w:t>LOF</w:t>
            </w:r>
            <w:r>
              <w:rPr>
                <w:rFonts w:ascii="宋体" w:eastAsia="宋体" w:hAnsi="宋体" w:cs="Arial" w:hint="eastAsia"/>
                <w:color w:val="000000"/>
                <w:kern w:val="0"/>
                <w:sz w:val="22"/>
                <w:szCs w:val="18"/>
              </w:rPr>
              <w:t>）</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005760</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富国周期优势混合型证券投资基金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006022</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富国大盘价值量化精选混合型证券投资基金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005847</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富国沪港深业绩驱动混合型证券投资基金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005732</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富国臻选成长灵活配置混合型证券投资基金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005920</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富国颐利纯债债券型证券投资基金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006134</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富国金融债债券型证券投资基金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006409</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富国中债</w:t>
            </w:r>
            <w:r>
              <w:rPr>
                <w:rFonts w:ascii="宋体" w:eastAsia="宋体" w:hAnsi="宋体" w:cs="Arial" w:hint="eastAsia"/>
                <w:color w:val="000000"/>
                <w:kern w:val="0"/>
                <w:sz w:val="22"/>
                <w:szCs w:val="18"/>
              </w:rPr>
              <w:t>-1-3</w:t>
            </w:r>
            <w:r>
              <w:rPr>
                <w:rFonts w:ascii="宋体" w:eastAsia="宋体" w:hAnsi="宋体" w:cs="Arial" w:hint="eastAsia"/>
                <w:color w:val="000000"/>
                <w:kern w:val="0"/>
                <w:sz w:val="22"/>
                <w:szCs w:val="18"/>
              </w:rPr>
              <w:t>年国开行债券指数证券投资基金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512040</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富国中证价值交易型开放式指数证券投资基金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005840</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富国产业驱动混合型证券投资基金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006297</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富国鑫旺稳健养老目标一年持有期混合型基金中基金（</w:t>
            </w:r>
            <w:r>
              <w:rPr>
                <w:rFonts w:ascii="宋体" w:eastAsia="宋体" w:hAnsi="宋体" w:cs="Arial" w:hint="eastAsia"/>
                <w:color w:val="000000"/>
                <w:kern w:val="0"/>
                <w:sz w:val="22"/>
                <w:szCs w:val="18"/>
              </w:rPr>
              <w:t>FOF</w:t>
            </w:r>
            <w:r>
              <w:rPr>
                <w:rFonts w:ascii="宋体" w:eastAsia="宋体" w:hAnsi="宋体" w:cs="Arial" w:hint="eastAsia"/>
                <w:color w:val="000000"/>
                <w:kern w:val="0"/>
                <w:sz w:val="22"/>
                <w:szCs w:val="18"/>
              </w:rPr>
              <w:t>）</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006034</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w:t>
            </w:r>
            <w:r>
              <w:rPr>
                <w:rFonts w:ascii="宋体" w:eastAsia="宋体" w:hAnsi="宋体" w:cs="Arial" w:hint="eastAsia"/>
                <w:color w:val="000000"/>
                <w:kern w:val="0"/>
                <w:sz w:val="22"/>
                <w:szCs w:val="18"/>
              </w:rPr>
              <w:t>MSCI</w:t>
            </w:r>
            <w:r>
              <w:rPr>
                <w:rFonts w:ascii="宋体" w:eastAsia="宋体" w:hAnsi="宋体" w:cs="Arial" w:hint="eastAsia"/>
                <w:color w:val="000000"/>
                <w:kern w:val="0"/>
                <w:sz w:val="22"/>
                <w:szCs w:val="18"/>
              </w:rPr>
              <w:t>中国</w:t>
            </w:r>
            <w:r>
              <w:rPr>
                <w:rFonts w:ascii="宋体" w:eastAsia="宋体" w:hAnsi="宋体" w:cs="Arial" w:hint="eastAsia"/>
                <w:color w:val="000000"/>
                <w:kern w:val="0"/>
                <w:sz w:val="22"/>
                <w:szCs w:val="18"/>
              </w:rPr>
              <w:t>A</w:t>
            </w:r>
            <w:r>
              <w:rPr>
                <w:rFonts w:ascii="宋体" w:eastAsia="宋体" w:hAnsi="宋体" w:cs="Arial" w:hint="eastAsia"/>
                <w:color w:val="000000"/>
                <w:kern w:val="0"/>
                <w:sz w:val="22"/>
                <w:szCs w:val="18"/>
              </w:rPr>
              <w:t>股国际通指数增强型证券投资基金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006748</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富国中证价值交易型开放式指数证券投资基金联接基金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006652</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富国金融地产行业混合型证券投资基金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006804</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富国短债债券型证券投资基金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006527</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富国优质发展混合型证券投资基金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006796</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富国消费升级混合型证券投资基金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006750</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富国德利纯债三个月定期开放债券型发起式证券投资基金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006218</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富国生物医药科技混合型证券投资基金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006179</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富国品质生活混合型证券投资基金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006751</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富国互联科技股票型证券投资基金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007197</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富国中债</w:t>
            </w:r>
            <w:r>
              <w:rPr>
                <w:rFonts w:ascii="宋体" w:eastAsia="宋体" w:hAnsi="宋体" w:cs="Arial" w:hint="eastAsia"/>
                <w:color w:val="000000"/>
                <w:kern w:val="0"/>
                <w:sz w:val="22"/>
                <w:szCs w:val="18"/>
              </w:rPr>
              <w:t>1-5</w:t>
            </w:r>
            <w:r>
              <w:rPr>
                <w:rFonts w:ascii="宋体" w:eastAsia="宋体" w:hAnsi="宋体" w:cs="Arial" w:hint="eastAsia"/>
                <w:color w:val="000000"/>
                <w:kern w:val="0"/>
                <w:sz w:val="22"/>
                <w:szCs w:val="18"/>
              </w:rPr>
              <w:t>年农发行债券指数证券投资基金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007345</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富国科技创新灵活配置混合型证券投资基金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007139</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富国民裕进取沪港深成长精选混合型证券投资基金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007016</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富国睿泽回报混合型证券投资基金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159971</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富国创业板交易型开放式指数证券投资基金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501077</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富国创新企业灵活配置混合型证券投资基金（</w:t>
            </w:r>
            <w:r>
              <w:rPr>
                <w:rFonts w:ascii="宋体" w:eastAsia="宋体" w:hAnsi="宋体" w:cs="Arial" w:hint="eastAsia"/>
                <w:color w:val="000000"/>
                <w:kern w:val="0"/>
                <w:sz w:val="22"/>
                <w:szCs w:val="18"/>
              </w:rPr>
              <w:t>LOF</w:t>
            </w:r>
            <w:r>
              <w:rPr>
                <w:rFonts w:ascii="宋体" w:eastAsia="宋体" w:hAnsi="宋体" w:cs="Arial" w:hint="eastAsia"/>
                <w:color w:val="000000"/>
                <w:kern w:val="0"/>
                <w:sz w:val="22"/>
                <w:szCs w:val="18"/>
              </w:rPr>
              <w:t>）</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512710</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富国中证军工龙头交易型开放式指数证券投资基金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007455</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富国蓝筹精选股票型证券投资基金（</w:t>
            </w:r>
            <w:r>
              <w:rPr>
                <w:rFonts w:ascii="宋体" w:eastAsia="宋体" w:hAnsi="宋体" w:cs="Arial" w:hint="eastAsia"/>
                <w:color w:val="000000"/>
                <w:kern w:val="0"/>
                <w:sz w:val="22"/>
                <w:szCs w:val="18"/>
              </w:rPr>
              <w:t>QDII</w:t>
            </w:r>
            <w:r>
              <w:rPr>
                <w:rFonts w:ascii="宋体" w:eastAsia="宋体" w:hAnsi="宋体" w:cs="Arial" w:hint="eastAsia"/>
                <w:color w:val="000000"/>
                <w:kern w:val="0"/>
                <w:sz w:val="22"/>
                <w:szCs w:val="18"/>
              </w:rPr>
              <w:t>）</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007898</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富国智诚精选</w:t>
            </w:r>
            <w:r>
              <w:rPr>
                <w:rFonts w:ascii="宋体" w:eastAsia="宋体" w:hAnsi="宋体" w:cs="Arial" w:hint="eastAsia"/>
                <w:color w:val="000000"/>
                <w:kern w:val="0"/>
                <w:sz w:val="22"/>
                <w:szCs w:val="18"/>
              </w:rPr>
              <w:t>3</w:t>
            </w:r>
            <w:r>
              <w:rPr>
                <w:rFonts w:ascii="宋体" w:eastAsia="宋体" w:hAnsi="宋体" w:cs="Arial" w:hint="eastAsia"/>
                <w:color w:val="000000"/>
                <w:kern w:val="0"/>
                <w:sz w:val="22"/>
                <w:szCs w:val="18"/>
              </w:rPr>
              <w:t>个月持有期混合型基金中基金（</w:t>
            </w:r>
            <w:r>
              <w:rPr>
                <w:rFonts w:ascii="宋体" w:eastAsia="宋体" w:hAnsi="宋体" w:cs="Arial" w:hint="eastAsia"/>
                <w:color w:val="000000"/>
                <w:kern w:val="0"/>
                <w:sz w:val="22"/>
                <w:szCs w:val="18"/>
              </w:rPr>
              <w:t>FOF</w:t>
            </w:r>
            <w:r>
              <w:rPr>
                <w:rFonts w:ascii="宋体" w:eastAsia="宋体" w:hAnsi="宋体" w:cs="Arial" w:hint="eastAsia"/>
                <w:color w:val="000000"/>
                <w:kern w:val="0"/>
                <w:sz w:val="22"/>
                <w:szCs w:val="18"/>
              </w:rPr>
              <w:t>）</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159974</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富国中证央企创新驱动交易型开放式指数证券投资基金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007616</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富国投资级信用债债券型证券投资基金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515650</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富国中证消费</w:t>
            </w:r>
            <w:r>
              <w:rPr>
                <w:rFonts w:ascii="宋体" w:eastAsia="宋体" w:hAnsi="宋体" w:cs="Arial" w:hint="eastAsia"/>
                <w:color w:val="000000"/>
                <w:kern w:val="0"/>
                <w:sz w:val="22"/>
                <w:szCs w:val="18"/>
              </w:rPr>
              <w:t>50</w:t>
            </w:r>
            <w:r>
              <w:rPr>
                <w:rFonts w:ascii="宋体" w:eastAsia="宋体" w:hAnsi="宋体" w:cs="Arial" w:hint="eastAsia"/>
                <w:color w:val="000000"/>
                <w:kern w:val="0"/>
                <w:sz w:val="22"/>
                <w:szCs w:val="18"/>
              </w:rPr>
              <w:t>交易型开放式指数证券投资基金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515150</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富国中证国企一带一路交易型开放式指数证券投资基金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515750</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富国中证科技</w:t>
            </w:r>
            <w:r>
              <w:rPr>
                <w:rFonts w:ascii="宋体" w:eastAsia="宋体" w:hAnsi="宋体" w:cs="Arial" w:hint="eastAsia"/>
                <w:color w:val="000000"/>
                <w:kern w:val="0"/>
                <w:sz w:val="22"/>
                <w:szCs w:val="18"/>
              </w:rPr>
              <w:t>50</w:t>
            </w:r>
            <w:r>
              <w:rPr>
                <w:rFonts w:ascii="宋体" w:eastAsia="宋体" w:hAnsi="宋体" w:cs="Arial" w:hint="eastAsia"/>
                <w:color w:val="000000"/>
                <w:kern w:val="0"/>
                <w:sz w:val="22"/>
                <w:szCs w:val="18"/>
              </w:rPr>
              <w:t>策略交易型开放式指数证券投资基金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007990</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富国汇远纯债三年定期开放债券型证券投资基金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007809</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富国中证央企创新驱动交易型开放式指数证券投资基金联接基金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008372</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富国阿尔法两年持有期混合型证券投资基金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007786</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富国中证国企一带一路交易型开放式指数证券投资基金联接基金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008521</w:t>
            </w:r>
          </w:p>
        </w:tc>
        <w:tc>
          <w:tcPr>
            <w:tcW w:w="6281" w:type="dxa"/>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富国汇优纯债</w:t>
            </w:r>
            <w:r>
              <w:rPr>
                <w:rFonts w:ascii="宋体" w:eastAsia="宋体" w:hAnsi="宋体" w:cs="Arial" w:hint="eastAsia"/>
                <w:color w:val="000000"/>
                <w:kern w:val="0"/>
                <w:sz w:val="22"/>
                <w:szCs w:val="18"/>
              </w:rPr>
              <w:t>63</w:t>
            </w:r>
            <w:r>
              <w:rPr>
                <w:rFonts w:ascii="宋体" w:eastAsia="宋体" w:hAnsi="宋体" w:cs="Arial" w:hint="eastAsia"/>
                <w:color w:val="000000"/>
                <w:kern w:val="0"/>
                <w:sz w:val="22"/>
                <w:szCs w:val="18"/>
              </w:rPr>
              <w:t>个月定期开放债券型证券投资基金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bottom w:val="single" w:sz="4" w:space="0" w:color="auto"/>
            </w:tcBorders>
          </w:tcPr>
          <w:p w:rsidR="00E74B15" w:rsidRDefault="00853BAA">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008138</w:t>
            </w:r>
          </w:p>
        </w:tc>
        <w:tc>
          <w:tcPr>
            <w:tcW w:w="6281" w:type="dxa"/>
            <w:tcBorders>
              <w:bottom w:val="single" w:sz="4" w:space="0" w:color="auto"/>
            </w:tcBorders>
          </w:tcPr>
          <w:p w:rsidR="00E74B15" w:rsidRDefault="00853BAA">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富国龙头优势混合型证券投资基金</w:t>
            </w:r>
          </w:p>
        </w:tc>
      </w:tr>
      <w:tr w:rsidR="00E74B15">
        <w:trPr>
          <w:trHeight w:val="340"/>
          <w:jc w:val="center"/>
        </w:trPr>
        <w:tc>
          <w:tcPr>
            <w:tcW w:w="766" w:type="dxa"/>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Pr>
          <w:p w:rsidR="00E74B15" w:rsidRDefault="00853BAA">
            <w:pPr>
              <w:widowControl/>
              <w:jc w:val="center"/>
              <w:rPr>
                <w:rFonts w:ascii="宋体" w:eastAsia="宋体" w:hAnsi="宋体" w:cs="Arial"/>
                <w:color w:val="000000"/>
                <w:kern w:val="0"/>
                <w:sz w:val="22"/>
              </w:rPr>
            </w:pPr>
            <w:r>
              <w:rPr>
                <w:rFonts w:ascii="宋体" w:eastAsia="宋体" w:hAnsi="宋体" w:cs="Arial"/>
                <w:color w:val="000000"/>
                <w:kern w:val="0"/>
                <w:sz w:val="22"/>
              </w:rPr>
              <w:t>515850</w:t>
            </w:r>
          </w:p>
        </w:tc>
        <w:tc>
          <w:tcPr>
            <w:tcW w:w="6281" w:type="dxa"/>
          </w:tcPr>
          <w:p w:rsidR="00E74B15" w:rsidRDefault="00853BAA">
            <w:pPr>
              <w:widowControl/>
              <w:jc w:val="left"/>
              <w:rPr>
                <w:rFonts w:ascii="宋体" w:eastAsia="宋体" w:hAnsi="宋体" w:cs="Arial"/>
                <w:color w:val="000000"/>
                <w:kern w:val="0"/>
                <w:sz w:val="22"/>
              </w:rPr>
            </w:pPr>
            <w:r>
              <w:rPr>
                <w:rFonts w:ascii="宋体" w:eastAsia="宋体" w:hAnsi="宋体" w:cs="Arial" w:hint="eastAsia"/>
                <w:color w:val="000000"/>
                <w:kern w:val="0"/>
                <w:sz w:val="22"/>
              </w:rPr>
              <w:t>富国中证全指证券公司交易型开放式指数证券投资基金</w:t>
            </w:r>
          </w:p>
        </w:tc>
      </w:tr>
      <w:tr w:rsidR="00E74B15">
        <w:trPr>
          <w:trHeight w:val="340"/>
          <w:jc w:val="center"/>
        </w:trPr>
        <w:tc>
          <w:tcPr>
            <w:tcW w:w="766" w:type="dxa"/>
            <w:tcBorders>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vAlign w:val="bottom"/>
          </w:tcPr>
          <w:p w:rsidR="00E74B15" w:rsidRDefault="00853BAA">
            <w:pPr>
              <w:widowControl/>
              <w:jc w:val="center"/>
              <w:rPr>
                <w:rFonts w:ascii="宋体" w:eastAsia="宋体" w:hAnsi="宋体" w:cs="Arial"/>
                <w:color w:val="000000"/>
                <w:kern w:val="0"/>
                <w:sz w:val="22"/>
              </w:rPr>
            </w:pPr>
            <w:r>
              <w:rPr>
                <w:rFonts w:ascii="宋体" w:hAnsi="宋体"/>
                <w:sz w:val="22"/>
              </w:rPr>
              <w:t>008749</w:t>
            </w:r>
          </w:p>
        </w:tc>
        <w:tc>
          <w:tcPr>
            <w:tcW w:w="6281" w:type="dxa"/>
            <w:tcBorders>
              <w:top w:val="single" w:sz="4" w:space="0" w:color="auto"/>
              <w:left w:val="single" w:sz="4" w:space="0" w:color="auto"/>
              <w:bottom w:val="single" w:sz="4" w:space="0" w:color="auto"/>
              <w:right w:val="single" w:sz="4" w:space="0" w:color="auto"/>
            </w:tcBorders>
            <w:vAlign w:val="bottom"/>
          </w:tcPr>
          <w:p w:rsidR="00E74B15" w:rsidRDefault="00853BAA">
            <w:pPr>
              <w:widowControl/>
              <w:jc w:val="left"/>
              <w:rPr>
                <w:rFonts w:ascii="宋体" w:eastAsia="宋体" w:hAnsi="宋体" w:cs="Arial"/>
                <w:color w:val="000000"/>
                <w:kern w:val="0"/>
                <w:sz w:val="22"/>
              </w:rPr>
            </w:pPr>
            <w:r>
              <w:rPr>
                <w:rFonts w:ascii="宋体" w:hAnsi="宋体" w:hint="eastAsia"/>
                <w:sz w:val="22"/>
              </w:rPr>
              <w:t>富国中证科技</w:t>
            </w:r>
            <w:r>
              <w:rPr>
                <w:rFonts w:ascii="宋体" w:hAnsi="宋体"/>
                <w:sz w:val="22"/>
              </w:rPr>
              <w:t>50</w:t>
            </w:r>
            <w:r>
              <w:rPr>
                <w:rFonts w:ascii="宋体" w:hAnsi="宋体"/>
                <w:sz w:val="22"/>
              </w:rPr>
              <w:t>策略交易型开放式指数证券投资基金联接基金</w:t>
            </w:r>
          </w:p>
        </w:tc>
      </w:tr>
      <w:tr w:rsidR="00E74B15">
        <w:trPr>
          <w:trHeight w:val="340"/>
          <w:jc w:val="center"/>
        </w:trPr>
        <w:tc>
          <w:tcPr>
            <w:tcW w:w="766" w:type="dxa"/>
            <w:tcBorders>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vAlign w:val="bottom"/>
          </w:tcPr>
          <w:p w:rsidR="00E74B15" w:rsidRDefault="00853BAA">
            <w:pPr>
              <w:widowControl/>
              <w:jc w:val="center"/>
              <w:rPr>
                <w:rFonts w:ascii="宋体" w:eastAsia="宋体" w:hAnsi="宋体" w:cs="Arial"/>
                <w:color w:val="000000"/>
                <w:kern w:val="0"/>
                <w:sz w:val="22"/>
              </w:rPr>
            </w:pPr>
            <w:r>
              <w:rPr>
                <w:rFonts w:ascii="宋体" w:hAnsi="宋体"/>
                <w:sz w:val="22"/>
              </w:rPr>
              <w:t>008835</w:t>
            </w:r>
          </w:p>
        </w:tc>
        <w:tc>
          <w:tcPr>
            <w:tcW w:w="6281" w:type="dxa"/>
            <w:tcBorders>
              <w:top w:val="single" w:sz="4" w:space="0" w:color="auto"/>
              <w:left w:val="single" w:sz="4" w:space="0" w:color="auto"/>
              <w:bottom w:val="single" w:sz="4" w:space="0" w:color="auto"/>
              <w:right w:val="single" w:sz="4" w:space="0" w:color="auto"/>
            </w:tcBorders>
            <w:vAlign w:val="bottom"/>
          </w:tcPr>
          <w:p w:rsidR="00E74B15" w:rsidRDefault="00853BAA">
            <w:pPr>
              <w:widowControl/>
              <w:jc w:val="left"/>
              <w:rPr>
                <w:rFonts w:ascii="宋体" w:eastAsia="宋体" w:hAnsi="宋体" w:cs="Arial"/>
                <w:color w:val="000000"/>
                <w:kern w:val="0"/>
                <w:sz w:val="22"/>
              </w:rPr>
            </w:pPr>
            <w:r>
              <w:rPr>
                <w:rFonts w:ascii="宋体" w:hAnsi="宋体" w:hint="eastAsia"/>
                <w:sz w:val="22"/>
              </w:rPr>
              <w:t>富国量化对冲策略三个月持有期灵活配置混合型证券投资基金</w:t>
            </w:r>
          </w:p>
        </w:tc>
      </w:tr>
      <w:tr w:rsidR="00E74B15">
        <w:trPr>
          <w:trHeight w:val="340"/>
          <w:jc w:val="center"/>
        </w:trPr>
        <w:tc>
          <w:tcPr>
            <w:tcW w:w="766" w:type="dxa"/>
            <w:tcBorders>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vAlign w:val="bottom"/>
          </w:tcPr>
          <w:p w:rsidR="00E74B15" w:rsidRDefault="00853BAA">
            <w:pPr>
              <w:widowControl/>
              <w:jc w:val="center"/>
              <w:rPr>
                <w:rFonts w:ascii="宋体" w:eastAsia="宋体" w:hAnsi="宋体" w:cs="Arial"/>
                <w:color w:val="000000"/>
                <w:kern w:val="0"/>
                <w:sz w:val="22"/>
              </w:rPr>
            </w:pPr>
            <w:r>
              <w:rPr>
                <w:rFonts w:ascii="宋体" w:hAnsi="宋体"/>
                <w:sz w:val="22"/>
              </w:rPr>
              <w:t>005368</w:t>
            </w:r>
          </w:p>
        </w:tc>
        <w:tc>
          <w:tcPr>
            <w:tcW w:w="6281" w:type="dxa"/>
            <w:tcBorders>
              <w:top w:val="single" w:sz="4" w:space="0" w:color="auto"/>
              <w:left w:val="single" w:sz="4" w:space="0" w:color="auto"/>
              <w:bottom w:val="single" w:sz="4" w:space="0" w:color="auto"/>
              <w:right w:val="single" w:sz="4" w:space="0" w:color="auto"/>
            </w:tcBorders>
            <w:vAlign w:val="bottom"/>
          </w:tcPr>
          <w:p w:rsidR="00E74B15" w:rsidRDefault="00853BAA">
            <w:pPr>
              <w:widowControl/>
              <w:jc w:val="left"/>
              <w:rPr>
                <w:rFonts w:ascii="宋体" w:eastAsia="宋体" w:hAnsi="宋体" w:cs="Arial"/>
                <w:color w:val="000000"/>
                <w:kern w:val="0"/>
                <w:sz w:val="22"/>
              </w:rPr>
            </w:pPr>
            <w:r>
              <w:rPr>
                <w:rFonts w:ascii="宋体" w:hAnsi="宋体" w:hint="eastAsia"/>
                <w:sz w:val="22"/>
              </w:rPr>
              <w:t>富国清洁能源产业灵活配置混合型证券投资基金</w:t>
            </w:r>
          </w:p>
        </w:tc>
      </w:tr>
      <w:tr w:rsidR="00E74B15">
        <w:trPr>
          <w:trHeight w:val="340"/>
          <w:jc w:val="center"/>
        </w:trPr>
        <w:tc>
          <w:tcPr>
            <w:tcW w:w="766" w:type="dxa"/>
            <w:tcBorders>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vAlign w:val="bottom"/>
          </w:tcPr>
          <w:p w:rsidR="00E74B15" w:rsidRDefault="00853BAA">
            <w:pPr>
              <w:widowControl/>
              <w:jc w:val="center"/>
              <w:rPr>
                <w:rFonts w:ascii="宋体" w:eastAsia="宋体" w:hAnsi="宋体" w:cs="Arial"/>
                <w:color w:val="000000"/>
                <w:kern w:val="0"/>
                <w:sz w:val="22"/>
              </w:rPr>
            </w:pPr>
            <w:r>
              <w:rPr>
                <w:rFonts w:ascii="宋体" w:hAnsi="宋体"/>
                <w:sz w:val="22"/>
              </w:rPr>
              <w:t>007949</w:t>
            </w:r>
          </w:p>
        </w:tc>
        <w:tc>
          <w:tcPr>
            <w:tcW w:w="6281" w:type="dxa"/>
            <w:tcBorders>
              <w:top w:val="single" w:sz="4" w:space="0" w:color="auto"/>
              <w:left w:val="single" w:sz="4" w:space="0" w:color="auto"/>
              <w:bottom w:val="single" w:sz="4" w:space="0" w:color="auto"/>
              <w:right w:val="single" w:sz="4" w:space="0" w:color="auto"/>
            </w:tcBorders>
            <w:vAlign w:val="bottom"/>
          </w:tcPr>
          <w:p w:rsidR="00E74B15" w:rsidRDefault="00853BAA">
            <w:pPr>
              <w:widowControl/>
              <w:jc w:val="left"/>
              <w:rPr>
                <w:rFonts w:ascii="宋体" w:eastAsia="宋体" w:hAnsi="宋体" w:cs="Arial"/>
                <w:color w:val="000000"/>
                <w:kern w:val="0"/>
                <w:sz w:val="22"/>
              </w:rPr>
            </w:pPr>
            <w:r>
              <w:rPr>
                <w:rFonts w:ascii="宋体" w:hAnsi="宋体" w:hint="eastAsia"/>
                <w:sz w:val="22"/>
              </w:rPr>
              <w:t>富国泽利纯债债券型证券投资基金</w:t>
            </w:r>
          </w:p>
        </w:tc>
      </w:tr>
      <w:tr w:rsidR="00E74B15">
        <w:trPr>
          <w:trHeight w:val="340"/>
          <w:jc w:val="center"/>
        </w:trPr>
        <w:tc>
          <w:tcPr>
            <w:tcW w:w="766" w:type="dxa"/>
            <w:tcBorders>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vAlign w:val="bottom"/>
          </w:tcPr>
          <w:p w:rsidR="00E74B15" w:rsidRDefault="00853BAA">
            <w:pPr>
              <w:widowControl/>
              <w:jc w:val="center"/>
              <w:rPr>
                <w:rFonts w:ascii="宋体" w:eastAsia="宋体" w:hAnsi="宋体" w:cs="Arial"/>
                <w:color w:val="000000"/>
                <w:kern w:val="0"/>
                <w:sz w:val="22"/>
              </w:rPr>
            </w:pPr>
            <w:r>
              <w:rPr>
                <w:rFonts w:ascii="宋体" w:hAnsi="宋体"/>
                <w:sz w:val="22"/>
              </w:rPr>
              <w:t>515950</w:t>
            </w:r>
          </w:p>
        </w:tc>
        <w:tc>
          <w:tcPr>
            <w:tcW w:w="6281" w:type="dxa"/>
            <w:tcBorders>
              <w:top w:val="single" w:sz="4" w:space="0" w:color="auto"/>
              <w:left w:val="single" w:sz="4" w:space="0" w:color="auto"/>
              <w:bottom w:val="single" w:sz="4" w:space="0" w:color="auto"/>
              <w:right w:val="single" w:sz="4" w:space="0" w:color="auto"/>
            </w:tcBorders>
            <w:vAlign w:val="bottom"/>
          </w:tcPr>
          <w:p w:rsidR="00E74B15" w:rsidRDefault="00853BAA">
            <w:pPr>
              <w:widowControl/>
              <w:jc w:val="left"/>
              <w:rPr>
                <w:rFonts w:ascii="宋体" w:eastAsia="宋体" w:hAnsi="宋体" w:cs="Arial"/>
                <w:color w:val="000000"/>
                <w:kern w:val="0"/>
                <w:sz w:val="22"/>
              </w:rPr>
            </w:pPr>
            <w:r>
              <w:rPr>
                <w:rFonts w:ascii="宋体" w:hAnsi="宋体" w:hint="eastAsia"/>
                <w:sz w:val="22"/>
              </w:rPr>
              <w:t>富国中证医药</w:t>
            </w:r>
            <w:r>
              <w:rPr>
                <w:rFonts w:ascii="宋体" w:hAnsi="宋体"/>
                <w:sz w:val="22"/>
              </w:rPr>
              <w:t>50</w:t>
            </w:r>
            <w:r>
              <w:rPr>
                <w:rFonts w:ascii="宋体" w:hAnsi="宋体"/>
                <w:sz w:val="22"/>
              </w:rPr>
              <w:t>交易型开放式指数证券投资基金</w:t>
            </w:r>
          </w:p>
        </w:tc>
      </w:tr>
      <w:tr w:rsidR="00E74B15">
        <w:trPr>
          <w:trHeight w:val="340"/>
          <w:jc w:val="center"/>
        </w:trPr>
        <w:tc>
          <w:tcPr>
            <w:tcW w:w="766" w:type="dxa"/>
            <w:tcBorders>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vAlign w:val="bottom"/>
          </w:tcPr>
          <w:p w:rsidR="00E74B15" w:rsidRDefault="00853BAA">
            <w:pPr>
              <w:widowControl/>
              <w:jc w:val="center"/>
              <w:rPr>
                <w:rFonts w:ascii="宋体" w:eastAsia="宋体" w:hAnsi="宋体" w:cs="Arial"/>
                <w:color w:val="000000"/>
                <w:kern w:val="0"/>
                <w:sz w:val="22"/>
              </w:rPr>
            </w:pPr>
            <w:r>
              <w:rPr>
                <w:rFonts w:ascii="宋体" w:hAnsi="宋体"/>
                <w:sz w:val="22"/>
              </w:rPr>
              <w:t>008975</w:t>
            </w:r>
          </w:p>
        </w:tc>
        <w:tc>
          <w:tcPr>
            <w:tcW w:w="6281" w:type="dxa"/>
            <w:tcBorders>
              <w:top w:val="single" w:sz="4" w:space="0" w:color="auto"/>
              <w:left w:val="single" w:sz="4" w:space="0" w:color="auto"/>
              <w:bottom w:val="single" w:sz="4" w:space="0" w:color="auto"/>
              <w:right w:val="single" w:sz="4" w:space="0" w:color="auto"/>
            </w:tcBorders>
            <w:vAlign w:val="bottom"/>
          </w:tcPr>
          <w:p w:rsidR="00E74B15" w:rsidRDefault="00853BAA">
            <w:pPr>
              <w:widowControl/>
              <w:jc w:val="left"/>
              <w:rPr>
                <w:rFonts w:ascii="宋体" w:eastAsia="宋体" w:hAnsi="宋体" w:cs="Arial"/>
                <w:color w:val="000000"/>
                <w:kern w:val="0"/>
                <w:sz w:val="22"/>
              </w:rPr>
            </w:pPr>
            <w:r>
              <w:rPr>
                <w:rFonts w:ascii="宋体" w:hAnsi="宋体" w:hint="eastAsia"/>
                <w:sz w:val="22"/>
              </w:rPr>
              <w:t>富国中证消费</w:t>
            </w:r>
            <w:r>
              <w:rPr>
                <w:rFonts w:ascii="宋体" w:hAnsi="宋体"/>
                <w:sz w:val="22"/>
              </w:rPr>
              <w:t>50</w:t>
            </w:r>
            <w:r>
              <w:rPr>
                <w:rFonts w:ascii="宋体" w:hAnsi="宋体"/>
                <w:sz w:val="22"/>
              </w:rPr>
              <w:t>交易型开放式指数证券投资基金联接基金</w:t>
            </w:r>
          </w:p>
        </w:tc>
      </w:tr>
      <w:tr w:rsidR="00E74B15">
        <w:trPr>
          <w:trHeight w:val="340"/>
          <w:jc w:val="center"/>
        </w:trPr>
        <w:tc>
          <w:tcPr>
            <w:tcW w:w="766" w:type="dxa"/>
            <w:tcBorders>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vAlign w:val="bottom"/>
          </w:tcPr>
          <w:p w:rsidR="00E74B15" w:rsidRDefault="00853BAA">
            <w:pPr>
              <w:widowControl/>
              <w:jc w:val="center"/>
              <w:rPr>
                <w:rFonts w:ascii="宋体" w:eastAsia="宋体" w:hAnsi="宋体" w:cs="Arial"/>
                <w:color w:val="000000"/>
                <w:kern w:val="0"/>
                <w:sz w:val="22"/>
              </w:rPr>
            </w:pPr>
            <w:r>
              <w:rPr>
                <w:rFonts w:ascii="宋体" w:eastAsia="宋体" w:hAnsi="宋体" w:cs="Arial"/>
                <w:color w:val="000000"/>
                <w:kern w:val="0"/>
                <w:sz w:val="22"/>
                <w:szCs w:val="18"/>
              </w:rPr>
              <w:t>007662</w:t>
            </w:r>
          </w:p>
        </w:tc>
        <w:tc>
          <w:tcPr>
            <w:tcW w:w="6281" w:type="dxa"/>
            <w:tcBorders>
              <w:top w:val="single" w:sz="4" w:space="0" w:color="auto"/>
              <w:left w:val="single" w:sz="4" w:space="0" w:color="auto"/>
              <w:bottom w:val="single" w:sz="4" w:space="0" w:color="auto"/>
              <w:right w:val="single" w:sz="4" w:space="0" w:color="auto"/>
            </w:tcBorders>
            <w:vAlign w:val="bottom"/>
          </w:tcPr>
          <w:p w:rsidR="00E74B15" w:rsidRDefault="00853BAA">
            <w:pPr>
              <w:widowControl/>
              <w:jc w:val="left"/>
              <w:rPr>
                <w:rFonts w:ascii="宋体" w:eastAsia="宋体" w:hAnsi="宋体" w:cs="Arial"/>
                <w:color w:val="000000"/>
                <w:kern w:val="0"/>
                <w:sz w:val="22"/>
              </w:rPr>
            </w:pPr>
            <w:r>
              <w:rPr>
                <w:rFonts w:ascii="宋体" w:hAnsi="宋体" w:hint="eastAsia"/>
                <w:sz w:val="22"/>
              </w:rPr>
              <w:t>富国鑫旺均衡养老目标三年持有期混合型发起式基金中基金（</w:t>
            </w:r>
            <w:r>
              <w:rPr>
                <w:rFonts w:ascii="宋体" w:hAnsi="宋体"/>
                <w:sz w:val="22"/>
              </w:rPr>
              <w:t>FOF</w:t>
            </w:r>
            <w:r>
              <w:rPr>
                <w:rFonts w:ascii="宋体" w:hAnsi="宋体"/>
                <w:sz w:val="22"/>
              </w:rPr>
              <w:t>）</w:t>
            </w:r>
          </w:p>
        </w:tc>
      </w:tr>
      <w:tr w:rsidR="00E74B15">
        <w:trPr>
          <w:trHeight w:val="340"/>
          <w:jc w:val="center"/>
        </w:trPr>
        <w:tc>
          <w:tcPr>
            <w:tcW w:w="766" w:type="dxa"/>
            <w:tcBorders>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vAlign w:val="bottom"/>
          </w:tcPr>
          <w:p w:rsidR="00E74B15" w:rsidRDefault="00853BAA">
            <w:pPr>
              <w:widowControl/>
              <w:jc w:val="center"/>
              <w:rPr>
                <w:rFonts w:ascii="宋体" w:eastAsia="宋体" w:hAnsi="宋体" w:cs="Arial"/>
                <w:color w:val="000000"/>
                <w:kern w:val="0"/>
                <w:sz w:val="22"/>
              </w:rPr>
            </w:pPr>
            <w:r>
              <w:rPr>
                <w:rFonts w:ascii="宋体" w:hAnsi="宋体"/>
                <w:sz w:val="22"/>
              </w:rPr>
              <w:t>008901</w:t>
            </w:r>
          </w:p>
        </w:tc>
        <w:tc>
          <w:tcPr>
            <w:tcW w:w="6281" w:type="dxa"/>
            <w:tcBorders>
              <w:top w:val="single" w:sz="4" w:space="0" w:color="auto"/>
              <w:left w:val="single" w:sz="4" w:space="0" w:color="auto"/>
              <w:bottom w:val="single" w:sz="4" w:space="0" w:color="auto"/>
              <w:right w:val="single" w:sz="4" w:space="0" w:color="auto"/>
            </w:tcBorders>
            <w:vAlign w:val="bottom"/>
          </w:tcPr>
          <w:p w:rsidR="00E74B15" w:rsidRDefault="00853BAA">
            <w:pPr>
              <w:widowControl/>
              <w:jc w:val="left"/>
              <w:rPr>
                <w:rFonts w:ascii="宋体" w:eastAsia="宋体" w:hAnsi="宋体" w:cs="Arial"/>
                <w:color w:val="000000"/>
                <w:kern w:val="0"/>
                <w:sz w:val="22"/>
              </w:rPr>
            </w:pPr>
            <w:r>
              <w:rPr>
                <w:rFonts w:ascii="宋体" w:hAnsi="宋体" w:hint="eastAsia"/>
                <w:sz w:val="22"/>
              </w:rPr>
              <w:t>富国内需增长混合型证券投资基金</w:t>
            </w:r>
          </w:p>
        </w:tc>
      </w:tr>
      <w:tr w:rsidR="00E74B15">
        <w:trPr>
          <w:trHeight w:val="340"/>
          <w:jc w:val="center"/>
        </w:trPr>
        <w:tc>
          <w:tcPr>
            <w:tcW w:w="766" w:type="dxa"/>
            <w:tcBorders>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vAlign w:val="bottom"/>
          </w:tcPr>
          <w:p w:rsidR="00E74B15" w:rsidRDefault="00853BAA">
            <w:pPr>
              <w:widowControl/>
              <w:jc w:val="center"/>
              <w:rPr>
                <w:rFonts w:ascii="宋体" w:eastAsia="宋体" w:hAnsi="宋体" w:cs="Arial"/>
                <w:color w:val="000000"/>
                <w:kern w:val="0"/>
                <w:sz w:val="22"/>
              </w:rPr>
            </w:pPr>
            <w:r>
              <w:rPr>
                <w:rFonts w:ascii="宋体" w:hAnsi="宋体"/>
                <w:sz w:val="22"/>
              </w:rPr>
              <w:t>515280</w:t>
            </w:r>
          </w:p>
        </w:tc>
        <w:tc>
          <w:tcPr>
            <w:tcW w:w="6281" w:type="dxa"/>
            <w:tcBorders>
              <w:top w:val="single" w:sz="4" w:space="0" w:color="auto"/>
              <w:left w:val="single" w:sz="4" w:space="0" w:color="auto"/>
              <w:bottom w:val="single" w:sz="4" w:space="0" w:color="auto"/>
              <w:right w:val="single" w:sz="4" w:space="0" w:color="auto"/>
            </w:tcBorders>
            <w:vAlign w:val="bottom"/>
          </w:tcPr>
          <w:p w:rsidR="00E74B15" w:rsidRDefault="00853BAA">
            <w:pPr>
              <w:widowControl/>
              <w:jc w:val="left"/>
              <w:rPr>
                <w:rFonts w:ascii="宋体" w:eastAsia="宋体" w:hAnsi="宋体" w:cs="Arial"/>
                <w:color w:val="000000"/>
                <w:kern w:val="0"/>
                <w:sz w:val="22"/>
              </w:rPr>
            </w:pPr>
            <w:r>
              <w:rPr>
                <w:rFonts w:ascii="宋体" w:hAnsi="宋体" w:hint="eastAsia"/>
                <w:sz w:val="22"/>
              </w:rPr>
              <w:t>富国中证银行交易型开放式指数证券投资基金</w:t>
            </w:r>
          </w:p>
        </w:tc>
      </w:tr>
      <w:tr w:rsidR="00E74B15">
        <w:trPr>
          <w:trHeight w:val="340"/>
          <w:jc w:val="center"/>
        </w:trPr>
        <w:tc>
          <w:tcPr>
            <w:tcW w:w="766" w:type="dxa"/>
            <w:tcBorders>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vAlign w:val="bottom"/>
          </w:tcPr>
          <w:p w:rsidR="00E74B15" w:rsidRDefault="00853BAA">
            <w:pPr>
              <w:widowControl/>
              <w:jc w:val="center"/>
              <w:rPr>
                <w:rFonts w:ascii="宋体" w:eastAsia="宋体" w:hAnsi="宋体" w:cs="Arial"/>
                <w:color w:val="000000"/>
                <w:kern w:val="0"/>
                <w:sz w:val="22"/>
              </w:rPr>
            </w:pPr>
            <w:r>
              <w:rPr>
                <w:rFonts w:ascii="宋体" w:hAnsi="宋体"/>
                <w:sz w:val="22"/>
              </w:rPr>
              <w:t>008367</w:t>
            </w:r>
          </w:p>
        </w:tc>
        <w:tc>
          <w:tcPr>
            <w:tcW w:w="6281" w:type="dxa"/>
            <w:tcBorders>
              <w:top w:val="single" w:sz="4" w:space="0" w:color="auto"/>
              <w:left w:val="single" w:sz="4" w:space="0" w:color="auto"/>
              <w:bottom w:val="single" w:sz="4" w:space="0" w:color="auto"/>
              <w:right w:val="single" w:sz="4" w:space="0" w:color="auto"/>
            </w:tcBorders>
            <w:vAlign w:val="bottom"/>
          </w:tcPr>
          <w:p w:rsidR="00E74B15" w:rsidRDefault="00853BAA">
            <w:pPr>
              <w:widowControl/>
              <w:jc w:val="left"/>
              <w:rPr>
                <w:rFonts w:ascii="宋体" w:eastAsia="宋体" w:hAnsi="宋体" w:cs="Arial"/>
                <w:color w:val="000000"/>
                <w:kern w:val="0"/>
                <w:sz w:val="22"/>
              </w:rPr>
            </w:pPr>
            <w:r>
              <w:rPr>
                <w:rFonts w:ascii="宋体" w:hAnsi="宋体" w:hint="eastAsia"/>
                <w:sz w:val="22"/>
              </w:rPr>
              <w:t>富国亚洲收益债券型证券投资基金（</w:t>
            </w:r>
            <w:r>
              <w:rPr>
                <w:rFonts w:ascii="宋体" w:hAnsi="宋体"/>
                <w:sz w:val="22"/>
              </w:rPr>
              <w:t>QDII</w:t>
            </w:r>
            <w:r>
              <w:rPr>
                <w:rFonts w:ascii="宋体" w:hAnsi="宋体"/>
                <w:sz w:val="22"/>
              </w:rPr>
              <w:t>）</w:t>
            </w:r>
          </w:p>
        </w:tc>
      </w:tr>
      <w:tr w:rsidR="00E74B15">
        <w:trPr>
          <w:trHeight w:val="340"/>
          <w:jc w:val="center"/>
        </w:trPr>
        <w:tc>
          <w:tcPr>
            <w:tcW w:w="766" w:type="dxa"/>
            <w:tcBorders>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vAlign w:val="bottom"/>
          </w:tcPr>
          <w:p w:rsidR="00E74B15" w:rsidRDefault="00853BAA">
            <w:pPr>
              <w:widowControl/>
              <w:jc w:val="center"/>
              <w:rPr>
                <w:rFonts w:ascii="宋体" w:eastAsia="宋体" w:hAnsi="宋体" w:cs="Arial"/>
                <w:color w:val="000000"/>
                <w:kern w:val="0"/>
                <w:sz w:val="22"/>
              </w:rPr>
            </w:pPr>
            <w:r>
              <w:rPr>
                <w:rFonts w:ascii="宋体" w:hAnsi="宋体"/>
                <w:sz w:val="22"/>
              </w:rPr>
              <w:t>009162</w:t>
            </w:r>
          </w:p>
        </w:tc>
        <w:tc>
          <w:tcPr>
            <w:tcW w:w="6281" w:type="dxa"/>
            <w:tcBorders>
              <w:top w:val="single" w:sz="4" w:space="0" w:color="auto"/>
              <w:left w:val="single" w:sz="4" w:space="0" w:color="auto"/>
              <w:bottom w:val="single" w:sz="4" w:space="0" w:color="auto"/>
              <w:right w:val="single" w:sz="4" w:space="0" w:color="auto"/>
            </w:tcBorders>
            <w:vAlign w:val="bottom"/>
          </w:tcPr>
          <w:p w:rsidR="00E74B15" w:rsidRDefault="00853BAA">
            <w:pPr>
              <w:widowControl/>
              <w:jc w:val="left"/>
              <w:rPr>
                <w:rFonts w:ascii="宋体" w:eastAsia="宋体" w:hAnsi="宋体" w:cs="Arial"/>
                <w:color w:val="000000"/>
                <w:kern w:val="0"/>
                <w:sz w:val="22"/>
              </w:rPr>
            </w:pPr>
            <w:r>
              <w:rPr>
                <w:rFonts w:ascii="宋体" w:hAnsi="宋体" w:hint="eastAsia"/>
                <w:sz w:val="22"/>
              </w:rPr>
              <w:t>富国医药成长</w:t>
            </w:r>
            <w:r>
              <w:rPr>
                <w:rFonts w:ascii="宋体" w:hAnsi="宋体"/>
                <w:sz w:val="22"/>
              </w:rPr>
              <w:t>30</w:t>
            </w:r>
            <w:r>
              <w:rPr>
                <w:rFonts w:ascii="宋体" w:hAnsi="宋体"/>
                <w:sz w:val="22"/>
              </w:rPr>
              <w:t>股票型证券投资基金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vAlign w:val="bottom"/>
          </w:tcPr>
          <w:p w:rsidR="00E74B15" w:rsidRDefault="00853BAA">
            <w:pPr>
              <w:widowControl/>
              <w:jc w:val="center"/>
              <w:rPr>
                <w:rFonts w:ascii="宋体" w:eastAsia="宋体" w:hAnsi="宋体" w:cs="Arial"/>
                <w:color w:val="000000"/>
                <w:kern w:val="0"/>
                <w:sz w:val="22"/>
              </w:rPr>
            </w:pPr>
            <w:r>
              <w:rPr>
                <w:rFonts w:ascii="宋体" w:eastAsia="宋体" w:hAnsi="宋体"/>
                <w:sz w:val="22"/>
              </w:rPr>
              <w:t>009108</w:t>
            </w:r>
          </w:p>
        </w:tc>
        <w:tc>
          <w:tcPr>
            <w:tcW w:w="6281" w:type="dxa"/>
            <w:tcBorders>
              <w:top w:val="single" w:sz="4" w:space="0" w:color="auto"/>
              <w:left w:val="single" w:sz="4" w:space="0" w:color="auto"/>
              <w:bottom w:val="single" w:sz="4" w:space="0" w:color="auto"/>
              <w:right w:val="single" w:sz="4" w:space="0" w:color="auto"/>
            </w:tcBorders>
            <w:vAlign w:val="bottom"/>
          </w:tcPr>
          <w:p w:rsidR="00E74B15" w:rsidRDefault="00853BAA">
            <w:pPr>
              <w:widowControl/>
              <w:jc w:val="left"/>
              <w:rPr>
                <w:rFonts w:ascii="宋体" w:eastAsia="宋体" w:hAnsi="宋体" w:cs="Arial"/>
                <w:color w:val="000000"/>
                <w:kern w:val="0"/>
                <w:sz w:val="22"/>
              </w:rPr>
            </w:pPr>
            <w:r>
              <w:rPr>
                <w:rFonts w:ascii="宋体" w:hAnsi="宋体" w:hint="eastAsia"/>
                <w:sz w:val="22"/>
              </w:rPr>
              <w:t>富国红利精选混合型证券投资基金（</w:t>
            </w:r>
            <w:r>
              <w:rPr>
                <w:rFonts w:ascii="宋体" w:hAnsi="宋体"/>
                <w:sz w:val="22"/>
              </w:rPr>
              <w:t>QDII</w:t>
            </w:r>
            <w:r>
              <w:rPr>
                <w:rFonts w:ascii="宋体" w:hAnsi="宋体"/>
                <w:sz w:val="22"/>
              </w:rPr>
              <w:t>）</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sz w:val="22"/>
              </w:rPr>
            </w:pPr>
            <w:r>
              <w:rPr>
                <w:rFonts w:ascii="宋体" w:eastAsia="宋体" w:hAnsi="宋体"/>
                <w:sz w:val="22"/>
              </w:rPr>
              <w:t>009289</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Theme="minorEastAsia" w:hAnsiTheme="minorEastAsia"/>
                <w:sz w:val="22"/>
              </w:rPr>
            </w:pPr>
            <w:r>
              <w:rPr>
                <w:rFonts w:asciiTheme="minorEastAsia" w:hAnsiTheme="minorEastAsia" w:cs="Arial"/>
                <w:sz w:val="22"/>
              </w:rPr>
              <w:t>富国长江经济带纯债债券型证券投资基金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sz w:val="22"/>
              </w:rPr>
            </w:pPr>
            <w:r>
              <w:rPr>
                <w:rFonts w:ascii="宋体" w:eastAsia="宋体" w:hAnsi="宋体" w:cs="Arial"/>
                <w:sz w:val="22"/>
              </w:rPr>
              <w:t>009334</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Theme="minorEastAsia" w:hAnsiTheme="minorEastAsia"/>
                <w:sz w:val="22"/>
              </w:rPr>
            </w:pPr>
            <w:r>
              <w:rPr>
                <w:rFonts w:asciiTheme="minorEastAsia" w:hAnsiTheme="minorEastAsia" w:cs="Arial"/>
                <w:sz w:val="22"/>
              </w:rPr>
              <w:t>富国融享</w:t>
            </w:r>
            <w:r>
              <w:rPr>
                <w:rFonts w:asciiTheme="minorEastAsia" w:hAnsiTheme="minorEastAsia" w:cs="Arial"/>
                <w:sz w:val="22"/>
              </w:rPr>
              <w:t>18</w:t>
            </w:r>
            <w:r>
              <w:rPr>
                <w:rFonts w:asciiTheme="minorEastAsia" w:hAnsiTheme="minorEastAsia" w:cs="Arial"/>
                <w:sz w:val="22"/>
              </w:rPr>
              <w:t>个月定期开放混合型证券投资基金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sz w:val="22"/>
              </w:rPr>
            </w:pPr>
            <w:r>
              <w:rPr>
                <w:rFonts w:ascii="宋体" w:eastAsia="宋体" w:hAnsi="宋体" w:cs="Arial"/>
                <w:sz w:val="22"/>
              </w:rPr>
              <w:t>009290</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Theme="minorEastAsia" w:hAnsiTheme="minorEastAsia"/>
                <w:sz w:val="22"/>
              </w:rPr>
            </w:pPr>
            <w:r>
              <w:rPr>
                <w:rFonts w:asciiTheme="minorEastAsia" w:hAnsiTheme="minorEastAsia" w:cs="Arial"/>
                <w:sz w:val="22"/>
              </w:rPr>
              <w:t>富国添享一年持有期债券型证券投资基金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sz w:val="22"/>
              </w:rPr>
            </w:pPr>
            <w:r>
              <w:rPr>
                <w:rFonts w:ascii="宋体" w:eastAsia="宋体" w:hAnsi="宋体" w:cs="Arial"/>
                <w:sz w:val="22"/>
              </w:rPr>
              <w:t>009693</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Theme="minorEastAsia" w:hAnsiTheme="minorEastAsia"/>
                <w:sz w:val="22"/>
              </w:rPr>
            </w:pPr>
            <w:r>
              <w:rPr>
                <w:rFonts w:asciiTheme="minorEastAsia" w:hAnsiTheme="minorEastAsia" w:cs="Arial"/>
                <w:sz w:val="22"/>
              </w:rPr>
              <w:t>富国积极成长一年定期开放混合型证券投资基金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sz w:val="22"/>
              </w:rPr>
            </w:pPr>
            <w:r>
              <w:rPr>
                <w:rFonts w:ascii="宋体" w:eastAsia="宋体" w:hAnsi="宋体" w:cs="Arial"/>
                <w:sz w:val="22"/>
              </w:rPr>
              <w:t>009092</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Theme="minorEastAsia" w:hAnsiTheme="minorEastAsia"/>
                <w:sz w:val="22"/>
              </w:rPr>
            </w:pPr>
            <w:r>
              <w:rPr>
                <w:rFonts w:asciiTheme="minorEastAsia" w:hAnsiTheme="minorEastAsia" w:cs="Arial"/>
                <w:sz w:val="22"/>
              </w:rPr>
              <w:t>富国新材料新能源混合型证券投资基金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sz w:val="22"/>
              </w:rPr>
            </w:pPr>
            <w:r>
              <w:rPr>
                <w:rFonts w:ascii="宋体" w:eastAsia="宋体" w:hAnsi="宋体" w:cs="Arial"/>
                <w:sz w:val="22"/>
              </w:rPr>
              <w:t>518680</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Theme="minorEastAsia" w:hAnsiTheme="minorEastAsia"/>
                <w:sz w:val="22"/>
              </w:rPr>
            </w:pPr>
            <w:r>
              <w:rPr>
                <w:rFonts w:asciiTheme="minorEastAsia" w:hAnsiTheme="minorEastAsia" w:cs="Arial"/>
                <w:sz w:val="22"/>
              </w:rPr>
              <w:t>富国上海金交易型开放式证券投资基金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sz w:val="22"/>
              </w:rPr>
            </w:pPr>
            <w:r>
              <w:rPr>
                <w:rFonts w:ascii="宋体" w:eastAsia="宋体" w:hAnsi="宋体" w:cs="Arial"/>
                <w:sz w:val="22"/>
              </w:rPr>
              <w:t>161040</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Theme="minorEastAsia" w:hAnsiTheme="minorEastAsia"/>
                <w:sz w:val="22"/>
              </w:rPr>
            </w:pPr>
            <w:r>
              <w:rPr>
                <w:rFonts w:asciiTheme="minorEastAsia" w:hAnsiTheme="minorEastAsia" w:cs="Arial"/>
                <w:sz w:val="22"/>
              </w:rPr>
              <w:t>富国创业板两年定期开放混合型证券投资基金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sz w:val="22"/>
              </w:rPr>
            </w:pPr>
            <w:r>
              <w:rPr>
                <w:rFonts w:ascii="宋体" w:eastAsia="宋体" w:hAnsi="宋体" w:cs="Arial"/>
                <w:sz w:val="22"/>
              </w:rPr>
              <w:t>009504</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Theme="minorEastAsia" w:hAnsiTheme="minorEastAsia"/>
                <w:sz w:val="22"/>
              </w:rPr>
            </w:pPr>
            <w:r>
              <w:rPr>
                <w:rFonts w:asciiTheme="minorEastAsia" w:hAnsiTheme="minorEastAsia" w:cs="Arial"/>
                <w:sz w:val="22"/>
              </w:rPr>
              <w:t>富国上海金交易型开放式证券投资基金联接基金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sz w:val="22"/>
              </w:rPr>
            </w:pPr>
            <w:r>
              <w:rPr>
                <w:rFonts w:ascii="宋体" w:eastAsia="宋体" w:hAnsi="宋体" w:cs="Arial"/>
                <w:sz w:val="22"/>
              </w:rPr>
              <w:t>009863</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Theme="minorEastAsia" w:hAnsiTheme="minorEastAsia"/>
                <w:sz w:val="22"/>
              </w:rPr>
            </w:pPr>
            <w:r>
              <w:rPr>
                <w:rFonts w:asciiTheme="minorEastAsia" w:hAnsiTheme="minorEastAsia" w:cs="Arial"/>
                <w:sz w:val="22"/>
              </w:rPr>
              <w:t>富国创新趋势股票型证券投资基金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sz w:val="22"/>
              </w:rPr>
            </w:pPr>
            <w:r>
              <w:rPr>
                <w:rFonts w:ascii="宋体" w:eastAsia="宋体" w:hAnsi="宋体" w:cs="Arial"/>
                <w:sz w:val="22"/>
              </w:rPr>
              <w:t>506003</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Theme="minorEastAsia" w:hAnsiTheme="minorEastAsia"/>
                <w:sz w:val="22"/>
              </w:rPr>
            </w:pPr>
            <w:r>
              <w:rPr>
                <w:rFonts w:asciiTheme="minorEastAsia" w:hAnsiTheme="minorEastAsia" w:cs="Arial"/>
                <w:sz w:val="22"/>
              </w:rPr>
              <w:t>富国科创板两年定期开放混合型证券投资基金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E74B15" w:rsidRDefault="00853BAA">
            <w:pPr>
              <w:widowControl/>
              <w:jc w:val="center"/>
              <w:rPr>
                <w:rFonts w:ascii="宋体" w:eastAsia="宋体" w:hAnsi="宋体" w:cs="Arial"/>
                <w:sz w:val="22"/>
              </w:rPr>
            </w:pPr>
            <w:r>
              <w:rPr>
                <w:rFonts w:ascii="宋体" w:eastAsia="宋体" w:hAnsi="宋体" w:hint="eastAsia"/>
                <w:color w:val="000000"/>
                <w:sz w:val="22"/>
              </w:rPr>
              <w:t>009892</w:t>
            </w:r>
          </w:p>
        </w:tc>
        <w:tc>
          <w:tcPr>
            <w:tcW w:w="6281" w:type="dxa"/>
            <w:tcBorders>
              <w:top w:val="single" w:sz="4" w:space="0" w:color="auto"/>
              <w:left w:val="nil"/>
              <w:bottom w:val="single" w:sz="4" w:space="0" w:color="auto"/>
              <w:right w:val="single" w:sz="4" w:space="0" w:color="auto"/>
            </w:tcBorders>
            <w:shd w:val="clear" w:color="auto" w:fill="auto"/>
            <w:vAlign w:val="center"/>
          </w:tcPr>
          <w:p w:rsidR="00E74B15" w:rsidRDefault="00853BAA">
            <w:pPr>
              <w:widowControl/>
              <w:jc w:val="left"/>
              <w:rPr>
                <w:rFonts w:ascii="宋体" w:eastAsia="宋体" w:hAnsi="宋体" w:cs="Arial"/>
                <w:sz w:val="22"/>
              </w:rPr>
            </w:pPr>
            <w:r>
              <w:rPr>
                <w:rFonts w:ascii="宋体" w:eastAsia="宋体" w:hAnsi="宋体" w:hint="eastAsia"/>
                <w:color w:val="000000"/>
                <w:sz w:val="22"/>
              </w:rPr>
              <w:t>富国成长策略混合型证券投资基金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center"/>
              <w:rPr>
                <w:rFonts w:ascii="宋体" w:eastAsia="宋体" w:hAnsi="宋体" w:cs="Arial"/>
                <w:sz w:val="22"/>
              </w:rPr>
            </w:pPr>
            <w:r>
              <w:rPr>
                <w:rFonts w:ascii="宋体" w:eastAsia="宋体" w:hAnsi="宋体" w:hint="eastAsia"/>
                <w:color w:val="000000"/>
                <w:sz w:val="22"/>
              </w:rPr>
              <w:t>009782</w:t>
            </w:r>
          </w:p>
        </w:tc>
        <w:tc>
          <w:tcPr>
            <w:tcW w:w="6281" w:type="dxa"/>
            <w:tcBorders>
              <w:top w:val="nil"/>
              <w:left w:val="nil"/>
              <w:bottom w:val="single" w:sz="4" w:space="0" w:color="auto"/>
              <w:right w:val="single" w:sz="4" w:space="0" w:color="auto"/>
            </w:tcBorders>
            <w:shd w:val="clear" w:color="auto" w:fill="auto"/>
            <w:vAlign w:val="center"/>
          </w:tcPr>
          <w:p w:rsidR="00E74B15" w:rsidRDefault="00853BAA">
            <w:pPr>
              <w:widowControl/>
              <w:jc w:val="left"/>
              <w:rPr>
                <w:rFonts w:ascii="宋体" w:eastAsia="宋体" w:hAnsi="宋体" w:cs="Arial"/>
                <w:sz w:val="22"/>
              </w:rPr>
            </w:pPr>
            <w:r>
              <w:rPr>
                <w:rFonts w:ascii="宋体" w:eastAsia="宋体" w:hAnsi="宋体" w:hint="eastAsia"/>
                <w:color w:val="000000"/>
                <w:sz w:val="22"/>
              </w:rPr>
              <w:t>富国兴泉回报</w:t>
            </w:r>
            <w:r>
              <w:rPr>
                <w:rFonts w:ascii="宋体" w:eastAsia="宋体" w:hAnsi="宋体" w:hint="eastAsia"/>
                <w:color w:val="000000"/>
                <w:sz w:val="22"/>
              </w:rPr>
              <w:t>12</w:t>
            </w:r>
            <w:r>
              <w:rPr>
                <w:rFonts w:ascii="宋体" w:eastAsia="宋体" w:hAnsi="宋体" w:hint="eastAsia"/>
                <w:color w:val="000000"/>
                <w:sz w:val="22"/>
              </w:rPr>
              <w:t>个月持有期混合型证券投资基金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center"/>
              <w:rPr>
                <w:rFonts w:ascii="宋体" w:eastAsia="宋体" w:hAnsi="宋体" w:cs="Arial"/>
                <w:sz w:val="22"/>
              </w:rPr>
            </w:pPr>
            <w:r>
              <w:rPr>
                <w:rFonts w:ascii="宋体" w:eastAsia="宋体" w:hAnsi="宋体" w:hint="eastAsia"/>
                <w:color w:val="000000"/>
                <w:sz w:val="22"/>
              </w:rPr>
              <w:t>009642</w:t>
            </w:r>
          </w:p>
        </w:tc>
        <w:tc>
          <w:tcPr>
            <w:tcW w:w="6281" w:type="dxa"/>
            <w:tcBorders>
              <w:top w:val="nil"/>
              <w:left w:val="nil"/>
              <w:bottom w:val="single" w:sz="4" w:space="0" w:color="auto"/>
              <w:right w:val="single" w:sz="4" w:space="0" w:color="auto"/>
            </w:tcBorders>
            <w:shd w:val="clear" w:color="auto" w:fill="auto"/>
            <w:vAlign w:val="center"/>
          </w:tcPr>
          <w:p w:rsidR="00E74B15" w:rsidRDefault="00853BAA">
            <w:pPr>
              <w:widowControl/>
              <w:jc w:val="left"/>
              <w:rPr>
                <w:rFonts w:ascii="宋体" w:eastAsia="宋体" w:hAnsi="宋体" w:cs="Arial"/>
                <w:sz w:val="22"/>
              </w:rPr>
            </w:pPr>
            <w:r>
              <w:rPr>
                <w:rFonts w:ascii="宋体" w:eastAsia="宋体" w:hAnsi="宋体" w:hint="eastAsia"/>
                <w:color w:val="000000"/>
                <w:sz w:val="22"/>
              </w:rPr>
              <w:t>富国荣利纯债一年定期开放债券型发起式证券投资基金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center"/>
              <w:rPr>
                <w:rFonts w:ascii="宋体" w:eastAsia="宋体" w:hAnsi="宋体" w:cs="Arial"/>
                <w:sz w:val="22"/>
              </w:rPr>
            </w:pPr>
            <w:r>
              <w:rPr>
                <w:rFonts w:ascii="宋体" w:eastAsia="宋体" w:hAnsi="宋体" w:hint="eastAsia"/>
                <w:color w:val="000000"/>
                <w:sz w:val="22"/>
              </w:rPr>
              <w:t>010029</w:t>
            </w:r>
          </w:p>
        </w:tc>
        <w:tc>
          <w:tcPr>
            <w:tcW w:w="6281" w:type="dxa"/>
            <w:tcBorders>
              <w:top w:val="nil"/>
              <w:left w:val="nil"/>
              <w:bottom w:val="single" w:sz="4" w:space="0" w:color="auto"/>
              <w:right w:val="single" w:sz="4" w:space="0" w:color="auto"/>
            </w:tcBorders>
            <w:shd w:val="clear" w:color="auto" w:fill="auto"/>
            <w:vAlign w:val="center"/>
          </w:tcPr>
          <w:p w:rsidR="00E74B15" w:rsidRDefault="00853BAA">
            <w:pPr>
              <w:widowControl/>
              <w:jc w:val="left"/>
              <w:rPr>
                <w:rFonts w:ascii="宋体" w:eastAsia="宋体" w:hAnsi="宋体" w:cs="Arial"/>
                <w:sz w:val="22"/>
              </w:rPr>
            </w:pPr>
            <w:r>
              <w:rPr>
                <w:rFonts w:ascii="宋体" w:eastAsia="宋体" w:hAnsi="宋体" w:hint="eastAsia"/>
                <w:color w:val="000000"/>
                <w:sz w:val="22"/>
              </w:rPr>
              <w:t>富国稳进回报</w:t>
            </w:r>
            <w:r>
              <w:rPr>
                <w:rFonts w:ascii="宋体" w:eastAsia="宋体" w:hAnsi="宋体" w:hint="eastAsia"/>
                <w:color w:val="000000"/>
                <w:sz w:val="22"/>
              </w:rPr>
              <w:t>12</w:t>
            </w:r>
            <w:r>
              <w:rPr>
                <w:rFonts w:ascii="宋体" w:eastAsia="宋体" w:hAnsi="宋体" w:hint="eastAsia"/>
                <w:color w:val="000000"/>
                <w:sz w:val="22"/>
              </w:rPr>
              <w:t>个月持有期混合型证券投资基金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center"/>
              <w:rPr>
                <w:rFonts w:ascii="宋体" w:eastAsia="宋体" w:hAnsi="宋体" w:cs="Arial"/>
                <w:sz w:val="22"/>
              </w:rPr>
            </w:pPr>
            <w:r>
              <w:rPr>
                <w:rFonts w:ascii="宋体" w:eastAsia="宋体" w:hAnsi="宋体" w:hint="eastAsia"/>
                <w:color w:val="000000"/>
                <w:sz w:val="22"/>
              </w:rPr>
              <w:t>010109</w:t>
            </w:r>
          </w:p>
        </w:tc>
        <w:tc>
          <w:tcPr>
            <w:tcW w:w="6281" w:type="dxa"/>
            <w:tcBorders>
              <w:top w:val="nil"/>
              <w:left w:val="nil"/>
              <w:bottom w:val="single" w:sz="4" w:space="0" w:color="auto"/>
              <w:right w:val="single" w:sz="4" w:space="0" w:color="auto"/>
            </w:tcBorders>
            <w:shd w:val="clear" w:color="auto" w:fill="auto"/>
            <w:vAlign w:val="center"/>
          </w:tcPr>
          <w:p w:rsidR="00E74B15" w:rsidRDefault="00853BAA">
            <w:pPr>
              <w:widowControl/>
              <w:jc w:val="left"/>
              <w:rPr>
                <w:rFonts w:ascii="宋体" w:eastAsia="宋体" w:hAnsi="宋体" w:cs="Arial"/>
                <w:sz w:val="22"/>
              </w:rPr>
            </w:pPr>
            <w:r>
              <w:rPr>
                <w:rFonts w:ascii="宋体" w:eastAsia="宋体" w:hAnsi="宋体" w:hint="eastAsia"/>
                <w:color w:val="000000"/>
                <w:sz w:val="22"/>
              </w:rPr>
              <w:t>富国价值增长混合型证券投资基金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center"/>
              <w:rPr>
                <w:rFonts w:ascii="宋体" w:eastAsia="宋体" w:hAnsi="宋体" w:cs="Arial"/>
                <w:sz w:val="22"/>
              </w:rPr>
            </w:pPr>
            <w:r>
              <w:rPr>
                <w:rFonts w:ascii="宋体" w:eastAsia="宋体" w:hAnsi="宋体" w:hint="eastAsia"/>
                <w:color w:val="000000"/>
                <w:sz w:val="22"/>
              </w:rPr>
              <w:t>009914</w:t>
            </w:r>
          </w:p>
        </w:tc>
        <w:tc>
          <w:tcPr>
            <w:tcW w:w="6281" w:type="dxa"/>
            <w:tcBorders>
              <w:top w:val="nil"/>
              <w:left w:val="nil"/>
              <w:bottom w:val="single" w:sz="4" w:space="0" w:color="auto"/>
              <w:right w:val="single" w:sz="4" w:space="0" w:color="auto"/>
            </w:tcBorders>
            <w:shd w:val="clear" w:color="auto" w:fill="auto"/>
            <w:vAlign w:val="center"/>
          </w:tcPr>
          <w:p w:rsidR="00E74B15" w:rsidRDefault="00853BAA">
            <w:pPr>
              <w:widowControl/>
              <w:jc w:val="left"/>
              <w:rPr>
                <w:rFonts w:ascii="宋体" w:eastAsia="宋体" w:hAnsi="宋体" w:cs="Arial"/>
                <w:sz w:val="22"/>
              </w:rPr>
            </w:pPr>
            <w:r>
              <w:rPr>
                <w:rFonts w:ascii="宋体" w:eastAsia="宋体" w:hAnsi="宋体" w:hint="eastAsia"/>
                <w:color w:val="000000"/>
                <w:sz w:val="22"/>
              </w:rPr>
              <w:t>富国成长动力混合型证券投资基金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010409</w:t>
            </w:r>
          </w:p>
        </w:tc>
        <w:tc>
          <w:tcPr>
            <w:tcW w:w="6281" w:type="dxa"/>
            <w:tcBorders>
              <w:top w:val="single" w:sz="4" w:space="0" w:color="auto"/>
              <w:left w:val="nil"/>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富国消费精选</w:t>
            </w:r>
            <w:r>
              <w:rPr>
                <w:rFonts w:ascii="宋体" w:eastAsia="宋体" w:hAnsi="宋体" w:hint="eastAsia"/>
                <w:color w:val="000000"/>
                <w:sz w:val="22"/>
              </w:rPr>
              <w:t>30</w:t>
            </w:r>
            <w:r>
              <w:rPr>
                <w:rFonts w:ascii="宋体" w:eastAsia="宋体" w:hAnsi="宋体" w:hint="eastAsia"/>
                <w:color w:val="000000"/>
                <w:sz w:val="22"/>
              </w:rPr>
              <w:t>股票型证券投资基金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010435</w:t>
            </w:r>
          </w:p>
        </w:tc>
        <w:tc>
          <w:tcPr>
            <w:tcW w:w="6281" w:type="dxa"/>
            <w:tcBorders>
              <w:top w:val="nil"/>
              <w:left w:val="nil"/>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富国双债增强债券型证券投资基金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010549</w:t>
            </w:r>
          </w:p>
        </w:tc>
        <w:tc>
          <w:tcPr>
            <w:tcW w:w="6281" w:type="dxa"/>
            <w:tcBorders>
              <w:top w:val="nil"/>
              <w:left w:val="nil"/>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富国均衡策略混合型证券投资基金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159825</w:t>
            </w:r>
          </w:p>
        </w:tc>
        <w:tc>
          <w:tcPr>
            <w:tcW w:w="6281" w:type="dxa"/>
            <w:tcBorders>
              <w:top w:val="nil"/>
              <w:left w:val="nil"/>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富国中证农业主题交易型开放式指数证券投资基金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010515</w:t>
            </w:r>
          </w:p>
        </w:tc>
        <w:tc>
          <w:tcPr>
            <w:tcW w:w="6281" w:type="dxa"/>
            <w:tcBorders>
              <w:top w:val="nil"/>
              <w:left w:val="nil"/>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富国天兴回报混合型证券投资基金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010859</w:t>
            </w:r>
          </w:p>
        </w:tc>
        <w:tc>
          <w:tcPr>
            <w:tcW w:w="6281" w:type="dxa"/>
            <w:tcBorders>
              <w:top w:val="nil"/>
              <w:left w:val="nil"/>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富国中债</w:t>
            </w:r>
            <w:r>
              <w:rPr>
                <w:rFonts w:ascii="宋体" w:eastAsia="宋体" w:hAnsi="宋体" w:hint="eastAsia"/>
                <w:color w:val="000000"/>
                <w:sz w:val="22"/>
              </w:rPr>
              <w:t>0-2</w:t>
            </w:r>
            <w:r>
              <w:rPr>
                <w:rFonts w:ascii="宋体" w:eastAsia="宋体" w:hAnsi="宋体" w:hint="eastAsia"/>
                <w:color w:val="000000"/>
                <w:sz w:val="22"/>
              </w:rPr>
              <w:t>年国开行债券指数证券投资基金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010644</w:t>
            </w:r>
          </w:p>
        </w:tc>
        <w:tc>
          <w:tcPr>
            <w:tcW w:w="6281" w:type="dxa"/>
            <w:tcBorders>
              <w:top w:val="nil"/>
              <w:left w:val="nil"/>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富国全球健康生活主题混合型证券投资基金（</w:t>
            </w:r>
            <w:r>
              <w:rPr>
                <w:rFonts w:ascii="宋体" w:eastAsia="宋体" w:hAnsi="宋体" w:hint="eastAsia"/>
                <w:color w:val="000000"/>
                <w:sz w:val="22"/>
              </w:rPr>
              <w:t>QDII</w:t>
            </w:r>
            <w:r>
              <w:rPr>
                <w:rFonts w:ascii="宋体" w:eastAsia="宋体" w:hAnsi="宋体" w:hint="eastAsia"/>
                <w:color w:val="000000"/>
                <w:sz w:val="22"/>
              </w:rPr>
              <w:t>）</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515250</w:t>
            </w:r>
          </w:p>
        </w:tc>
        <w:tc>
          <w:tcPr>
            <w:tcW w:w="6281" w:type="dxa"/>
            <w:tcBorders>
              <w:top w:val="nil"/>
              <w:left w:val="nil"/>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富国中证智能汽车主题交易型开放式指数证券投资基金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010662</w:t>
            </w:r>
          </w:p>
        </w:tc>
        <w:tc>
          <w:tcPr>
            <w:tcW w:w="6281" w:type="dxa"/>
            <w:tcBorders>
              <w:top w:val="nil"/>
              <w:left w:val="nil"/>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富国均衡优选混合型证券投资基金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515400</w:t>
            </w:r>
          </w:p>
        </w:tc>
        <w:tc>
          <w:tcPr>
            <w:tcW w:w="6281" w:type="dxa"/>
            <w:tcBorders>
              <w:top w:val="nil"/>
              <w:left w:val="nil"/>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富国中证大数据产业交易型开放式指数证券投资基金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011099</w:t>
            </w:r>
          </w:p>
        </w:tc>
        <w:tc>
          <w:tcPr>
            <w:tcW w:w="6281" w:type="dxa"/>
            <w:tcBorders>
              <w:top w:val="nil"/>
              <w:left w:val="nil"/>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富国价值创造混合型证券投资基金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010966</w:t>
            </w:r>
          </w:p>
        </w:tc>
        <w:tc>
          <w:tcPr>
            <w:tcW w:w="6281" w:type="dxa"/>
            <w:tcBorders>
              <w:top w:val="nil"/>
              <w:left w:val="nil"/>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富国成长领航混合型证券投资基金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010400</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富国融泰三个月定期开放混合型发起式证券投资基金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517100</w:t>
            </w:r>
          </w:p>
        </w:tc>
        <w:tc>
          <w:tcPr>
            <w:tcW w:w="6281"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富国中证沪港深</w:t>
            </w:r>
            <w:r>
              <w:rPr>
                <w:rFonts w:ascii="宋体" w:eastAsia="宋体" w:hAnsi="宋体" w:hint="eastAsia"/>
                <w:color w:val="000000"/>
                <w:sz w:val="22"/>
              </w:rPr>
              <w:t>500</w:t>
            </w:r>
            <w:r>
              <w:rPr>
                <w:rFonts w:ascii="宋体" w:eastAsia="宋体" w:hAnsi="宋体" w:hint="eastAsia"/>
                <w:color w:val="000000"/>
                <w:sz w:val="22"/>
              </w:rPr>
              <w:t>交易型开放式指数证券投资基金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011212</w:t>
            </w:r>
          </w:p>
        </w:tc>
        <w:tc>
          <w:tcPr>
            <w:tcW w:w="6281"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富国稳健策略</w:t>
            </w:r>
            <w:r>
              <w:rPr>
                <w:rFonts w:ascii="宋体" w:eastAsia="宋体" w:hAnsi="宋体" w:hint="eastAsia"/>
                <w:color w:val="000000"/>
                <w:sz w:val="22"/>
              </w:rPr>
              <w:t>6</w:t>
            </w:r>
            <w:r>
              <w:rPr>
                <w:rFonts w:ascii="宋体" w:eastAsia="宋体" w:hAnsi="宋体" w:hint="eastAsia"/>
                <w:color w:val="000000"/>
                <w:sz w:val="22"/>
              </w:rPr>
              <w:t>个月持有期混合型证券投资基金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516120</w:t>
            </w:r>
          </w:p>
        </w:tc>
        <w:tc>
          <w:tcPr>
            <w:tcW w:w="6281"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富国中证细分化工产业主题交易型开放式指数证券投资基金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011164</w:t>
            </w:r>
          </w:p>
        </w:tc>
        <w:tc>
          <w:tcPr>
            <w:tcW w:w="6281"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富国兴远优选</w:t>
            </w:r>
            <w:r>
              <w:rPr>
                <w:rFonts w:ascii="宋体" w:eastAsia="宋体" w:hAnsi="宋体" w:hint="eastAsia"/>
                <w:color w:val="000000"/>
                <w:sz w:val="22"/>
              </w:rPr>
              <w:t>12</w:t>
            </w:r>
            <w:r>
              <w:rPr>
                <w:rFonts w:ascii="宋体" w:eastAsia="宋体" w:hAnsi="宋体" w:hint="eastAsia"/>
                <w:color w:val="000000"/>
                <w:sz w:val="22"/>
              </w:rPr>
              <w:t>个月持有期混合型证券投资基金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010843</w:t>
            </w:r>
          </w:p>
        </w:tc>
        <w:tc>
          <w:tcPr>
            <w:tcW w:w="6281"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富国天润回报混合型证券投资基金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011046</w:t>
            </w:r>
          </w:p>
        </w:tc>
        <w:tc>
          <w:tcPr>
            <w:tcW w:w="6281"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富国优质企业混合型证券投资基金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011160</w:t>
            </w:r>
          </w:p>
        </w:tc>
        <w:tc>
          <w:tcPr>
            <w:tcW w:w="6281"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富国质量成长</w:t>
            </w:r>
            <w:r>
              <w:rPr>
                <w:rFonts w:ascii="宋体" w:eastAsia="宋体" w:hAnsi="宋体" w:hint="eastAsia"/>
                <w:color w:val="000000"/>
                <w:sz w:val="22"/>
              </w:rPr>
              <w:t>6</w:t>
            </w:r>
            <w:r>
              <w:rPr>
                <w:rFonts w:ascii="宋体" w:eastAsia="宋体" w:hAnsi="宋体" w:hint="eastAsia"/>
                <w:color w:val="000000"/>
                <w:sz w:val="22"/>
              </w:rPr>
              <w:t>个月持有期混合型证券投资基金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159886</w:t>
            </w:r>
          </w:p>
        </w:tc>
        <w:tc>
          <w:tcPr>
            <w:tcW w:w="6281"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富国中证细分机械设备产业主题交易型开放式指数证券投资基金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011999</w:t>
            </w:r>
          </w:p>
        </w:tc>
        <w:tc>
          <w:tcPr>
            <w:tcW w:w="6281"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富国安泰</w:t>
            </w:r>
            <w:r>
              <w:rPr>
                <w:rFonts w:ascii="宋体" w:eastAsia="宋体" w:hAnsi="宋体" w:hint="eastAsia"/>
                <w:color w:val="000000"/>
                <w:sz w:val="22"/>
              </w:rPr>
              <w:t>90</w:t>
            </w:r>
            <w:r>
              <w:rPr>
                <w:rFonts w:ascii="宋体" w:eastAsia="宋体" w:hAnsi="宋体" w:hint="eastAsia"/>
                <w:color w:val="000000"/>
                <w:sz w:val="22"/>
              </w:rPr>
              <w:t>天滚动持有短债债券型证券投资基金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010624</w:t>
            </w:r>
          </w:p>
        </w:tc>
        <w:tc>
          <w:tcPr>
            <w:tcW w:w="6281"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富国稳健增长混合型证券投资基金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011769</w:t>
            </w:r>
          </w:p>
        </w:tc>
        <w:tc>
          <w:tcPr>
            <w:tcW w:w="6281"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富国精诚回报</w:t>
            </w:r>
            <w:r>
              <w:rPr>
                <w:rFonts w:ascii="宋体" w:eastAsia="宋体" w:hAnsi="宋体" w:hint="eastAsia"/>
                <w:color w:val="000000"/>
                <w:sz w:val="22"/>
              </w:rPr>
              <w:t>12</w:t>
            </w:r>
            <w:r>
              <w:rPr>
                <w:rFonts w:ascii="宋体" w:eastAsia="宋体" w:hAnsi="宋体" w:hint="eastAsia"/>
                <w:color w:val="000000"/>
                <w:sz w:val="22"/>
              </w:rPr>
              <w:t>个月持有期混合型证券投资基金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159887</w:t>
            </w:r>
          </w:p>
        </w:tc>
        <w:tc>
          <w:tcPr>
            <w:tcW w:w="6281" w:type="dxa"/>
            <w:tcBorders>
              <w:top w:val="single" w:sz="4" w:space="0" w:color="auto"/>
              <w:left w:val="nil"/>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富国中证</w:t>
            </w:r>
            <w:r>
              <w:rPr>
                <w:rFonts w:ascii="宋体" w:eastAsia="宋体" w:hAnsi="宋体" w:hint="eastAsia"/>
                <w:color w:val="000000"/>
                <w:sz w:val="22"/>
              </w:rPr>
              <w:t>800</w:t>
            </w:r>
            <w:r>
              <w:rPr>
                <w:rFonts w:ascii="宋体" w:eastAsia="宋体" w:hAnsi="宋体" w:hint="eastAsia"/>
                <w:color w:val="000000"/>
                <w:sz w:val="22"/>
              </w:rPr>
              <w:t>银行交易型开放式指数证券投资基金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011635</w:t>
            </w:r>
          </w:p>
        </w:tc>
        <w:tc>
          <w:tcPr>
            <w:tcW w:w="6281" w:type="dxa"/>
            <w:tcBorders>
              <w:top w:val="nil"/>
              <w:left w:val="nil"/>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富国港股通策略精选混合型证券投资基金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011498</w:t>
            </w:r>
          </w:p>
        </w:tc>
        <w:tc>
          <w:tcPr>
            <w:tcW w:w="6281" w:type="dxa"/>
            <w:tcBorders>
              <w:top w:val="nil"/>
              <w:left w:val="nil"/>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富国沪深</w:t>
            </w:r>
            <w:r>
              <w:rPr>
                <w:rFonts w:ascii="宋体" w:eastAsia="宋体" w:hAnsi="宋体" w:hint="eastAsia"/>
                <w:color w:val="000000"/>
                <w:sz w:val="22"/>
              </w:rPr>
              <w:t>300</w:t>
            </w:r>
            <w:r>
              <w:rPr>
                <w:rFonts w:ascii="宋体" w:eastAsia="宋体" w:hAnsi="宋体" w:hint="eastAsia"/>
                <w:color w:val="000000"/>
                <w:sz w:val="22"/>
              </w:rPr>
              <w:t>基本面精选股票型证券投资基金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516910</w:t>
            </w:r>
          </w:p>
        </w:tc>
        <w:tc>
          <w:tcPr>
            <w:tcW w:w="6281" w:type="dxa"/>
            <w:tcBorders>
              <w:top w:val="nil"/>
              <w:left w:val="nil"/>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富国中证现代物流交易型开放式指数证券投资基金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508006</w:t>
            </w:r>
          </w:p>
        </w:tc>
        <w:tc>
          <w:tcPr>
            <w:tcW w:w="6281" w:type="dxa"/>
            <w:tcBorders>
              <w:top w:val="nil"/>
              <w:left w:val="nil"/>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富国首创水务封闭式基础设施证券投资基金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012255</w:t>
            </w:r>
          </w:p>
        </w:tc>
        <w:tc>
          <w:tcPr>
            <w:tcW w:w="6281" w:type="dxa"/>
            <w:tcBorders>
              <w:top w:val="nil"/>
              <w:left w:val="nil"/>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富国高质量混合型证券投资基金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012010</w:t>
            </w:r>
          </w:p>
        </w:tc>
        <w:tc>
          <w:tcPr>
            <w:tcW w:w="6281" w:type="dxa"/>
            <w:tcBorders>
              <w:top w:val="nil"/>
              <w:left w:val="nil"/>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富国泰享回报</w:t>
            </w:r>
            <w:r>
              <w:rPr>
                <w:rFonts w:ascii="宋体" w:eastAsia="宋体" w:hAnsi="宋体" w:hint="eastAsia"/>
                <w:color w:val="000000"/>
                <w:sz w:val="22"/>
              </w:rPr>
              <w:t>6</w:t>
            </w:r>
            <w:r>
              <w:rPr>
                <w:rFonts w:ascii="宋体" w:eastAsia="宋体" w:hAnsi="宋体" w:hint="eastAsia"/>
                <w:color w:val="000000"/>
                <w:sz w:val="22"/>
              </w:rPr>
              <w:t>个月持有期混合型证券投资基金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516830</w:t>
            </w:r>
          </w:p>
        </w:tc>
        <w:tc>
          <w:tcPr>
            <w:tcW w:w="6281" w:type="dxa"/>
            <w:tcBorders>
              <w:top w:val="nil"/>
              <w:left w:val="nil"/>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富国沪深</w:t>
            </w:r>
            <w:r>
              <w:rPr>
                <w:rFonts w:ascii="宋体" w:eastAsia="宋体" w:hAnsi="宋体" w:hint="eastAsia"/>
                <w:color w:val="000000"/>
                <w:sz w:val="22"/>
              </w:rPr>
              <w:t>300ESG</w:t>
            </w:r>
            <w:r>
              <w:rPr>
                <w:rFonts w:ascii="宋体" w:eastAsia="宋体" w:hAnsi="宋体" w:hint="eastAsia"/>
                <w:color w:val="000000"/>
                <w:sz w:val="22"/>
              </w:rPr>
              <w:t>基准交易型开放式指数证券投资基金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588380</w:t>
            </w:r>
          </w:p>
        </w:tc>
        <w:tc>
          <w:tcPr>
            <w:tcW w:w="6281" w:type="dxa"/>
            <w:tcBorders>
              <w:top w:val="nil"/>
              <w:left w:val="nil"/>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富国中证科创创业</w:t>
            </w:r>
            <w:r>
              <w:rPr>
                <w:rFonts w:ascii="宋体" w:eastAsia="宋体" w:hAnsi="宋体" w:hint="eastAsia"/>
                <w:color w:val="000000"/>
                <w:sz w:val="22"/>
              </w:rPr>
              <w:t>50</w:t>
            </w:r>
            <w:r>
              <w:rPr>
                <w:rFonts w:ascii="宋体" w:eastAsia="宋体" w:hAnsi="宋体" w:hint="eastAsia"/>
                <w:color w:val="000000"/>
                <w:sz w:val="22"/>
              </w:rPr>
              <w:t>交易型开放式指数证券投资基金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011037</w:t>
            </w:r>
          </w:p>
        </w:tc>
        <w:tc>
          <w:tcPr>
            <w:tcW w:w="6281" w:type="dxa"/>
            <w:tcBorders>
              <w:top w:val="nil"/>
              <w:left w:val="nil"/>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富国长期成长混合型证券投资基金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012273</w:t>
            </w:r>
          </w:p>
        </w:tc>
        <w:tc>
          <w:tcPr>
            <w:tcW w:w="6281" w:type="dxa"/>
            <w:tcBorders>
              <w:top w:val="nil"/>
              <w:left w:val="nil"/>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富国汇鑫金融债三个月定期开放债券型证券投资基金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012275</w:t>
            </w:r>
          </w:p>
        </w:tc>
        <w:tc>
          <w:tcPr>
            <w:tcW w:w="6281" w:type="dxa"/>
            <w:tcBorders>
              <w:top w:val="nil"/>
              <w:left w:val="nil"/>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富国中证沪港深</w:t>
            </w:r>
            <w:r>
              <w:rPr>
                <w:rFonts w:ascii="宋体" w:eastAsia="宋体" w:hAnsi="宋体" w:hint="eastAsia"/>
                <w:color w:val="000000"/>
                <w:sz w:val="22"/>
              </w:rPr>
              <w:t>500</w:t>
            </w:r>
            <w:r>
              <w:rPr>
                <w:rFonts w:ascii="宋体" w:eastAsia="宋体" w:hAnsi="宋体" w:hint="eastAsia"/>
                <w:color w:val="000000"/>
                <w:sz w:val="22"/>
              </w:rPr>
              <w:t>交易型开放式指数证券投资基金联接基金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159766</w:t>
            </w:r>
          </w:p>
        </w:tc>
        <w:tc>
          <w:tcPr>
            <w:tcW w:w="6281" w:type="dxa"/>
            <w:tcBorders>
              <w:top w:val="nil"/>
              <w:left w:val="nil"/>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富国中证旅游主题交易型开放式指数证券投资基金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012828</w:t>
            </w:r>
          </w:p>
        </w:tc>
        <w:tc>
          <w:tcPr>
            <w:tcW w:w="6281" w:type="dxa"/>
            <w:tcBorders>
              <w:top w:val="nil"/>
              <w:left w:val="nil"/>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富国浦诚回报</w:t>
            </w:r>
            <w:r>
              <w:rPr>
                <w:rFonts w:ascii="宋体" w:eastAsia="宋体" w:hAnsi="宋体" w:hint="eastAsia"/>
                <w:color w:val="000000"/>
                <w:sz w:val="22"/>
              </w:rPr>
              <w:t>12</w:t>
            </w:r>
            <w:r>
              <w:rPr>
                <w:rFonts w:ascii="宋体" w:eastAsia="宋体" w:hAnsi="宋体" w:hint="eastAsia"/>
                <w:color w:val="000000"/>
                <w:sz w:val="22"/>
              </w:rPr>
              <w:t>个月持有期混合型证券投资基金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012270</w:t>
            </w:r>
          </w:p>
        </w:tc>
        <w:tc>
          <w:tcPr>
            <w:tcW w:w="6281" w:type="dxa"/>
            <w:tcBorders>
              <w:top w:val="nil"/>
              <w:left w:val="nil"/>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富国腾享回报</w:t>
            </w:r>
            <w:r>
              <w:rPr>
                <w:rFonts w:ascii="宋体" w:eastAsia="宋体" w:hAnsi="宋体" w:hint="eastAsia"/>
                <w:color w:val="000000"/>
                <w:sz w:val="22"/>
              </w:rPr>
              <w:t>6</w:t>
            </w:r>
            <w:r>
              <w:rPr>
                <w:rFonts w:ascii="宋体" w:eastAsia="宋体" w:hAnsi="宋体" w:hint="eastAsia"/>
                <w:color w:val="000000"/>
                <w:sz w:val="22"/>
              </w:rPr>
              <w:t>个月滚动持有混合型发起式证券投资基金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012060</w:t>
            </w:r>
          </w:p>
        </w:tc>
        <w:tc>
          <w:tcPr>
            <w:tcW w:w="6281" w:type="dxa"/>
            <w:tcBorders>
              <w:top w:val="nil"/>
              <w:left w:val="nil"/>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富国全球消费精选混合型证券投资基金（</w:t>
            </w:r>
            <w:r>
              <w:rPr>
                <w:rFonts w:ascii="宋体" w:eastAsia="宋体" w:hAnsi="宋体" w:hint="eastAsia"/>
                <w:color w:val="000000"/>
                <w:sz w:val="22"/>
              </w:rPr>
              <w:t>QDII</w:t>
            </w:r>
            <w:r>
              <w:rPr>
                <w:rFonts w:ascii="宋体" w:eastAsia="宋体" w:hAnsi="宋体" w:hint="eastAsia"/>
                <w:color w:val="000000"/>
                <w:sz w:val="22"/>
              </w:rPr>
              <w:t>）</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159713</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富国中证稀土产业交易型开放式指数证券投资基金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516640</w:t>
            </w:r>
          </w:p>
        </w:tc>
        <w:tc>
          <w:tcPr>
            <w:tcW w:w="6281"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富国中证芯片产业交易型开放式指数证券投资基金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012576</w:t>
            </w:r>
          </w:p>
        </w:tc>
        <w:tc>
          <w:tcPr>
            <w:tcW w:w="6281"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富国诚益回报</w:t>
            </w:r>
            <w:r>
              <w:rPr>
                <w:rFonts w:ascii="宋体" w:eastAsia="宋体" w:hAnsi="宋体" w:hint="eastAsia"/>
                <w:color w:val="000000"/>
                <w:sz w:val="22"/>
              </w:rPr>
              <w:t>12</w:t>
            </w:r>
            <w:r>
              <w:rPr>
                <w:rFonts w:ascii="宋体" w:eastAsia="宋体" w:hAnsi="宋体" w:hint="eastAsia"/>
                <w:color w:val="000000"/>
                <w:sz w:val="22"/>
              </w:rPr>
              <w:t>个月持有期混合型证券投资基金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013313</w:t>
            </w:r>
          </w:p>
        </w:tc>
        <w:tc>
          <w:tcPr>
            <w:tcW w:w="6281"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富国中证科创创业</w:t>
            </w:r>
            <w:r>
              <w:rPr>
                <w:rFonts w:ascii="宋体" w:eastAsia="宋体" w:hAnsi="宋体" w:hint="eastAsia"/>
                <w:color w:val="000000"/>
                <w:sz w:val="22"/>
              </w:rPr>
              <w:t>50</w:t>
            </w:r>
            <w:r>
              <w:rPr>
                <w:rFonts w:ascii="宋体" w:eastAsia="宋体" w:hAnsi="宋体" w:hint="eastAsia"/>
                <w:color w:val="000000"/>
                <w:sz w:val="22"/>
              </w:rPr>
              <w:t>交易型开放式指数证券投资基金联接基金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012477</w:t>
            </w:r>
          </w:p>
        </w:tc>
        <w:tc>
          <w:tcPr>
            <w:tcW w:w="6281"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富国匠心精选</w:t>
            </w:r>
            <w:r>
              <w:rPr>
                <w:rFonts w:ascii="宋体" w:eastAsia="宋体" w:hAnsi="宋体" w:hint="eastAsia"/>
                <w:color w:val="000000"/>
                <w:sz w:val="22"/>
              </w:rPr>
              <w:t>12</w:t>
            </w:r>
            <w:r>
              <w:rPr>
                <w:rFonts w:ascii="宋体" w:eastAsia="宋体" w:hAnsi="宋体" w:hint="eastAsia"/>
                <w:color w:val="000000"/>
                <w:sz w:val="22"/>
              </w:rPr>
              <w:t>个月持有期混合型证券投资基金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012373</w:t>
            </w:r>
          </w:p>
        </w:tc>
        <w:tc>
          <w:tcPr>
            <w:tcW w:w="6281"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富国稳健恒盛</w:t>
            </w:r>
            <w:r>
              <w:rPr>
                <w:rFonts w:ascii="宋体" w:eastAsia="宋体" w:hAnsi="宋体" w:hint="eastAsia"/>
                <w:color w:val="000000"/>
                <w:sz w:val="22"/>
              </w:rPr>
              <w:t>12</w:t>
            </w:r>
            <w:r>
              <w:rPr>
                <w:rFonts w:ascii="宋体" w:eastAsia="宋体" w:hAnsi="宋体" w:hint="eastAsia"/>
                <w:color w:val="000000"/>
                <w:sz w:val="22"/>
              </w:rPr>
              <w:t>个月持有期混合型证券投资基金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159792</w:t>
            </w:r>
          </w:p>
        </w:tc>
        <w:tc>
          <w:tcPr>
            <w:tcW w:w="6281"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富国中证港股通互联网交易型开放式指数证券投资基金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011921</w:t>
            </w:r>
          </w:p>
        </w:tc>
        <w:tc>
          <w:tcPr>
            <w:tcW w:w="6281"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富国均衡成长三年持有期混合型证券投资基金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561130</w:t>
            </w:r>
          </w:p>
        </w:tc>
        <w:tc>
          <w:tcPr>
            <w:tcW w:w="6281"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富国中证新华社民族品牌工程交易型开放式指数证券投资基金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012638</w:t>
            </w:r>
          </w:p>
        </w:tc>
        <w:tc>
          <w:tcPr>
            <w:tcW w:w="6281"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富国智优精选</w:t>
            </w:r>
            <w:r>
              <w:rPr>
                <w:rFonts w:ascii="宋体" w:eastAsia="宋体" w:hAnsi="宋体" w:hint="eastAsia"/>
                <w:color w:val="000000"/>
                <w:sz w:val="22"/>
              </w:rPr>
              <w:t>3</w:t>
            </w:r>
            <w:r>
              <w:rPr>
                <w:rFonts w:ascii="宋体" w:eastAsia="宋体" w:hAnsi="宋体" w:hint="eastAsia"/>
                <w:color w:val="000000"/>
                <w:sz w:val="22"/>
              </w:rPr>
              <w:t>个月持有期混合型基金中基金（</w:t>
            </w:r>
            <w:r>
              <w:rPr>
                <w:rFonts w:ascii="宋体" w:eastAsia="宋体" w:hAnsi="宋体" w:hint="eastAsia"/>
                <w:color w:val="000000"/>
                <w:sz w:val="22"/>
              </w:rPr>
              <w:t>FOF</w:t>
            </w:r>
            <w:r>
              <w:rPr>
                <w:rFonts w:ascii="宋体" w:eastAsia="宋体" w:hAnsi="宋体" w:hint="eastAsia"/>
                <w:color w:val="000000"/>
                <w:sz w:val="22"/>
              </w:rPr>
              <w:t>）</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013143</w:t>
            </w:r>
          </w:p>
        </w:tc>
        <w:tc>
          <w:tcPr>
            <w:tcW w:w="6281"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富国安诚回报</w:t>
            </w:r>
            <w:r>
              <w:rPr>
                <w:rFonts w:ascii="宋体" w:eastAsia="宋体" w:hAnsi="宋体" w:hint="eastAsia"/>
                <w:color w:val="000000"/>
                <w:sz w:val="22"/>
              </w:rPr>
              <w:t>12</w:t>
            </w:r>
            <w:r>
              <w:rPr>
                <w:rFonts w:ascii="宋体" w:eastAsia="宋体" w:hAnsi="宋体" w:hint="eastAsia"/>
                <w:color w:val="000000"/>
                <w:sz w:val="22"/>
              </w:rPr>
              <w:t>个月持有期混合型证券投资基金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012746</w:t>
            </w:r>
          </w:p>
        </w:tc>
        <w:tc>
          <w:tcPr>
            <w:tcW w:w="6281"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富国双利增强债券型证券投资基金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013678</w:t>
            </w:r>
          </w:p>
        </w:tc>
        <w:tc>
          <w:tcPr>
            <w:tcW w:w="6281"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富国信享回报</w:t>
            </w:r>
            <w:r>
              <w:rPr>
                <w:rFonts w:ascii="宋体" w:eastAsia="宋体" w:hAnsi="宋体" w:hint="eastAsia"/>
                <w:color w:val="000000"/>
                <w:sz w:val="22"/>
              </w:rPr>
              <w:t>12</w:t>
            </w:r>
            <w:r>
              <w:rPr>
                <w:rFonts w:ascii="宋体" w:eastAsia="宋体" w:hAnsi="宋体" w:hint="eastAsia"/>
                <w:color w:val="000000"/>
                <w:sz w:val="22"/>
              </w:rPr>
              <w:t>个月持有期混合型证券投资基金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516750</w:t>
            </w:r>
          </w:p>
        </w:tc>
        <w:tc>
          <w:tcPr>
            <w:tcW w:w="6281"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富国中证全指建筑材料交易型开放式指数证券投资基金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012147</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富国大盘核心资产混合型证券投资基金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011641</w:t>
            </w:r>
          </w:p>
        </w:tc>
        <w:tc>
          <w:tcPr>
            <w:tcW w:w="6281"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富国达利纯债一年定期开放债券型发起式证券投资基金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012823</w:t>
            </w:r>
          </w:p>
        </w:tc>
        <w:tc>
          <w:tcPr>
            <w:tcW w:w="6281"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富国安利</w:t>
            </w:r>
            <w:r>
              <w:rPr>
                <w:rFonts w:ascii="宋体" w:eastAsia="宋体" w:hAnsi="宋体" w:hint="eastAsia"/>
                <w:color w:val="000000"/>
                <w:sz w:val="22"/>
              </w:rPr>
              <w:t>90</w:t>
            </w:r>
            <w:r>
              <w:rPr>
                <w:rFonts w:ascii="宋体" w:eastAsia="宋体" w:hAnsi="宋体" w:hint="eastAsia"/>
                <w:color w:val="000000"/>
                <w:sz w:val="22"/>
              </w:rPr>
              <w:t>天滚动持有债券型证券投资基金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013524</w:t>
            </w:r>
          </w:p>
        </w:tc>
        <w:tc>
          <w:tcPr>
            <w:tcW w:w="6281"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富国悦享回报</w:t>
            </w:r>
            <w:r>
              <w:rPr>
                <w:rFonts w:ascii="宋体" w:eastAsia="宋体" w:hAnsi="宋体" w:hint="eastAsia"/>
                <w:color w:val="000000"/>
                <w:sz w:val="22"/>
              </w:rPr>
              <w:t>12</w:t>
            </w:r>
            <w:r>
              <w:rPr>
                <w:rFonts w:ascii="宋体" w:eastAsia="宋体" w:hAnsi="宋体" w:hint="eastAsia"/>
                <w:color w:val="000000"/>
                <w:sz w:val="22"/>
              </w:rPr>
              <w:t>个月持有期混合型证券投资基金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013663</w:t>
            </w:r>
          </w:p>
        </w:tc>
        <w:tc>
          <w:tcPr>
            <w:tcW w:w="6281"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富国安福</w:t>
            </w:r>
            <w:r>
              <w:rPr>
                <w:rFonts w:ascii="宋体" w:eastAsia="宋体" w:hAnsi="宋体" w:hint="eastAsia"/>
                <w:color w:val="000000"/>
                <w:sz w:val="22"/>
              </w:rPr>
              <w:t>30</w:t>
            </w:r>
            <w:r>
              <w:rPr>
                <w:rFonts w:ascii="宋体" w:eastAsia="宋体" w:hAnsi="宋体" w:hint="eastAsia"/>
                <w:color w:val="000000"/>
                <w:sz w:val="22"/>
              </w:rPr>
              <w:t>天滚动持有短债债券型发起式证券投资基金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159748</w:t>
            </w:r>
          </w:p>
        </w:tc>
        <w:tc>
          <w:tcPr>
            <w:tcW w:w="6281"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富国中证沪港深创新药产业交易型开放式指数证券投资基金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013793</w:t>
            </w:r>
          </w:p>
        </w:tc>
        <w:tc>
          <w:tcPr>
            <w:tcW w:w="6281"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富国智浦精选</w:t>
            </w:r>
            <w:r>
              <w:rPr>
                <w:rFonts w:ascii="宋体" w:eastAsia="宋体" w:hAnsi="宋体" w:hint="eastAsia"/>
                <w:color w:val="000000"/>
                <w:sz w:val="22"/>
              </w:rPr>
              <w:t>12</w:t>
            </w:r>
            <w:r>
              <w:rPr>
                <w:rFonts w:ascii="宋体" w:eastAsia="宋体" w:hAnsi="宋体" w:hint="eastAsia"/>
                <w:color w:val="000000"/>
                <w:sz w:val="22"/>
              </w:rPr>
              <w:t>个月持有期混合型基金中基金（</w:t>
            </w:r>
            <w:r>
              <w:rPr>
                <w:rFonts w:ascii="宋体" w:eastAsia="宋体" w:hAnsi="宋体" w:hint="eastAsia"/>
                <w:color w:val="000000"/>
                <w:sz w:val="22"/>
              </w:rPr>
              <w:t>FOF</w:t>
            </w:r>
            <w:r>
              <w:rPr>
                <w:rFonts w:ascii="宋体" w:eastAsia="宋体" w:hAnsi="宋体" w:hint="eastAsia"/>
                <w:color w:val="000000"/>
                <w:sz w:val="22"/>
              </w:rPr>
              <w:t>）</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014057</w:t>
            </w:r>
          </w:p>
        </w:tc>
        <w:tc>
          <w:tcPr>
            <w:tcW w:w="6281"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富国金安均衡精选混合型证券投资基金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014427</w:t>
            </w:r>
          </w:p>
        </w:tc>
        <w:tc>
          <w:tcPr>
            <w:tcW w:w="6281"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富国中证同业存单</w:t>
            </w:r>
            <w:r>
              <w:rPr>
                <w:rFonts w:ascii="宋体" w:eastAsia="宋体" w:hAnsi="宋体" w:hint="eastAsia"/>
                <w:color w:val="000000"/>
                <w:sz w:val="22"/>
              </w:rPr>
              <w:t>AAA</w:t>
            </w:r>
            <w:r>
              <w:rPr>
                <w:rFonts w:ascii="宋体" w:eastAsia="宋体" w:hAnsi="宋体" w:hint="eastAsia"/>
                <w:color w:val="000000"/>
                <w:sz w:val="22"/>
              </w:rPr>
              <w:t>指数</w:t>
            </w:r>
            <w:r>
              <w:rPr>
                <w:rFonts w:ascii="宋体" w:eastAsia="宋体" w:hAnsi="宋体" w:hint="eastAsia"/>
                <w:color w:val="000000"/>
                <w:sz w:val="22"/>
              </w:rPr>
              <w:t>7</w:t>
            </w:r>
            <w:r>
              <w:rPr>
                <w:rFonts w:ascii="宋体" w:eastAsia="宋体" w:hAnsi="宋体" w:hint="eastAsia"/>
                <w:color w:val="000000"/>
                <w:sz w:val="22"/>
              </w:rPr>
              <w:t>天持有期证券投资基金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center"/>
              <w:rPr>
                <w:rFonts w:ascii="宋体" w:eastAsia="宋体" w:hAnsi="宋体"/>
                <w:color w:val="000000"/>
                <w:sz w:val="22"/>
              </w:rPr>
            </w:pPr>
            <w:r>
              <w:rPr>
                <w:rFonts w:ascii="宋体" w:eastAsia="宋体" w:hAnsi="宋体"/>
                <w:color w:val="000000"/>
                <w:sz w:val="22"/>
              </w:rPr>
              <w:t>013420</w:t>
            </w:r>
          </w:p>
        </w:tc>
        <w:tc>
          <w:tcPr>
            <w:tcW w:w="6281"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left"/>
              <w:rPr>
                <w:rFonts w:ascii="宋体" w:eastAsia="宋体" w:hAnsi="宋体"/>
                <w:color w:val="000000"/>
                <w:sz w:val="22"/>
                <w:highlight w:val="yellow"/>
              </w:rPr>
            </w:pPr>
            <w:r>
              <w:rPr>
                <w:rFonts w:ascii="宋体" w:eastAsia="宋体" w:hAnsi="宋体" w:hint="eastAsia"/>
                <w:color w:val="000000"/>
                <w:sz w:val="22"/>
              </w:rPr>
              <w:t>富国鑫汇养老目标日期</w:t>
            </w:r>
            <w:r>
              <w:rPr>
                <w:rFonts w:ascii="宋体" w:eastAsia="宋体" w:hAnsi="宋体" w:hint="eastAsia"/>
                <w:color w:val="000000"/>
                <w:sz w:val="22"/>
              </w:rPr>
              <w:t>2045</w:t>
            </w:r>
            <w:r>
              <w:rPr>
                <w:rFonts w:ascii="宋体" w:eastAsia="宋体" w:hAnsi="宋体" w:hint="eastAsia"/>
                <w:color w:val="000000"/>
                <w:sz w:val="22"/>
              </w:rPr>
              <w:t>五年持有期混合型发起式基金中基金（</w:t>
            </w:r>
            <w:r>
              <w:rPr>
                <w:rFonts w:ascii="宋体" w:eastAsia="宋体" w:hAnsi="宋体" w:hint="eastAsia"/>
                <w:color w:val="000000"/>
                <w:sz w:val="22"/>
              </w:rPr>
              <w:t>FOF</w:t>
            </w:r>
            <w:r>
              <w:rPr>
                <w:rFonts w:ascii="宋体" w:eastAsia="宋体" w:hAnsi="宋体" w:hint="eastAsia"/>
                <w:color w:val="000000"/>
                <w:sz w:val="22"/>
              </w:rPr>
              <w:t>）</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012578</w:t>
            </w:r>
          </w:p>
        </w:tc>
        <w:tc>
          <w:tcPr>
            <w:tcW w:w="6281"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富国红利混合型证券投资基金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012801</w:t>
            </w:r>
          </w:p>
        </w:tc>
        <w:tc>
          <w:tcPr>
            <w:tcW w:w="6281"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富国中证医药</w:t>
            </w:r>
            <w:r>
              <w:rPr>
                <w:rFonts w:ascii="宋体" w:eastAsia="宋体" w:hAnsi="宋体" w:hint="eastAsia"/>
                <w:color w:val="000000"/>
                <w:sz w:val="22"/>
              </w:rPr>
              <w:t>50</w:t>
            </w:r>
            <w:r>
              <w:rPr>
                <w:rFonts w:ascii="宋体" w:eastAsia="宋体" w:hAnsi="宋体" w:hint="eastAsia"/>
                <w:color w:val="000000"/>
                <w:sz w:val="22"/>
              </w:rPr>
              <w:t>交易型开放式指数证券投资基金联接基金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013795</w:t>
            </w:r>
          </w:p>
        </w:tc>
        <w:tc>
          <w:tcPr>
            <w:tcW w:w="6281"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富国智申精选</w:t>
            </w:r>
            <w:r>
              <w:rPr>
                <w:rFonts w:ascii="宋体" w:eastAsia="宋体" w:hAnsi="宋体" w:hint="eastAsia"/>
                <w:color w:val="000000"/>
                <w:sz w:val="22"/>
              </w:rPr>
              <w:t>3</w:t>
            </w:r>
            <w:r>
              <w:rPr>
                <w:rFonts w:ascii="宋体" w:eastAsia="宋体" w:hAnsi="宋体" w:hint="eastAsia"/>
                <w:color w:val="000000"/>
                <w:sz w:val="22"/>
              </w:rPr>
              <w:t>个月持有期混合型基金中基金（</w:t>
            </w:r>
            <w:r>
              <w:rPr>
                <w:rFonts w:ascii="宋体" w:eastAsia="宋体" w:hAnsi="宋体" w:hint="eastAsia"/>
                <w:color w:val="000000"/>
                <w:sz w:val="22"/>
              </w:rPr>
              <w:t>FOF</w:t>
            </w:r>
            <w:r>
              <w:rPr>
                <w:rFonts w:ascii="宋体" w:eastAsia="宋体" w:hAnsi="宋体" w:hint="eastAsia"/>
                <w:color w:val="000000"/>
                <w:sz w:val="22"/>
              </w:rPr>
              <w:t>）</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014663</w:t>
            </w:r>
          </w:p>
        </w:tc>
        <w:tc>
          <w:tcPr>
            <w:tcW w:w="6281"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富国创新发展两年定期开放混合型证券投资基金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014673</w:t>
            </w:r>
          </w:p>
        </w:tc>
        <w:tc>
          <w:tcPr>
            <w:tcW w:w="6281"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富国中证港股通互联网交易型开放式指数证券投资基金发起式联接基金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w:t>
            </w:r>
            <w:r>
              <w:rPr>
                <w:rFonts w:ascii="宋体" w:eastAsia="宋体" w:hAnsi="宋体"/>
                <w:color w:val="000000"/>
                <w:sz w:val="22"/>
              </w:rPr>
              <w:t>5231</w:t>
            </w:r>
          </w:p>
        </w:tc>
        <w:tc>
          <w:tcPr>
            <w:tcW w:w="6281"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left"/>
              <w:rPr>
                <w:rFonts w:ascii="宋体" w:eastAsia="宋体" w:hAnsi="宋体"/>
                <w:color w:val="000000"/>
                <w:sz w:val="22"/>
                <w:highlight w:val="yellow"/>
              </w:rPr>
            </w:pPr>
            <w:r>
              <w:rPr>
                <w:rFonts w:ascii="宋体" w:eastAsia="宋体" w:hAnsi="宋体" w:hint="eastAsia"/>
                <w:color w:val="000000"/>
                <w:sz w:val="22"/>
              </w:rPr>
              <w:t>富国智选稳进</w:t>
            </w:r>
            <w:r>
              <w:rPr>
                <w:rFonts w:ascii="宋体" w:eastAsia="宋体" w:hAnsi="宋体" w:hint="eastAsia"/>
                <w:color w:val="000000"/>
                <w:sz w:val="22"/>
              </w:rPr>
              <w:t>3</w:t>
            </w:r>
            <w:r>
              <w:rPr>
                <w:rFonts w:ascii="宋体" w:eastAsia="宋体" w:hAnsi="宋体" w:hint="eastAsia"/>
                <w:color w:val="000000"/>
                <w:sz w:val="22"/>
              </w:rPr>
              <w:t>个月持有期混合型基金中基金（</w:t>
            </w:r>
            <w:r>
              <w:rPr>
                <w:rFonts w:ascii="宋体" w:eastAsia="宋体" w:hAnsi="宋体" w:hint="eastAsia"/>
                <w:color w:val="000000"/>
                <w:sz w:val="22"/>
              </w:rPr>
              <w:t>FOF</w:t>
            </w:r>
            <w:r>
              <w:rPr>
                <w:rFonts w:ascii="宋体" w:eastAsia="宋体" w:hAnsi="宋体" w:hint="eastAsia"/>
                <w:color w:val="000000"/>
                <w:sz w:val="22"/>
              </w:rPr>
              <w:t>）</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014776</w:t>
            </w:r>
          </w:p>
        </w:tc>
        <w:tc>
          <w:tcPr>
            <w:tcW w:w="6281"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富国中证芯片产业交易型开放式指数证券投资基金发起式联接基金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561100</w:t>
            </w:r>
          </w:p>
        </w:tc>
        <w:tc>
          <w:tcPr>
            <w:tcW w:w="6281"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富国中证消费电子主题交易型开放式指数证券投资基金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011830</w:t>
            </w:r>
          </w:p>
        </w:tc>
        <w:tc>
          <w:tcPr>
            <w:tcW w:w="6281"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富国天恒混合型证券投资基金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561120</w:t>
            </w:r>
          </w:p>
        </w:tc>
        <w:tc>
          <w:tcPr>
            <w:tcW w:w="6281"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富国中证全指家用电器交易型开放式指数证券投资基金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014347</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富国趋势优先混合型证券投资基金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014611</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富国核心科技</w:t>
            </w:r>
            <w:r>
              <w:rPr>
                <w:rFonts w:ascii="宋体" w:eastAsia="宋体" w:hAnsi="宋体" w:hint="eastAsia"/>
                <w:color w:val="000000"/>
                <w:sz w:val="22"/>
              </w:rPr>
              <w:t>12</w:t>
            </w:r>
            <w:r>
              <w:rPr>
                <w:rFonts w:ascii="宋体" w:eastAsia="宋体" w:hAnsi="宋体" w:hint="eastAsia"/>
                <w:color w:val="000000"/>
                <w:sz w:val="22"/>
              </w:rPr>
              <w:t>个月持有期混合型证券投资基金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014718</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富国天旭均衡混合型证券投资基金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014406</w:t>
            </w:r>
          </w:p>
        </w:tc>
        <w:tc>
          <w:tcPr>
            <w:tcW w:w="6281"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富国中证新华社民族品牌工程交易型开放式指数证券投资基金联接基金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014794</w:t>
            </w:r>
          </w:p>
        </w:tc>
        <w:tc>
          <w:tcPr>
            <w:tcW w:w="6281"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富国远见优选混合型证券投资基金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014671</w:t>
            </w:r>
          </w:p>
        </w:tc>
        <w:tc>
          <w:tcPr>
            <w:tcW w:w="6281"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富国裕利债券型证券投资基金</w:t>
            </w:r>
          </w:p>
        </w:tc>
      </w:tr>
      <w:tr w:rsidR="00E74B15">
        <w:trPr>
          <w:trHeight w:val="340"/>
          <w:jc w:val="center"/>
        </w:trPr>
        <w:tc>
          <w:tcPr>
            <w:tcW w:w="766" w:type="dxa"/>
            <w:tcBorders>
              <w:top w:val="single" w:sz="4" w:space="0" w:color="auto"/>
              <w:left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501216</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富国智鑫行业精选一年封闭运作股票型基金中基金（</w:t>
            </w:r>
            <w:r>
              <w:rPr>
                <w:rFonts w:ascii="宋体" w:eastAsia="宋体" w:hAnsi="宋体" w:hint="eastAsia"/>
                <w:color w:val="000000"/>
                <w:sz w:val="22"/>
              </w:rPr>
              <w:t>FOF-LOF</w:t>
            </w:r>
            <w:r>
              <w:rPr>
                <w:rFonts w:ascii="宋体" w:eastAsia="宋体" w:hAnsi="宋体" w:hint="eastAsia"/>
                <w:color w:val="000000"/>
                <w:sz w:val="22"/>
              </w:rPr>
              <w:t>）</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014682</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富国智浦稳进</w:t>
            </w:r>
            <w:r>
              <w:rPr>
                <w:rFonts w:ascii="宋体" w:eastAsia="宋体" w:hAnsi="宋体" w:hint="eastAsia"/>
                <w:color w:val="000000"/>
                <w:sz w:val="22"/>
              </w:rPr>
              <w:t>12</w:t>
            </w:r>
            <w:r>
              <w:rPr>
                <w:rFonts w:ascii="宋体" w:eastAsia="宋体" w:hAnsi="宋体" w:hint="eastAsia"/>
                <w:color w:val="000000"/>
                <w:sz w:val="22"/>
              </w:rPr>
              <w:t>个月持有期混合型基金中基金（</w:t>
            </w:r>
            <w:r>
              <w:rPr>
                <w:rFonts w:ascii="宋体" w:eastAsia="宋体" w:hAnsi="宋体" w:hint="eastAsia"/>
                <w:color w:val="000000"/>
                <w:sz w:val="22"/>
              </w:rPr>
              <w:t>FOF</w:t>
            </w:r>
            <w:r>
              <w:rPr>
                <w:rFonts w:ascii="宋体" w:eastAsia="宋体" w:hAnsi="宋体" w:hint="eastAsia"/>
                <w:color w:val="000000"/>
                <w:sz w:val="22"/>
              </w:rPr>
              <w:t>）</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013632</w:t>
            </w:r>
          </w:p>
        </w:tc>
        <w:tc>
          <w:tcPr>
            <w:tcW w:w="6281"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富国利享回报</w:t>
            </w:r>
            <w:r>
              <w:rPr>
                <w:rFonts w:ascii="宋体" w:eastAsia="宋体" w:hAnsi="宋体" w:hint="eastAsia"/>
                <w:color w:val="000000"/>
                <w:sz w:val="22"/>
              </w:rPr>
              <w:t>12</w:t>
            </w:r>
            <w:r>
              <w:rPr>
                <w:rFonts w:ascii="宋体" w:eastAsia="宋体" w:hAnsi="宋体" w:hint="eastAsia"/>
                <w:color w:val="000000"/>
                <w:sz w:val="22"/>
              </w:rPr>
              <w:t>个月持有期混合型证券投资基金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013989</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富国沪港深优质资产混合型发起式证券投资基金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015539</w:t>
            </w:r>
          </w:p>
        </w:tc>
        <w:tc>
          <w:tcPr>
            <w:tcW w:w="6281"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富国元利债券型证券投资基金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015876</w:t>
            </w:r>
          </w:p>
        </w:tc>
        <w:tc>
          <w:tcPr>
            <w:tcW w:w="6281"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富国中证消费电子主题交易型开放式指数证券投资基金发起式联接基金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013421</w:t>
            </w:r>
          </w:p>
        </w:tc>
        <w:tc>
          <w:tcPr>
            <w:tcW w:w="6281"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富国鑫汇养老目标日期</w:t>
            </w:r>
            <w:r>
              <w:rPr>
                <w:rFonts w:ascii="宋体" w:eastAsia="宋体" w:hAnsi="宋体" w:hint="eastAsia"/>
                <w:color w:val="000000"/>
                <w:sz w:val="22"/>
              </w:rPr>
              <w:t>2025</w:t>
            </w:r>
            <w:r>
              <w:rPr>
                <w:rFonts w:ascii="宋体" w:eastAsia="宋体" w:hAnsi="宋体" w:hint="eastAsia"/>
                <w:color w:val="000000"/>
                <w:sz w:val="22"/>
              </w:rPr>
              <w:t>一年持有期混合型基金中基金（</w:t>
            </w:r>
            <w:r>
              <w:rPr>
                <w:rFonts w:ascii="宋体" w:eastAsia="宋体" w:hAnsi="宋体" w:hint="eastAsia"/>
                <w:color w:val="000000"/>
                <w:sz w:val="22"/>
              </w:rPr>
              <w:t>FOF</w:t>
            </w:r>
            <w:r>
              <w:rPr>
                <w:rFonts w:ascii="宋体" w:eastAsia="宋体" w:hAnsi="宋体" w:hint="eastAsia"/>
                <w:color w:val="000000"/>
                <w:sz w:val="22"/>
              </w:rPr>
              <w:t>）</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014059</w:t>
            </w:r>
          </w:p>
        </w:tc>
        <w:tc>
          <w:tcPr>
            <w:tcW w:w="6281"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富国安慧短债债券型证券投资基金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014721</w:t>
            </w:r>
          </w:p>
        </w:tc>
        <w:tc>
          <w:tcPr>
            <w:tcW w:w="6281"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富国碳中和一年定期开放债券型发起式证券投资基金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015757</w:t>
            </w:r>
          </w:p>
        </w:tc>
        <w:tc>
          <w:tcPr>
            <w:tcW w:w="6281"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富国智华稳进</w:t>
            </w:r>
            <w:r>
              <w:rPr>
                <w:rFonts w:ascii="宋体" w:eastAsia="宋体" w:hAnsi="宋体" w:hint="eastAsia"/>
                <w:color w:val="000000"/>
                <w:sz w:val="22"/>
              </w:rPr>
              <w:t>12</w:t>
            </w:r>
            <w:r>
              <w:rPr>
                <w:rFonts w:ascii="宋体" w:eastAsia="宋体" w:hAnsi="宋体" w:hint="eastAsia"/>
                <w:color w:val="000000"/>
                <w:sz w:val="22"/>
              </w:rPr>
              <w:t>个月持有期混合型基金中基金（</w:t>
            </w:r>
            <w:r>
              <w:rPr>
                <w:rFonts w:ascii="宋体" w:eastAsia="宋体" w:hAnsi="宋体" w:hint="eastAsia"/>
                <w:color w:val="000000"/>
                <w:sz w:val="22"/>
              </w:rPr>
              <w:t>FOF</w:t>
            </w:r>
            <w:r>
              <w:rPr>
                <w:rFonts w:ascii="宋体" w:eastAsia="宋体" w:hAnsi="宋体" w:hint="eastAsia"/>
                <w:color w:val="000000"/>
                <w:sz w:val="22"/>
              </w:rPr>
              <w:t>）</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561160</w:t>
            </w:r>
          </w:p>
        </w:tc>
        <w:tc>
          <w:tcPr>
            <w:tcW w:w="6281"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富国中证电池主题交易型开放式指数证券投资基金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015315</w:t>
            </w:r>
          </w:p>
        </w:tc>
        <w:tc>
          <w:tcPr>
            <w:tcW w:w="6281"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富国汇享三个月定期开放债券型证券投资基金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561190</w:t>
            </w:r>
          </w:p>
        </w:tc>
        <w:tc>
          <w:tcPr>
            <w:tcW w:w="6281"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富国中证上海环交所碳中和交易型开放式指数证券投资基金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159629</w:t>
            </w:r>
          </w:p>
        </w:tc>
        <w:tc>
          <w:tcPr>
            <w:tcW w:w="6281"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富国中证</w:t>
            </w:r>
            <w:r>
              <w:rPr>
                <w:rFonts w:ascii="宋体" w:eastAsia="宋体" w:hAnsi="宋体" w:hint="eastAsia"/>
                <w:color w:val="000000"/>
                <w:sz w:val="22"/>
              </w:rPr>
              <w:t>1000</w:t>
            </w:r>
            <w:r>
              <w:rPr>
                <w:rFonts w:ascii="宋体" w:eastAsia="宋体" w:hAnsi="宋体" w:hint="eastAsia"/>
                <w:color w:val="000000"/>
                <w:sz w:val="22"/>
              </w:rPr>
              <w:t>交易型开放式指数证券投资基金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015889</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富国中证</w:t>
            </w:r>
            <w:r>
              <w:rPr>
                <w:rFonts w:ascii="宋体" w:eastAsia="宋体" w:hAnsi="宋体" w:hint="eastAsia"/>
                <w:color w:val="000000"/>
                <w:sz w:val="22"/>
              </w:rPr>
              <w:t>500</w:t>
            </w:r>
            <w:r>
              <w:rPr>
                <w:rFonts w:ascii="宋体" w:eastAsia="宋体" w:hAnsi="宋体" w:hint="eastAsia"/>
                <w:color w:val="000000"/>
                <w:sz w:val="22"/>
              </w:rPr>
              <w:t>基本面精选股票型发起式证券投资基金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015891</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富国上证</w:t>
            </w:r>
            <w:r>
              <w:rPr>
                <w:rFonts w:ascii="宋体" w:eastAsia="宋体" w:hAnsi="宋体" w:hint="eastAsia"/>
                <w:color w:val="000000"/>
                <w:sz w:val="22"/>
              </w:rPr>
              <w:t>50</w:t>
            </w:r>
            <w:r>
              <w:rPr>
                <w:rFonts w:ascii="宋体" w:eastAsia="宋体" w:hAnsi="宋体" w:hint="eastAsia"/>
                <w:color w:val="000000"/>
                <w:sz w:val="22"/>
              </w:rPr>
              <w:t>基本面精选股票型发起式证券投资基金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511520</w:t>
            </w:r>
          </w:p>
        </w:tc>
        <w:tc>
          <w:tcPr>
            <w:tcW w:w="6281"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富国中债</w:t>
            </w:r>
            <w:r>
              <w:rPr>
                <w:rFonts w:ascii="宋体" w:eastAsia="宋体" w:hAnsi="宋体" w:hint="eastAsia"/>
                <w:color w:val="000000"/>
                <w:sz w:val="22"/>
              </w:rPr>
              <w:t>7-10</w:t>
            </w:r>
            <w:r>
              <w:rPr>
                <w:rFonts w:ascii="宋体" w:eastAsia="宋体" w:hAnsi="宋体" w:hint="eastAsia"/>
                <w:color w:val="000000"/>
                <w:sz w:val="22"/>
              </w:rPr>
              <w:t>年政策性金融债交易型开放式指数证券投资基金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015878</w:t>
            </w:r>
          </w:p>
        </w:tc>
        <w:tc>
          <w:tcPr>
            <w:tcW w:w="6281"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富国中证农业主题交易型开放式指数证券投资基金联接基金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159645</w:t>
            </w:r>
          </w:p>
        </w:tc>
        <w:tc>
          <w:tcPr>
            <w:tcW w:w="6281"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富国国证疫苗与生物科技交易型开放式指数证券投资基金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016588</w:t>
            </w:r>
          </w:p>
        </w:tc>
        <w:tc>
          <w:tcPr>
            <w:tcW w:w="6281"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富国融甄混合型证券投资基金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016590</w:t>
            </w:r>
          </w:p>
        </w:tc>
        <w:tc>
          <w:tcPr>
            <w:tcW w:w="6281"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富国汽车智选混合型证券投资基金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014033</w:t>
            </w:r>
          </w:p>
        </w:tc>
        <w:tc>
          <w:tcPr>
            <w:tcW w:w="6281"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富国智盈稳进</w:t>
            </w:r>
            <w:r>
              <w:rPr>
                <w:rFonts w:ascii="宋体" w:eastAsia="宋体" w:hAnsi="宋体" w:hint="eastAsia"/>
                <w:color w:val="000000"/>
                <w:sz w:val="22"/>
              </w:rPr>
              <w:t>12</w:t>
            </w:r>
            <w:r>
              <w:rPr>
                <w:rFonts w:ascii="宋体" w:eastAsia="宋体" w:hAnsi="宋体" w:hint="eastAsia"/>
                <w:color w:val="000000"/>
                <w:sz w:val="22"/>
              </w:rPr>
              <w:t>个月持有期混合型基金中基金（</w:t>
            </w:r>
            <w:r>
              <w:rPr>
                <w:rFonts w:ascii="宋体" w:eastAsia="宋体" w:hAnsi="宋体" w:hint="eastAsia"/>
                <w:color w:val="000000"/>
                <w:sz w:val="22"/>
              </w:rPr>
              <w:t>FOF</w:t>
            </w:r>
            <w:r>
              <w:rPr>
                <w:rFonts w:ascii="宋体" w:eastAsia="宋体" w:hAnsi="宋体" w:hint="eastAsia"/>
                <w:color w:val="000000"/>
                <w:sz w:val="22"/>
              </w:rPr>
              <w:t>）</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016585</w:t>
            </w:r>
          </w:p>
        </w:tc>
        <w:tc>
          <w:tcPr>
            <w:tcW w:w="6281" w:type="dxa"/>
            <w:tcBorders>
              <w:top w:val="nil"/>
              <w:left w:val="single" w:sz="4" w:space="0" w:color="auto"/>
              <w:bottom w:val="single" w:sz="4" w:space="0" w:color="auto"/>
              <w:right w:val="single" w:sz="4" w:space="0" w:color="auto"/>
            </w:tcBorders>
            <w:shd w:val="clear" w:color="auto" w:fill="auto"/>
            <w:vAlign w:val="center"/>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富国汇泽一年定期开放债券型证券投资基金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561180</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富国中证</w:t>
            </w:r>
            <w:r>
              <w:rPr>
                <w:rFonts w:ascii="宋体" w:eastAsia="宋体" w:hAnsi="宋体" w:hint="eastAsia"/>
                <w:color w:val="000000"/>
                <w:sz w:val="22"/>
              </w:rPr>
              <w:t>100</w:t>
            </w:r>
            <w:r>
              <w:rPr>
                <w:rFonts w:ascii="宋体" w:eastAsia="宋体" w:hAnsi="宋体" w:hint="eastAsia"/>
                <w:color w:val="000000"/>
                <w:sz w:val="22"/>
              </w:rPr>
              <w:t>交易型开放式指数证券投资基金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014797</w:t>
            </w:r>
          </w:p>
        </w:tc>
        <w:tc>
          <w:tcPr>
            <w:tcW w:w="6281"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富国融悦</w:t>
            </w:r>
            <w:r>
              <w:rPr>
                <w:rFonts w:ascii="宋体" w:eastAsia="宋体" w:hAnsi="宋体" w:hint="eastAsia"/>
                <w:color w:val="000000"/>
                <w:sz w:val="22"/>
              </w:rPr>
              <w:t>12</w:t>
            </w:r>
            <w:r>
              <w:rPr>
                <w:rFonts w:ascii="宋体" w:eastAsia="宋体" w:hAnsi="宋体" w:hint="eastAsia"/>
                <w:color w:val="000000"/>
                <w:sz w:val="22"/>
              </w:rPr>
              <w:t>个月持有期混合型证券投资基金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016633</w:t>
            </w:r>
          </w:p>
        </w:tc>
        <w:tc>
          <w:tcPr>
            <w:tcW w:w="6281"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富国中证</w:t>
            </w:r>
            <w:r>
              <w:rPr>
                <w:rFonts w:ascii="宋体" w:eastAsia="宋体" w:hAnsi="宋体" w:hint="eastAsia"/>
                <w:color w:val="000000"/>
                <w:sz w:val="22"/>
              </w:rPr>
              <w:t>1000</w:t>
            </w:r>
            <w:r>
              <w:rPr>
                <w:rFonts w:ascii="宋体" w:eastAsia="宋体" w:hAnsi="宋体" w:hint="eastAsia"/>
                <w:color w:val="000000"/>
                <w:sz w:val="22"/>
              </w:rPr>
              <w:t>交易型开放式指数证券投资基金联接基金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016645</w:t>
            </w:r>
          </w:p>
        </w:tc>
        <w:tc>
          <w:tcPr>
            <w:tcW w:w="6281"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富国恒享回报</w:t>
            </w:r>
            <w:r>
              <w:rPr>
                <w:rFonts w:ascii="宋体" w:eastAsia="宋体" w:hAnsi="宋体" w:hint="eastAsia"/>
                <w:color w:val="000000"/>
                <w:sz w:val="22"/>
              </w:rPr>
              <w:t>12</w:t>
            </w:r>
            <w:r>
              <w:rPr>
                <w:rFonts w:ascii="宋体" w:eastAsia="宋体" w:hAnsi="宋体" w:hint="eastAsia"/>
                <w:color w:val="000000"/>
                <w:sz w:val="22"/>
              </w:rPr>
              <w:t>个月持有期混合型证券投资基金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017038</w:t>
            </w:r>
          </w:p>
        </w:tc>
        <w:tc>
          <w:tcPr>
            <w:tcW w:w="6281"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富国中证</w:t>
            </w:r>
            <w:r>
              <w:rPr>
                <w:rFonts w:ascii="宋体" w:eastAsia="宋体" w:hAnsi="宋体" w:hint="eastAsia"/>
                <w:color w:val="000000"/>
                <w:sz w:val="22"/>
              </w:rPr>
              <w:t>1000</w:t>
            </w:r>
            <w:r>
              <w:rPr>
                <w:rFonts w:ascii="宋体" w:eastAsia="宋体" w:hAnsi="宋体" w:hint="eastAsia"/>
                <w:color w:val="000000"/>
                <w:sz w:val="22"/>
              </w:rPr>
              <w:t>优选股票型证券投资基金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017222</w:t>
            </w:r>
          </w:p>
        </w:tc>
        <w:tc>
          <w:tcPr>
            <w:tcW w:w="6281"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富国中证电池主题交易型开放式指数证券投资基金发起式联接基金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017226</w:t>
            </w:r>
          </w:p>
        </w:tc>
        <w:tc>
          <w:tcPr>
            <w:tcW w:w="6281"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富国中证全指家用电器交易型开放式指数证券投资基金发起式联接基金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017521</w:t>
            </w:r>
          </w:p>
        </w:tc>
        <w:tc>
          <w:tcPr>
            <w:tcW w:w="6281"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富国北证</w:t>
            </w:r>
            <w:r>
              <w:rPr>
                <w:rFonts w:ascii="宋体" w:eastAsia="宋体" w:hAnsi="宋体" w:hint="eastAsia"/>
                <w:color w:val="000000"/>
                <w:sz w:val="22"/>
              </w:rPr>
              <w:t>50</w:t>
            </w:r>
            <w:r>
              <w:rPr>
                <w:rFonts w:ascii="宋体" w:eastAsia="宋体" w:hAnsi="宋体" w:hint="eastAsia"/>
                <w:color w:val="000000"/>
                <w:sz w:val="22"/>
              </w:rPr>
              <w:t>成份指数型证券投资基金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016719</w:t>
            </w:r>
          </w:p>
        </w:tc>
        <w:tc>
          <w:tcPr>
            <w:tcW w:w="6281"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富国稳健双盈债券型发起式证券投资基金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017630</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富国周期精选三年持有期混合型证券投资基金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017041</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富国碳中和混合型证券投资基金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017803</w:t>
            </w:r>
          </w:p>
        </w:tc>
        <w:tc>
          <w:tcPr>
            <w:tcW w:w="6281"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富国汇诚</w:t>
            </w:r>
            <w:r>
              <w:rPr>
                <w:rFonts w:ascii="宋体" w:eastAsia="宋体" w:hAnsi="宋体" w:hint="eastAsia"/>
                <w:color w:val="000000"/>
                <w:sz w:val="22"/>
              </w:rPr>
              <w:t>18</w:t>
            </w:r>
            <w:r>
              <w:rPr>
                <w:rFonts w:ascii="宋体" w:eastAsia="宋体" w:hAnsi="宋体" w:hint="eastAsia"/>
                <w:color w:val="000000"/>
                <w:sz w:val="22"/>
              </w:rPr>
              <w:t>个月封闭式债券型证券投资基金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561170</w:t>
            </w:r>
          </w:p>
        </w:tc>
        <w:tc>
          <w:tcPr>
            <w:tcW w:w="6281"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富国中证绿色电力交易型开放式指数证券投资基金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014449</w:t>
            </w:r>
          </w:p>
        </w:tc>
        <w:tc>
          <w:tcPr>
            <w:tcW w:w="6281"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富国融丰两年定期开放混合型证券投资基金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159676</w:t>
            </w:r>
          </w:p>
        </w:tc>
        <w:tc>
          <w:tcPr>
            <w:tcW w:w="6281"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富国创业板增强策略交易型开放式指数证券投资基金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018134</w:t>
            </w:r>
          </w:p>
        </w:tc>
        <w:tc>
          <w:tcPr>
            <w:tcW w:w="6281"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富国中证大数据产业交易型开放式指数证券投资基金发起式联接基金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017828</w:t>
            </w:r>
          </w:p>
        </w:tc>
        <w:tc>
          <w:tcPr>
            <w:tcW w:w="6281"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富国时代精选混合型证券投资基金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018266</w:t>
            </w:r>
          </w:p>
        </w:tc>
        <w:tc>
          <w:tcPr>
            <w:tcW w:w="6281"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富国中债</w:t>
            </w:r>
            <w:r>
              <w:rPr>
                <w:rFonts w:ascii="宋体" w:eastAsia="宋体" w:hAnsi="宋体" w:hint="eastAsia"/>
                <w:color w:val="000000"/>
                <w:sz w:val="22"/>
              </w:rPr>
              <w:t>7-10</w:t>
            </w:r>
            <w:r>
              <w:rPr>
                <w:rFonts w:ascii="宋体" w:eastAsia="宋体" w:hAnsi="宋体" w:hint="eastAsia"/>
                <w:color w:val="000000"/>
                <w:sz w:val="22"/>
              </w:rPr>
              <w:t>年政策性金融债交易型开放式指数证券投资基金发起式联接基金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513950</w:t>
            </w:r>
          </w:p>
        </w:tc>
        <w:tc>
          <w:tcPr>
            <w:tcW w:w="6281"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富国恒生港股通高股息低波动交易型开放式指数证券投资基金（</w:t>
            </w:r>
            <w:r>
              <w:rPr>
                <w:rFonts w:ascii="宋体" w:eastAsia="宋体" w:hAnsi="宋体" w:hint="eastAsia"/>
                <w:color w:val="000000"/>
                <w:sz w:val="22"/>
              </w:rPr>
              <w:t>QDII</w:t>
            </w:r>
            <w:r>
              <w:rPr>
                <w:rFonts w:ascii="宋体" w:eastAsia="宋体" w:hAnsi="宋体" w:hint="eastAsia"/>
                <w:color w:val="000000"/>
                <w:sz w:val="22"/>
              </w:rPr>
              <w:t>）</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016610</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富国稳健添盈债券型证券投资基金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014401</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富国核心趋势混合型证券投资基金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016964</w:t>
            </w:r>
          </w:p>
        </w:tc>
        <w:tc>
          <w:tcPr>
            <w:tcW w:w="6281"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富国鑫汇养老目标日期</w:t>
            </w:r>
            <w:r>
              <w:rPr>
                <w:rFonts w:ascii="宋体" w:eastAsia="宋体" w:hAnsi="宋体" w:hint="eastAsia"/>
                <w:color w:val="000000"/>
                <w:sz w:val="22"/>
              </w:rPr>
              <w:t>2035</w:t>
            </w:r>
            <w:r>
              <w:rPr>
                <w:rFonts w:ascii="宋体" w:eastAsia="宋体" w:hAnsi="宋体" w:hint="eastAsia"/>
                <w:color w:val="000000"/>
                <w:sz w:val="22"/>
              </w:rPr>
              <w:t>三年持有期混合型发起式基金中基金（</w:t>
            </w:r>
            <w:r>
              <w:rPr>
                <w:rFonts w:ascii="宋体" w:eastAsia="宋体" w:hAnsi="宋体" w:hint="eastAsia"/>
                <w:color w:val="000000"/>
                <w:sz w:val="22"/>
              </w:rPr>
              <w:t>FOF</w:t>
            </w:r>
            <w:r>
              <w:rPr>
                <w:rFonts w:ascii="宋体" w:eastAsia="宋体" w:hAnsi="宋体" w:hint="eastAsia"/>
                <w:color w:val="000000"/>
                <w:sz w:val="22"/>
              </w:rPr>
              <w:t>）</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017710</w:t>
            </w:r>
          </w:p>
        </w:tc>
        <w:tc>
          <w:tcPr>
            <w:tcW w:w="6281"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富国增利债券型发起式证券投资基金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018393</w:t>
            </w:r>
          </w:p>
        </w:tc>
        <w:tc>
          <w:tcPr>
            <w:tcW w:w="6281"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富国稳健添利债券型证券投资基金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016887</w:t>
            </w:r>
          </w:p>
        </w:tc>
        <w:tc>
          <w:tcPr>
            <w:tcW w:w="6281"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富国中证上海环交所碳中和交易型开放式指数证券投资基金联接基金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018318</w:t>
            </w:r>
          </w:p>
        </w:tc>
        <w:tc>
          <w:tcPr>
            <w:tcW w:w="6281"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富国智选积极</w:t>
            </w:r>
            <w:r>
              <w:rPr>
                <w:rFonts w:ascii="宋体" w:eastAsia="宋体" w:hAnsi="宋体" w:hint="eastAsia"/>
                <w:color w:val="000000"/>
                <w:sz w:val="22"/>
              </w:rPr>
              <w:t>3</w:t>
            </w:r>
            <w:r>
              <w:rPr>
                <w:rFonts w:ascii="宋体" w:eastAsia="宋体" w:hAnsi="宋体" w:hint="eastAsia"/>
                <w:color w:val="000000"/>
                <w:sz w:val="22"/>
              </w:rPr>
              <w:t>个月持有期混合型基金中基金（</w:t>
            </w:r>
            <w:r>
              <w:rPr>
                <w:rFonts w:ascii="宋体" w:eastAsia="宋体" w:hAnsi="宋体" w:hint="eastAsia"/>
                <w:color w:val="000000"/>
                <w:sz w:val="22"/>
              </w:rPr>
              <w:t>FOF</w:t>
            </w:r>
            <w:r>
              <w:rPr>
                <w:rFonts w:ascii="宋体" w:eastAsia="宋体" w:hAnsi="宋体" w:hint="eastAsia"/>
                <w:color w:val="000000"/>
                <w:sz w:val="22"/>
              </w:rPr>
              <w:t>）</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159506</w:t>
            </w:r>
          </w:p>
        </w:tc>
        <w:tc>
          <w:tcPr>
            <w:tcW w:w="6281"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富国恒生港股通医疗保健交易型开放式指数证券投资基金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018626</w:t>
            </w:r>
          </w:p>
        </w:tc>
        <w:tc>
          <w:tcPr>
            <w:tcW w:w="6281"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富国兴享回报</w:t>
            </w:r>
            <w:r>
              <w:rPr>
                <w:rFonts w:ascii="宋体" w:eastAsia="宋体" w:hAnsi="宋体" w:hint="eastAsia"/>
                <w:color w:val="000000"/>
                <w:sz w:val="22"/>
              </w:rPr>
              <w:t>6</w:t>
            </w:r>
            <w:r>
              <w:rPr>
                <w:rFonts w:ascii="宋体" w:eastAsia="宋体" w:hAnsi="宋体" w:hint="eastAsia"/>
                <w:color w:val="000000"/>
                <w:sz w:val="22"/>
              </w:rPr>
              <w:t>个月持有期混合型证券投资基金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018477</w:t>
            </w:r>
          </w:p>
        </w:tc>
        <w:tc>
          <w:tcPr>
            <w:tcW w:w="6281" w:type="dxa"/>
            <w:tcBorders>
              <w:top w:val="nil"/>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富国安瑞</w:t>
            </w:r>
            <w:r>
              <w:rPr>
                <w:rFonts w:ascii="宋体" w:eastAsia="宋体" w:hAnsi="宋体" w:hint="eastAsia"/>
                <w:color w:val="000000"/>
                <w:sz w:val="22"/>
              </w:rPr>
              <w:t>30</w:t>
            </w:r>
            <w:r>
              <w:rPr>
                <w:rFonts w:ascii="宋体" w:eastAsia="宋体" w:hAnsi="宋体" w:hint="eastAsia"/>
                <w:color w:val="000000"/>
                <w:sz w:val="22"/>
              </w:rPr>
              <w:t>天持有期债券型发起式证券投资基金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018270</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富国鑫旺积极养老目标五年持有期混合型发起式基金中基金（</w:t>
            </w:r>
            <w:r>
              <w:rPr>
                <w:rFonts w:ascii="宋体" w:eastAsia="宋体" w:hAnsi="宋体" w:hint="eastAsia"/>
                <w:color w:val="000000"/>
                <w:sz w:val="22"/>
              </w:rPr>
              <w:t>FOF</w:t>
            </w:r>
            <w:r>
              <w:rPr>
                <w:rFonts w:ascii="宋体" w:eastAsia="宋体" w:hAnsi="宋体" w:hint="eastAsia"/>
                <w:color w:val="000000"/>
                <w:sz w:val="22"/>
              </w:rPr>
              <w:t>）</w:t>
            </w:r>
            <w:bookmarkStart w:id="0" w:name="_GoBack"/>
            <w:bookmarkEnd w:id="0"/>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018038</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富国融裕两年持有期混合型证券投资基金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018971</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富国致弘量化选股股票型证券投资基金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019260</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富国恒生港股通高股息低波动交易型开放式指数证券投资基金发起式联接基金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018748</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富国安恒</w:t>
            </w:r>
            <w:r>
              <w:rPr>
                <w:rFonts w:ascii="宋体" w:eastAsia="宋体" w:hAnsi="宋体" w:hint="eastAsia"/>
                <w:color w:val="000000"/>
                <w:sz w:val="22"/>
              </w:rPr>
              <w:t>60</w:t>
            </w:r>
            <w:r>
              <w:rPr>
                <w:rFonts w:ascii="宋体" w:eastAsia="宋体" w:hAnsi="宋体" w:hint="eastAsia"/>
                <w:color w:val="000000"/>
                <w:sz w:val="22"/>
              </w:rPr>
              <w:t>天持有期债券型发起式证券投资基金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159538</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富国国证信息技术创新主题交易型开放式指数证券投资基金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563200</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富国中证</w:t>
            </w:r>
            <w:r>
              <w:rPr>
                <w:rFonts w:ascii="宋体" w:eastAsia="宋体" w:hAnsi="宋体" w:hint="eastAsia"/>
                <w:color w:val="000000"/>
                <w:sz w:val="22"/>
              </w:rPr>
              <w:t>2000</w:t>
            </w:r>
            <w:r>
              <w:rPr>
                <w:rFonts w:ascii="宋体" w:eastAsia="宋体" w:hAnsi="宋体" w:hint="eastAsia"/>
                <w:color w:val="000000"/>
                <w:sz w:val="22"/>
              </w:rPr>
              <w:t>交易型开放式指数证券投资基金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019054</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富国价值成长混合型证券投资基金</w:t>
            </w:r>
          </w:p>
        </w:tc>
      </w:tr>
      <w:tr w:rsidR="00E74B15">
        <w:trPr>
          <w:trHeight w:val="340"/>
          <w:jc w:val="center"/>
        </w:trPr>
        <w:tc>
          <w:tcPr>
            <w:tcW w:w="766" w:type="dxa"/>
            <w:tcBorders>
              <w:top w:val="single" w:sz="4" w:space="0" w:color="auto"/>
              <w:bottom w:val="single" w:sz="4" w:space="0" w:color="auto"/>
              <w:right w:val="single" w:sz="4" w:space="0" w:color="auto"/>
            </w:tcBorders>
          </w:tcPr>
          <w:p w:rsidR="00E74B15" w:rsidRDefault="00E74B15">
            <w:pPr>
              <w:pStyle w:val="ad"/>
              <w:widowControl/>
              <w:numPr>
                <w:ilvl w:val="0"/>
                <w:numId w:val="1"/>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bottom"/>
          </w:tcPr>
          <w:p w:rsidR="00E74B15" w:rsidRDefault="00853BAA">
            <w:pPr>
              <w:widowControl/>
              <w:jc w:val="center"/>
              <w:rPr>
                <w:rFonts w:ascii="宋体" w:eastAsia="宋体" w:hAnsi="宋体"/>
                <w:color w:val="000000"/>
                <w:sz w:val="22"/>
              </w:rPr>
            </w:pPr>
            <w:r>
              <w:rPr>
                <w:rFonts w:ascii="宋体" w:eastAsia="宋体" w:hAnsi="宋体" w:hint="eastAsia"/>
                <w:color w:val="000000"/>
                <w:sz w:val="22"/>
              </w:rPr>
              <w:t>513870</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E74B15" w:rsidRDefault="00853BAA">
            <w:pPr>
              <w:widowControl/>
              <w:jc w:val="left"/>
              <w:rPr>
                <w:rFonts w:ascii="宋体" w:eastAsia="宋体" w:hAnsi="宋体"/>
                <w:color w:val="000000"/>
                <w:sz w:val="22"/>
              </w:rPr>
            </w:pPr>
            <w:r>
              <w:rPr>
                <w:rFonts w:ascii="宋体" w:eastAsia="宋体" w:hAnsi="宋体" w:hint="eastAsia"/>
                <w:color w:val="000000"/>
                <w:sz w:val="22"/>
              </w:rPr>
              <w:t>富国纳斯达克</w:t>
            </w:r>
            <w:r>
              <w:rPr>
                <w:rFonts w:ascii="宋体" w:eastAsia="宋体" w:hAnsi="宋体" w:hint="eastAsia"/>
                <w:color w:val="000000"/>
                <w:sz w:val="22"/>
              </w:rPr>
              <w:t>100</w:t>
            </w:r>
            <w:r>
              <w:rPr>
                <w:rFonts w:ascii="宋体" w:eastAsia="宋体" w:hAnsi="宋体" w:hint="eastAsia"/>
                <w:color w:val="000000"/>
                <w:sz w:val="22"/>
              </w:rPr>
              <w:t>交易型开放式指数证券投资基金（</w:t>
            </w:r>
            <w:r>
              <w:rPr>
                <w:rFonts w:ascii="宋体" w:eastAsia="宋体" w:hAnsi="宋体" w:hint="eastAsia"/>
                <w:color w:val="000000"/>
                <w:sz w:val="22"/>
              </w:rPr>
              <w:t>QDII</w:t>
            </w:r>
            <w:r>
              <w:rPr>
                <w:rFonts w:ascii="宋体" w:eastAsia="宋体" w:hAnsi="宋体" w:hint="eastAsia"/>
                <w:color w:val="000000"/>
                <w:sz w:val="22"/>
              </w:rPr>
              <w:t>）</w:t>
            </w:r>
          </w:p>
        </w:tc>
      </w:tr>
    </w:tbl>
    <w:p w:rsidR="00E74B15" w:rsidRDefault="00E74B15">
      <w:pPr>
        <w:rPr>
          <w:rFonts w:asciiTheme="minorEastAsia" w:hAnsiTheme="minorEastAsia"/>
          <w:color w:val="000000" w:themeColor="text1"/>
          <w:sz w:val="24"/>
          <w:szCs w:val="24"/>
        </w:rPr>
      </w:pPr>
    </w:p>
    <w:p w:rsidR="00E74B15" w:rsidRDefault="00853BAA">
      <w:pPr>
        <w:spacing w:line="540" w:lineRule="exact"/>
        <w:ind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本基金管理人承诺以诚实信用、勤勉尽责的原则管理和运用基金资产，但不保证基金一定盈利，也不保证最低收益。请充分了解基金的风险收益特征，审慎做出投资决定。</w:t>
      </w:r>
    </w:p>
    <w:p w:rsidR="00E74B15" w:rsidRDefault="00853BAA">
      <w:pPr>
        <w:spacing w:line="540" w:lineRule="exact"/>
        <w:ind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特此公告。</w:t>
      </w:r>
    </w:p>
    <w:p w:rsidR="00E74B15" w:rsidRDefault="00853BAA">
      <w:pPr>
        <w:spacing w:line="540" w:lineRule="exact"/>
        <w:ind w:firstLineChars="250" w:firstLine="600"/>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p>
    <w:p w:rsidR="00E74B15" w:rsidRDefault="00853BAA">
      <w:pPr>
        <w:spacing w:line="540" w:lineRule="exact"/>
        <w:ind w:firstLineChars="250" w:firstLine="600"/>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富国基金管理有限公司</w:t>
      </w:r>
    </w:p>
    <w:p w:rsidR="00E74B15" w:rsidRDefault="00853BAA">
      <w:pPr>
        <w:spacing w:line="540" w:lineRule="exact"/>
        <w:ind w:firstLineChars="250" w:firstLine="600"/>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2</w:t>
      </w:r>
      <w:r>
        <w:rPr>
          <w:rFonts w:asciiTheme="minorEastAsia" w:hAnsiTheme="minorEastAsia"/>
          <w:color w:val="000000" w:themeColor="text1"/>
          <w:sz w:val="24"/>
          <w:szCs w:val="24"/>
        </w:rPr>
        <w:t>02</w:t>
      </w:r>
      <w:r>
        <w:rPr>
          <w:rFonts w:asciiTheme="minorEastAsia" w:hAnsiTheme="minorEastAsia" w:hint="eastAsia"/>
          <w:color w:val="000000" w:themeColor="text1"/>
          <w:sz w:val="24"/>
          <w:szCs w:val="24"/>
        </w:rPr>
        <w:t>4</w:t>
      </w:r>
      <w:r>
        <w:rPr>
          <w:rFonts w:asciiTheme="minorEastAsia" w:hAnsiTheme="minorEastAsia"/>
          <w:color w:val="000000" w:themeColor="text1"/>
          <w:sz w:val="24"/>
          <w:szCs w:val="24"/>
        </w:rPr>
        <w:t>年</w:t>
      </w:r>
      <w:r>
        <w:rPr>
          <w:rFonts w:asciiTheme="minorEastAsia" w:hAnsiTheme="minorEastAsia"/>
          <w:color w:val="000000" w:themeColor="text1"/>
          <w:sz w:val="24"/>
          <w:szCs w:val="24"/>
        </w:rPr>
        <w:t>1</w:t>
      </w:r>
      <w:r>
        <w:rPr>
          <w:rFonts w:asciiTheme="minorEastAsia" w:hAnsiTheme="minorEastAsia"/>
          <w:color w:val="000000" w:themeColor="text1"/>
          <w:sz w:val="24"/>
          <w:szCs w:val="24"/>
        </w:rPr>
        <w:t>月</w:t>
      </w:r>
      <w:r>
        <w:rPr>
          <w:rFonts w:asciiTheme="minorEastAsia" w:hAnsiTheme="minorEastAsia" w:hint="eastAsia"/>
          <w:color w:val="000000" w:themeColor="text1"/>
          <w:sz w:val="24"/>
          <w:szCs w:val="24"/>
        </w:rPr>
        <w:t>22</w:t>
      </w:r>
      <w:r>
        <w:rPr>
          <w:rFonts w:asciiTheme="minorEastAsia" w:hAnsiTheme="minorEastAsia"/>
          <w:color w:val="000000" w:themeColor="text1"/>
          <w:sz w:val="24"/>
          <w:szCs w:val="24"/>
        </w:rPr>
        <w:t>日</w:t>
      </w:r>
    </w:p>
    <w:sectPr w:rsidR="00E74B15" w:rsidSect="00E74B15">
      <w:footerReference w:type="default" r:id="rId8"/>
      <w:footerReference w:type="first" r:id="rId9"/>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B15" w:rsidRDefault="00E74B15" w:rsidP="00E74B15">
      <w:r>
        <w:separator/>
      </w:r>
    </w:p>
  </w:endnote>
  <w:endnote w:type="continuationSeparator" w:id="0">
    <w:p w:rsidR="00E74B15" w:rsidRDefault="00E74B15" w:rsidP="00E74B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AutoText"/>
      </w:docPartObj>
    </w:sdtPr>
    <w:sdtContent>
      <w:p w:rsidR="00E74B15" w:rsidRDefault="00E74B15">
        <w:pPr>
          <w:pStyle w:val="a5"/>
          <w:jc w:val="center"/>
        </w:pPr>
        <w:r>
          <w:fldChar w:fldCharType="begin"/>
        </w:r>
        <w:r w:rsidR="00853BAA">
          <w:instrText>PAGE   \* MERGEFORMAT</w:instrText>
        </w:r>
        <w:r>
          <w:fldChar w:fldCharType="separate"/>
        </w:r>
        <w:r w:rsidR="00853BAA" w:rsidRPr="00853BAA">
          <w:rPr>
            <w:noProof/>
            <w:lang w:val="zh-CN"/>
          </w:rPr>
          <w:t>2</w:t>
        </w:r>
        <w:r>
          <w:fldChar w:fldCharType="end"/>
        </w:r>
      </w:p>
    </w:sdtContent>
  </w:sdt>
  <w:p w:rsidR="00E74B15" w:rsidRDefault="00E74B1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AutoText"/>
      </w:docPartObj>
    </w:sdtPr>
    <w:sdtContent>
      <w:p w:rsidR="00E74B15" w:rsidRDefault="00E74B15">
        <w:pPr>
          <w:pStyle w:val="a5"/>
          <w:jc w:val="center"/>
        </w:pPr>
        <w:r>
          <w:fldChar w:fldCharType="begin"/>
        </w:r>
        <w:r w:rsidR="00853BAA">
          <w:instrText>PAGE   \* MERGEFORMAT</w:instrText>
        </w:r>
        <w:r>
          <w:fldChar w:fldCharType="separate"/>
        </w:r>
        <w:r w:rsidR="00853BAA" w:rsidRPr="00853BAA">
          <w:rPr>
            <w:noProof/>
            <w:lang w:val="zh-CN"/>
          </w:rPr>
          <w:t>1</w:t>
        </w:r>
        <w:r>
          <w:fldChar w:fldCharType="end"/>
        </w:r>
      </w:p>
    </w:sdtContent>
  </w:sdt>
  <w:p w:rsidR="00E74B15" w:rsidRDefault="00E74B1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B15" w:rsidRDefault="00E74B15" w:rsidP="00E74B15">
      <w:r>
        <w:separator/>
      </w:r>
    </w:p>
  </w:footnote>
  <w:footnote w:type="continuationSeparator" w:id="0">
    <w:p w:rsidR="00E74B15" w:rsidRDefault="00E74B15" w:rsidP="00E74B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CF33E6"/>
    <w:multiLevelType w:val="multilevel"/>
    <w:tmpl w:val="55CF33E6"/>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ocumentProtection w:formatting="1" w:enforcement="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9A149B"/>
    <w:rsid w:val="00001760"/>
    <w:rsid w:val="00010044"/>
    <w:rsid w:val="000101E0"/>
    <w:rsid w:val="00022ABD"/>
    <w:rsid w:val="00025D40"/>
    <w:rsid w:val="00025D97"/>
    <w:rsid w:val="000300E5"/>
    <w:rsid w:val="0003246C"/>
    <w:rsid w:val="00033010"/>
    <w:rsid w:val="00033204"/>
    <w:rsid w:val="000475F0"/>
    <w:rsid w:val="000539F6"/>
    <w:rsid w:val="00056EE0"/>
    <w:rsid w:val="00057323"/>
    <w:rsid w:val="00065184"/>
    <w:rsid w:val="00070EBA"/>
    <w:rsid w:val="0008010F"/>
    <w:rsid w:val="00081ADE"/>
    <w:rsid w:val="00084E7D"/>
    <w:rsid w:val="00087988"/>
    <w:rsid w:val="00087FC0"/>
    <w:rsid w:val="0009227A"/>
    <w:rsid w:val="00093E55"/>
    <w:rsid w:val="00094EC3"/>
    <w:rsid w:val="00094F20"/>
    <w:rsid w:val="000958C0"/>
    <w:rsid w:val="0009755F"/>
    <w:rsid w:val="000A0272"/>
    <w:rsid w:val="000A0ECE"/>
    <w:rsid w:val="000A588E"/>
    <w:rsid w:val="000B53A5"/>
    <w:rsid w:val="000C06E1"/>
    <w:rsid w:val="000C1032"/>
    <w:rsid w:val="000C7607"/>
    <w:rsid w:val="000D18EF"/>
    <w:rsid w:val="000D2ABD"/>
    <w:rsid w:val="000E117D"/>
    <w:rsid w:val="000E13E9"/>
    <w:rsid w:val="000E7D66"/>
    <w:rsid w:val="000F07E6"/>
    <w:rsid w:val="000F407E"/>
    <w:rsid w:val="000F6458"/>
    <w:rsid w:val="001039BC"/>
    <w:rsid w:val="00110CA7"/>
    <w:rsid w:val="001279BE"/>
    <w:rsid w:val="0013251E"/>
    <w:rsid w:val="001445A9"/>
    <w:rsid w:val="00146307"/>
    <w:rsid w:val="001533B2"/>
    <w:rsid w:val="001574A9"/>
    <w:rsid w:val="001614EB"/>
    <w:rsid w:val="001623CF"/>
    <w:rsid w:val="00164A88"/>
    <w:rsid w:val="00165D5C"/>
    <w:rsid w:val="00166B15"/>
    <w:rsid w:val="00174C8C"/>
    <w:rsid w:val="0017571E"/>
    <w:rsid w:val="00175AED"/>
    <w:rsid w:val="00191702"/>
    <w:rsid w:val="00192262"/>
    <w:rsid w:val="0019765D"/>
    <w:rsid w:val="001A593B"/>
    <w:rsid w:val="001C5D23"/>
    <w:rsid w:val="001D04AB"/>
    <w:rsid w:val="001D2521"/>
    <w:rsid w:val="001D74AE"/>
    <w:rsid w:val="001E346F"/>
    <w:rsid w:val="001E7CAD"/>
    <w:rsid w:val="001F125D"/>
    <w:rsid w:val="001F15CB"/>
    <w:rsid w:val="001F39FE"/>
    <w:rsid w:val="001F533E"/>
    <w:rsid w:val="001F5D93"/>
    <w:rsid w:val="001F7923"/>
    <w:rsid w:val="0021172E"/>
    <w:rsid w:val="00221DE2"/>
    <w:rsid w:val="00234298"/>
    <w:rsid w:val="002343BD"/>
    <w:rsid w:val="002444C8"/>
    <w:rsid w:val="002471D4"/>
    <w:rsid w:val="00253326"/>
    <w:rsid w:val="00261CDE"/>
    <w:rsid w:val="0026276F"/>
    <w:rsid w:val="002766D5"/>
    <w:rsid w:val="00276CA4"/>
    <w:rsid w:val="002823E9"/>
    <w:rsid w:val="00282A7F"/>
    <w:rsid w:val="00283ECA"/>
    <w:rsid w:val="00284E14"/>
    <w:rsid w:val="00293DE4"/>
    <w:rsid w:val="002941EC"/>
    <w:rsid w:val="00296096"/>
    <w:rsid w:val="00296303"/>
    <w:rsid w:val="002968AB"/>
    <w:rsid w:val="002970F7"/>
    <w:rsid w:val="002A1F54"/>
    <w:rsid w:val="002A4FF0"/>
    <w:rsid w:val="002B0960"/>
    <w:rsid w:val="002B144C"/>
    <w:rsid w:val="002B16F4"/>
    <w:rsid w:val="002B2DA0"/>
    <w:rsid w:val="002B7B4F"/>
    <w:rsid w:val="002C5D36"/>
    <w:rsid w:val="002D13CA"/>
    <w:rsid w:val="002E24D1"/>
    <w:rsid w:val="002E79D9"/>
    <w:rsid w:val="002E7B0A"/>
    <w:rsid w:val="002F2B53"/>
    <w:rsid w:val="002F2D19"/>
    <w:rsid w:val="002F58AF"/>
    <w:rsid w:val="002F7219"/>
    <w:rsid w:val="00303860"/>
    <w:rsid w:val="00310D04"/>
    <w:rsid w:val="00311075"/>
    <w:rsid w:val="003117E6"/>
    <w:rsid w:val="00312D45"/>
    <w:rsid w:val="0031471A"/>
    <w:rsid w:val="00315E09"/>
    <w:rsid w:val="00332619"/>
    <w:rsid w:val="00333802"/>
    <w:rsid w:val="003467B5"/>
    <w:rsid w:val="00346E3D"/>
    <w:rsid w:val="00355B7C"/>
    <w:rsid w:val="00361065"/>
    <w:rsid w:val="0036248F"/>
    <w:rsid w:val="003828E8"/>
    <w:rsid w:val="00382BCB"/>
    <w:rsid w:val="00390B3B"/>
    <w:rsid w:val="00391944"/>
    <w:rsid w:val="00393949"/>
    <w:rsid w:val="003948AF"/>
    <w:rsid w:val="00394BBC"/>
    <w:rsid w:val="003A4AC6"/>
    <w:rsid w:val="003B1A4D"/>
    <w:rsid w:val="003B62CD"/>
    <w:rsid w:val="003C23F1"/>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4238F"/>
    <w:rsid w:val="004424D3"/>
    <w:rsid w:val="004465A9"/>
    <w:rsid w:val="00452A46"/>
    <w:rsid w:val="00454581"/>
    <w:rsid w:val="00454978"/>
    <w:rsid w:val="00461FDF"/>
    <w:rsid w:val="00467E81"/>
    <w:rsid w:val="004744B6"/>
    <w:rsid w:val="004748B9"/>
    <w:rsid w:val="00474CBB"/>
    <w:rsid w:val="00477BA8"/>
    <w:rsid w:val="00477EB2"/>
    <w:rsid w:val="0048111A"/>
    <w:rsid w:val="00485A39"/>
    <w:rsid w:val="00485D30"/>
    <w:rsid w:val="00487BF1"/>
    <w:rsid w:val="00491FCB"/>
    <w:rsid w:val="00497943"/>
    <w:rsid w:val="00497A8B"/>
    <w:rsid w:val="004A0E45"/>
    <w:rsid w:val="004A54A6"/>
    <w:rsid w:val="004B1105"/>
    <w:rsid w:val="004B281A"/>
    <w:rsid w:val="004C3109"/>
    <w:rsid w:val="004C44C4"/>
    <w:rsid w:val="004C625A"/>
    <w:rsid w:val="004C6355"/>
    <w:rsid w:val="004C6B40"/>
    <w:rsid w:val="004E1D5E"/>
    <w:rsid w:val="004E630B"/>
    <w:rsid w:val="004F7313"/>
    <w:rsid w:val="005158A6"/>
    <w:rsid w:val="0052094C"/>
    <w:rsid w:val="00520AF6"/>
    <w:rsid w:val="005339DE"/>
    <w:rsid w:val="00534A41"/>
    <w:rsid w:val="00536156"/>
    <w:rsid w:val="0053650E"/>
    <w:rsid w:val="00537D75"/>
    <w:rsid w:val="00542535"/>
    <w:rsid w:val="00544E6E"/>
    <w:rsid w:val="00547910"/>
    <w:rsid w:val="00551033"/>
    <w:rsid w:val="00557C18"/>
    <w:rsid w:val="00557C66"/>
    <w:rsid w:val="00557E23"/>
    <w:rsid w:val="00560AC4"/>
    <w:rsid w:val="00563FE4"/>
    <w:rsid w:val="00567A02"/>
    <w:rsid w:val="005711D9"/>
    <w:rsid w:val="005751C6"/>
    <w:rsid w:val="00582D8F"/>
    <w:rsid w:val="005837B0"/>
    <w:rsid w:val="00596AC1"/>
    <w:rsid w:val="005A408B"/>
    <w:rsid w:val="005A46AE"/>
    <w:rsid w:val="005A5700"/>
    <w:rsid w:val="005A77EA"/>
    <w:rsid w:val="005B5746"/>
    <w:rsid w:val="005C00AF"/>
    <w:rsid w:val="005C05E1"/>
    <w:rsid w:val="005C7C95"/>
    <w:rsid w:val="005D044D"/>
    <w:rsid w:val="005D3C24"/>
    <w:rsid w:val="005D4528"/>
    <w:rsid w:val="005E088E"/>
    <w:rsid w:val="005E0F00"/>
    <w:rsid w:val="005E62F4"/>
    <w:rsid w:val="005F0B9B"/>
    <w:rsid w:val="005F43AB"/>
    <w:rsid w:val="005F4D9C"/>
    <w:rsid w:val="005F7E5C"/>
    <w:rsid w:val="00604996"/>
    <w:rsid w:val="00605B67"/>
    <w:rsid w:val="006163B1"/>
    <w:rsid w:val="00616874"/>
    <w:rsid w:val="0062589F"/>
    <w:rsid w:val="00626EA8"/>
    <w:rsid w:val="00641423"/>
    <w:rsid w:val="00641CEA"/>
    <w:rsid w:val="00643747"/>
    <w:rsid w:val="0065080E"/>
    <w:rsid w:val="00653AEC"/>
    <w:rsid w:val="00654739"/>
    <w:rsid w:val="00655229"/>
    <w:rsid w:val="00656B0C"/>
    <w:rsid w:val="0066309A"/>
    <w:rsid w:val="0066627D"/>
    <w:rsid w:val="006832A2"/>
    <w:rsid w:val="00684A20"/>
    <w:rsid w:val="00690EC4"/>
    <w:rsid w:val="006962CB"/>
    <w:rsid w:val="006A0BB0"/>
    <w:rsid w:val="006A278F"/>
    <w:rsid w:val="006A7F42"/>
    <w:rsid w:val="006B4697"/>
    <w:rsid w:val="006C5302"/>
    <w:rsid w:val="006D17EF"/>
    <w:rsid w:val="006D7D66"/>
    <w:rsid w:val="006E4941"/>
    <w:rsid w:val="006E55E9"/>
    <w:rsid w:val="006E5DE5"/>
    <w:rsid w:val="006E6239"/>
    <w:rsid w:val="006E6B6E"/>
    <w:rsid w:val="006E7335"/>
    <w:rsid w:val="006F1E9F"/>
    <w:rsid w:val="006F6724"/>
    <w:rsid w:val="0070004D"/>
    <w:rsid w:val="007006AE"/>
    <w:rsid w:val="00702423"/>
    <w:rsid w:val="00702449"/>
    <w:rsid w:val="00702F48"/>
    <w:rsid w:val="00705694"/>
    <w:rsid w:val="00706133"/>
    <w:rsid w:val="00714CEA"/>
    <w:rsid w:val="007159A1"/>
    <w:rsid w:val="0071642F"/>
    <w:rsid w:val="007201B1"/>
    <w:rsid w:val="00722DD7"/>
    <w:rsid w:val="00725827"/>
    <w:rsid w:val="00725F68"/>
    <w:rsid w:val="0073075C"/>
    <w:rsid w:val="007315E0"/>
    <w:rsid w:val="00736EFA"/>
    <w:rsid w:val="0074044A"/>
    <w:rsid w:val="0074144B"/>
    <w:rsid w:val="00741A3E"/>
    <w:rsid w:val="007443C2"/>
    <w:rsid w:val="00754A2C"/>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E79C4"/>
    <w:rsid w:val="007F136D"/>
    <w:rsid w:val="007F60CB"/>
    <w:rsid w:val="00801AAB"/>
    <w:rsid w:val="00806597"/>
    <w:rsid w:val="00807381"/>
    <w:rsid w:val="0080773A"/>
    <w:rsid w:val="00816DF3"/>
    <w:rsid w:val="0081788D"/>
    <w:rsid w:val="00825398"/>
    <w:rsid w:val="008263AE"/>
    <w:rsid w:val="008307A6"/>
    <w:rsid w:val="008318C0"/>
    <w:rsid w:val="00831A29"/>
    <w:rsid w:val="00832B61"/>
    <w:rsid w:val="008353DC"/>
    <w:rsid w:val="00835A88"/>
    <w:rsid w:val="00847A69"/>
    <w:rsid w:val="008538ED"/>
    <w:rsid w:val="00853BAA"/>
    <w:rsid w:val="008619E1"/>
    <w:rsid w:val="00866E5A"/>
    <w:rsid w:val="00871F6C"/>
    <w:rsid w:val="008721DF"/>
    <w:rsid w:val="008738A9"/>
    <w:rsid w:val="00876EC6"/>
    <w:rsid w:val="00881C77"/>
    <w:rsid w:val="00882FB0"/>
    <w:rsid w:val="008839E0"/>
    <w:rsid w:val="00887017"/>
    <w:rsid w:val="0089028B"/>
    <w:rsid w:val="00891007"/>
    <w:rsid w:val="008A110F"/>
    <w:rsid w:val="008A1AFA"/>
    <w:rsid w:val="008A2CE2"/>
    <w:rsid w:val="008A3460"/>
    <w:rsid w:val="008B539C"/>
    <w:rsid w:val="008B77D5"/>
    <w:rsid w:val="008C155D"/>
    <w:rsid w:val="008C7377"/>
    <w:rsid w:val="008D4634"/>
    <w:rsid w:val="008D5C6F"/>
    <w:rsid w:val="008D64DC"/>
    <w:rsid w:val="008E4CD7"/>
    <w:rsid w:val="008E58F7"/>
    <w:rsid w:val="008E6EC1"/>
    <w:rsid w:val="008F1E9E"/>
    <w:rsid w:val="00903815"/>
    <w:rsid w:val="00903C0A"/>
    <w:rsid w:val="009062C4"/>
    <w:rsid w:val="0090723B"/>
    <w:rsid w:val="00910193"/>
    <w:rsid w:val="00910639"/>
    <w:rsid w:val="0092312D"/>
    <w:rsid w:val="00933628"/>
    <w:rsid w:val="00940A4A"/>
    <w:rsid w:val="009465EA"/>
    <w:rsid w:val="009506DC"/>
    <w:rsid w:val="009566C4"/>
    <w:rsid w:val="00956DD9"/>
    <w:rsid w:val="009628AE"/>
    <w:rsid w:val="0096678F"/>
    <w:rsid w:val="00967A04"/>
    <w:rsid w:val="00973509"/>
    <w:rsid w:val="00977BBE"/>
    <w:rsid w:val="00977E7B"/>
    <w:rsid w:val="00982852"/>
    <w:rsid w:val="00986792"/>
    <w:rsid w:val="009871EF"/>
    <w:rsid w:val="00991292"/>
    <w:rsid w:val="00991AEE"/>
    <w:rsid w:val="0099252E"/>
    <w:rsid w:val="00993CBF"/>
    <w:rsid w:val="00997D63"/>
    <w:rsid w:val="009A0D41"/>
    <w:rsid w:val="009A149B"/>
    <w:rsid w:val="009B33C8"/>
    <w:rsid w:val="009B5089"/>
    <w:rsid w:val="009B5D57"/>
    <w:rsid w:val="009C0DDA"/>
    <w:rsid w:val="009C0EFC"/>
    <w:rsid w:val="009C15E2"/>
    <w:rsid w:val="009C33BF"/>
    <w:rsid w:val="009C3820"/>
    <w:rsid w:val="009C5AE1"/>
    <w:rsid w:val="009D6752"/>
    <w:rsid w:val="009E35EB"/>
    <w:rsid w:val="009E5899"/>
    <w:rsid w:val="009E64F2"/>
    <w:rsid w:val="009E7875"/>
    <w:rsid w:val="009F72D1"/>
    <w:rsid w:val="00A03DBF"/>
    <w:rsid w:val="00A06861"/>
    <w:rsid w:val="00A144A6"/>
    <w:rsid w:val="00A21627"/>
    <w:rsid w:val="00A37A94"/>
    <w:rsid w:val="00A37CF6"/>
    <w:rsid w:val="00A41611"/>
    <w:rsid w:val="00A441B7"/>
    <w:rsid w:val="00A447AF"/>
    <w:rsid w:val="00A46430"/>
    <w:rsid w:val="00A5780A"/>
    <w:rsid w:val="00A6230B"/>
    <w:rsid w:val="00A62B15"/>
    <w:rsid w:val="00A63901"/>
    <w:rsid w:val="00A63F21"/>
    <w:rsid w:val="00A7247E"/>
    <w:rsid w:val="00A72BFA"/>
    <w:rsid w:val="00A72FCD"/>
    <w:rsid w:val="00A74844"/>
    <w:rsid w:val="00A75E74"/>
    <w:rsid w:val="00A81D7B"/>
    <w:rsid w:val="00A87DCB"/>
    <w:rsid w:val="00A9090E"/>
    <w:rsid w:val="00A923E0"/>
    <w:rsid w:val="00A9673C"/>
    <w:rsid w:val="00AA4D1D"/>
    <w:rsid w:val="00AB49A1"/>
    <w:rsid w:val="00AC1161"/>
    <w:rsid w:val="00AD18DD"/>
    <w:rsid w:val="00AD562B"/>
    <w:rsid w:val="00AD6B43"/>
    <w:rsid w:val="00AD7575"/>
    <w:rsid w:val="00AD7E34"/>
    <w:rsid w:val="00AE3F47"/>
    <w:rsid w:val="00AE5AA4"/>
    <w:rsid w:val="00AE69BF"/>
    <w:rsid w:val="00AF06BF"/>
    <w:rsid w:val="00AF7347"/>
    <w:rsid w:val="00B00042"/>
    <w:rsid w:val="00B007DE"/>
    <w:rsid w:val="00B014DF"/>
    <w:rsid w:val="00B11B77"/>
    <w:rsid w:val="00B16987"/>
    <w:rsid w:val="00B17EF5"/>
    <w:rsid w:val="00B2068A"/>
    <w:rsid w:val="00B23F95"/>
    <w:rsid w:val="00B25BAB"/>
    <w:rsid w:val="00B26285"/>
    <w:rsid w:val="00B33F4A"/>
    <w:rsid w:val="00B41297"/>
    <w:rsid w:val="00B50423"/>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287F"/>
    <w:rsid w:val="00BA34FC"/>
    <w:rsid w:val="00BA3697"/>
    <w:rsid w:val="00BA3915"/>
    <w:rsid w:val="00BA3AE4"/>
    <w:rsid w:val="00BA3FCC"/>
    <w:rsid w:val="00BB1203"/>
    <w:rsid w:val="00BB3501"/>
    <w:rsid w:val="00BB3A06"/>
    <w:rsid w:val="00BB7A7F"/>
    <w:rsid w:val="00BC3F72"/>
    <w:rsid w:val="00BC50B1"/>
    <w:rsid w:val="00BC64B2"/>
    <w:rsid w:val="00BC662F"/>
    <w:rsid w:val="00BC6FFD"/>
    <w:rsid w:val="00BC778B"/>
    <w:rsid w:val="00BC7AFE"/>
    <w:rsid w:val="00BD1958"/>
    <w:rsid w:val="00BD3CFA"/>
    <w:rsid w:val="00BD4CFD"/>
    <w:rsid w:val="00BD4DE1"/>
    <w:rsid w:val="00BD7393"/>
    <w:rsid w:val="00BD7C42"/>
    <w:rsid w:val="00BE2CDD"/>
    <w:rsid w:val="00BE6EA1"/>
    <w:rsid w:val="00BF1954"/>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4991"/>
    <w:rsid w:val="00C3553B"/>
    <w:rsid w:val="00C375E3"/>
    <w:rsid w:val="00C44634"/>
    <w:rsid w:val="00C45644"/>
    <w:rsid w:val="00C47D65"/>
    <w:rsid w:val="00C51B56"/>
    <w:rsid w:val="00C5361C"/>
    <w:rsid w:val="00C53B3E"/>
    <w:rsid w:val="00C61988"/>
    <w:rsid w:val="00C64316"/>
    <w:rsid w:val="00C67F89"/>
    <w:rsid w:val="00C71F74"/>
    <w:rsid w:val="00C73CFC"/>
    <w:rsid w:val="00C7490E"/>
    <w:rsid w:val="00C75104"/>
    <w:rsid w:val="00C77793"/>
    <w:rsid w:val="00C81CAD"/>
    <w:rsid w:val="00C84743"/>
    <w:rsid w:val="00C859CF"/>
    <w:rsid w:val="00C85EDC"/>
    <w:rsid w:val="00C86E10"/>
    <w:rsid w:val="00C870EF"/>
    <w:rsid w:val="00C9160A"/>
    <w:rsid w:val="00C972C4"/>
    <w:rsid w:val="00CA1FEF"/>
    <w:rsid w:val="00CA25FC"/>
    <w:rsid w:val="00CA6A56"/>
    <w:rsid w:val="00CA7BAA"/>
    <w:rsid w:val="00CB2CEE"/>
    <w:rsid w:val="00CB4DE3"/>
    <w:rsid w:val="00CC2F35"/>
    <w:rsid w:val="00CC33C8"/>
    <w:rsid w:val="00CC40C3"/>
    <w:rsid w:val="00CD3160"/>
    <w:rsid w:val="00CD42C4"/>
    <w:rsid w:val="00CE43F8"/>
    <w:rsid w:val="00CE7C8B"/>
    <w:rsid w:val="00CF01CC"/>
    <w:rsid w:val="00CF6D5C"/>
    <w:rsid w:val="00D01F71"/>
    <w:rsid w:val="00D05106"/>
    <w:rsid w:val="00D10B1F"/>
    <w:rsid w:val="00D11E1F"/>
    <w:rsid w:val="00D13130"/>
    <w:rsid w:val="00D165EA"/>
    <w:rsid w:val="00D20C81"/>
    <w:rsid w:val="00D317E1"/>
    <w:rsid w:val="00D3262F"/>
    <w:rsid w:val="00D34B21"/>
    <w:rsid w:val="00D361FE"/>
    <w:rsid w:val="00D36E74"/>
    <w:rsid w:val="00D42F13"/>
    <w:rsid w:val="00D43B3D"/>
    <w:rsid w:val="00D459E8"/>
    <w:rsid w:val="00D5035D"/>
    <w:rsid w:val="00D5213E"/>
    <w:rsid w:val="00D52A3F"/>
    <w:rsid w:val="00D535B2"/>
    <w:rsid w:val="00D56E0D"/>
    <w:rsid w:val="00D62A71"/>
    <w:rsid w:val="00D70A3B"/>
    <w:rsid w:val="00D72110"/>
    <w:rsid w:val="00D77206"/>
    <w:rsid w:val="00D919AF"/>
    <w:rsid w:val="00D937BD"/>
    <w:rsid w:val="00DA176C"/>
    <w:rsid w:val="00DA2D7C"/>
    <w:rsid w:val="00DB3685"/>
    <w:rsid w:val="00DB6C9E"/>
    <w:rsid w:val="00DB6F0A"/>
    <w:rsid w:val="00DC3AEA"/>
    <w:rsid w:val="00DD7BAA"/>
    <w:rsid w:val="00DE0FFA"/>
    <w:rsid w:val="00DE6A70"/>
    <w:rsid w:val="00DF3DF3"/>
    <w:rsid w:val="00DF5AA8"/>
    <w:rsid w:val="00DF5DDF"/>
    <w:rsid w:val="00E065F5"/>
    <w:rsid w:val="00E11D7D"/>
    <w:rsid w:val="00E1254C"/>
    <w:rsid w:val="00E16895"/>
    <w:rsid w:val="00E2306F"/>
    <w:rsid w:val="00E27F4F"/>
    <w:rsid w:val="00E32614"/>
    <w:rsid w:val="00E33250"/>
    <w:rsid w:val="00E33A52"/>
    <w:rsid w:val="00E3526B"/>
    <w:rsid w:val="00E5059C"/>
    <w:rsid w:val="00E54C06"/>
    <w:rsid w:val="00E5664A"/>
    <w:rsid w:val="00E676B1"/>
    <w:rsid w:val="00E7407A"/>
    <w:rsid w:val="00E74B15"/>
    <w:rsid w:val="00E81A0A"/>
    <w:rsid w:val="00E8568B"/>
    <w:rsid w:val="00E964F7"/>
    <w:rsid w:val="00EA461A"/>
    <w:rsid w:val="00EA6F84"/>
    <w:rsid w:val="00EB7931"/>
    <w:rsid w:val="00ED4681"/>
    <w:rsid w:val="00ED548C"/>
    <w:rsid w:val="00ED7F3F"/>
    <w:rsid w:val="00EE5FF0"/>
    <w:rsid w:val="00EF043C"/>
    <w:rsid w:val="00EF409C"/>
    <w:rsid w:val="00EF49B3"/>
    <w:rsid w:val="00EF56E1"/>
    <w:rsid w:val="00EF73FD"/>
    <w:rsid w:val="00F00561"/>
    <w:rsid w:val="00F01150"/>
    <w:rsid w:val="00F01CDF"/>
    <w:rsid w:val="00F01E3D"/>
    <w:rsid w:val="00F0215F"/>
    <w:rsid w:val="00F04147"/>
    <w:rsid w:val="00F04DC2"/>
    <w:rsid w:val="00F066D9"/>
    <w:rsid w:val="00F1095D"/>
    <w:rsid w:val="00F15F73"/>
    <w:rsid w:val="00F24630"/>
    <w:rsid w:val="00F25F52"/>
    <w:rsid w:val="00F36E25"/>
    <w:rsid w:val="00F37FC9"/>
    <w:rsid w:val="00F469D5"/>
    <w:rsid w:val="00F47FEE"/>
    <w:rsid w:val="00F51B09"/>
    <w:rsid w:val="00F527B3"/>
    <w:rsid w:val="00F632AF"/>
    <w:rsid w:val="00F6382D"/>
    <w:rsid w:val="00F63F55"/>
    <w:rsid w:val="00F66378"/>
    <w:rsid w:val="00F675F0"/>
    <w:rsid w:val="00F71C51"/>
    <w:rsid w:val="00F765B7"/>
    <w:rsid w:val="00F77ADA"/>
    <w:rsid w:val="00F77F4B"/>
    <w:rsid w:val="00F9100C"/>
    <w:rsid w:val="00FA0934"/>
    <w:rsid w:val="00FA653D"/>
    <w:rsid w:val="00FB0BE0"/>
    <w:rsid w:val="00FB23EE"/>
    <w:rsid w:val="00FB3788"/>
    <w:rsid w:val="00FC14DA"/>
    <w:rsid w:val="00FC34DF"/>
    <w:rsid w:val="00FD3C47"/>
    <w:rsid w:val="00FD658E"/>
    <w:rsid w:val="00FE0C5A"/>
    <w:rsid w:val="00FE13A2"/>
    <w:rsid w:val="00FE3B48"/>
    <w:rsid w:val="00FF2CDE"/>
    <w:rsid w:val="045D1A8B"/>
    <w:rsid w:val="6AC15A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B1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E74B15"/>
    <w:pPr>
      <w:jc w:val="left"/>
    </w:pPr>
  </w:style>
  <w:style w:type="paragraph" w:styleId="a4">
    <w:name w:val="Balloon Text"/>
    <w:basedOn w:val="a"/>
    <w:link w:val="Char0"/>
    <w:uiPriority w:val="99"/>
    <w:semiHidden/>
    <w:unhideWhenUsed/>
    <w:qFormat/>
    <w:rsid w:val="00E74B15"/>
    <w:rPr>
      <w:sz w:val="18"/>
      <w:szCs w:val="18"/>
    </w:rPr>
  </w:style>
  <w:style w:type="paragraph" w:styleId="a5">
    <w:name w:val="footer"/>
    <w:basedOn w:val="a"/>
    <w:link w:val="Char1"/>
    <w:uiPriority w:val="99"/>
    <w:unhideWhenUsed/>
    <w:qFormat/>
    <w:rsid w:val="00E74B15"/>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E74B15"/>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semiHidden/>
    <w:unhideWhenUsed/>
    <w:qFormat/>
    <w:rsid w:val="00E74B15"/>
    <w:pPr>
      <w:snapToGrid w:val="0"/>
      <w:jc w:val="left"/>
    </w:pPr>
    <w:rPr>
      <w:sz w:val="18"/>
      <w:szCs w:val="18"/>
    </w:rPr>
  </w:style>
  <w:style w:type="paragraph" w:styleId="a8">
    <w:name w:val="annotation subject"/>
    <w:basedOn w:val="a3"/>
    <w:next w:val="a3"/>
    <w:link w:val="Char4"/>
    <w:uiPriority w:val="99"/>
    <w:semiHidden/>
    <w:unhideWhenUsed/>
    <w:qFormat/>
    <w:rsid w:val="00E74B15"/>
    <w:rPr>
      <w:b/>
      <w:bCs/>
    </w:rPr>
  </w:style>
  <w:style w:type="table" w:styleId="a9">
    <w:name w:val="Table Grid"/>
    <w:basedOn w:val="a1"/>
    <w:uiPriority w:val="59"/>
    <w:qFormat/>
    <w:rsid w:val="00E74B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qFormat/>
    <w:rsid w:val="00E74B15"/>
    <w:rPr>
      <w:color w:val="0000FF" w:themeColor="hyperlink"/>
      <w:u w:val="single"/>
    </w:rPr>
  </w:style>
  <w:style w:type="character" w:styleId="ab">
    <w:name w:val="annotation reference"/>
    <w:basedOn w:val="a0"/>
    <w:uiPriority w:val="99"/>
    <w:semiHidden/>
    <w:unhideWhenUsed/>
    <w:qFormat/>
    <w:rsid w:val="00E74B15"/>
    <w:rPr>
      <w:sz w:val="21"/>
      <w:szCs w:val="21"/>
    </w:rPr>
  </w:style>
  <w:style w:type="character" w:styleId="ac">
    <w:name w:val="footnote reference"/>
    <w:basedOn w:val="a0"/>
    <w:uiPriority w:val="99"/>
    <w:semiHidden/>
    <w:unhideWhenUsed/>
    <w:qFormat/>
    <w:rsid w:val="00E74B15"/>
    <w:rPr>
      <w:vertAlign w:val="superscript"/>
    </w:rPr>
  </w:style>
  <w:style w:type="character" w:customStyle="1" w:styleId="Char2">
    <w:name w:val="页眉 Char"/>
    <w:basedOn w:val="a0"/>
    <w:link w:val="a6"/>
    <w:uiPriority w:val="99"/>
    <w:qFormat/>
    <w:rsid w:val="00E74B15"/>
    <w:rPr>
      <w:sz w:val="18"/>
      <w:szCs w:val="18"/>
    </w:rPr>
  </w:style>
  <w:style w:type="character" w:customStyle="1" w:styleId="Char1">
    <w:name w:val="页脚 Char"/>
    <w:basedOn w:val="a0"/>
    <w:link w:val="a5"/>
    <w:uiPriority w:val="99"/>
    <w:qFormat/>
    <w:rsid w:val="00E74B15"/>
    <w:rPr>
      <w:sz w:val="18"/>
      <w:szCs w:val="18"/>
    </w:rPr>
  </w:style>
  <w:style w:type="paragraph" w:styleId="ad">
    <w:name w:val="List Paragraph"/>
    <w:basedOn w:val="a"/>
    <w:uiPriority w:val="34"/>
    <w:qFormat/>
    <w:rsid w:val="00E74B15"/>
    <w:pPr>
      <w:ind w:firstLineChars="200" w:firstLine="420"/>
    </w:pPr>
  </w:style>
  <w:style w:type="character" w:customStyle="1" w:styleId="Char0">
    <w:name w:val="批注框文本 Char"/>
    <w:basedOn w:val="a0"/>
    <w:link w:val="a4"/>
    <w:uiPriority w:val="99"/>
    <w:semiHidden/>
    <w:qFormat/>
    <w:rsid w:val="00E74B15"/>
    <w:rPr>
      <w:sz w:val="18"/>
      <w:szCs w:val="18"/>
    </w:rPr>
  </w:style>
  <w:style w:type="character" w:customStyle="1" w:styleId="Char">
    <w:name w:val="批注文字 Char"/>
    <w:basedOn w:val="a0"/>
    <w:link w:val="a3"/>
    <w:uiPriority w:val="99"/>
    <w:semiHidden/>
    <w:qFormat/>
    <w:rsid w:val="00E74B15"/>
  </w:style>
  <w:style w:type="character" w:customStyle="1" w:styleId="Char4">
    <w:name w:val="批注主题 Char"/>
    <w:basedOn w:val="Char"/>
    <w:link w:val="a8"/>
    <w:uiPriority w:val="99"/>
    <w:semiHidden/>
    <w:qFormat/>
    <w:rsid w:val="00E74B15"/>
    <w:rPr>
      <w:b/>
      <w:bCs/>
    </w:rPr>
  </w:style>
  <w:style w:type="character" w:customStyle="1" w:styleId="Char3">
    <w:name w:val="脚注文本 Char"/>
    <w:basedOn w:val="a0"/>
    <w:link w:val="a7"/>
    <w:uiPriority w:val="99"/>
    <w:semiHidden/>
    <w:qFormat/>
    <w:rsid w:val="00E74B1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3E67E-2AB6-4183-8ED1-9B5C9CA48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1492</Words>
  <Characters>8506</Characters>
  <Application>Microsoft Office Word</Application>
  <DocSecurity>4</DocSecurity>
  <Lines>70</Lines>
  <Paragraphs>19</Paragraphs>
  <ScaleCrop>false</ScaleCrop>
  <Company>CNSTOCK</Company>
  <LinksUpToDate>false</LinksUpToDate>
  <CharactersWithSpaces>9979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2024-01-21T16:02:00Z</dcterms:created>
  <dcterms:modified xsi:type="dcterms:W3CDTF">2024-01-21T16:02:00Z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939A7FA74FA943268C0FE9BE95B5F55E</vt:lpwstr>
  </property>
</Properties>
</file>