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A1C" w:rsidRPr="00A535B0" w:rsidRDefault="007B2D54">
      <w:pPr>
        <w:spacing w:line="360" w:lineRule="auto"/>
        <w:jc w:val="center"/>
        <w:rPr>
          <w:rFonts w:ascii="宋体" w:eastAsia="宋体"/>
          <w:b/>
          <w:sz w:val="28"/>
          <w:szCs w:val="28"/>
        </w:rPr>
      </w:pPr>
      <w:r>
        <w:rPr>
          <w:rFonts w:ascii="宋体" w:eastAsia="宋体" w:hint="eastAsia"/>
          <w:b/>
          <w:sz w:val="30"/>
          <w:szCs w:val="30"/>
        </w:rPr>
        <w:t>民生加银金融优选混合型证券投资基金</w:t>
      </w:r>
      <w:r w:rsidR="00B930FC" w:rsidRPr="00A535B0">
        <w:rPr>
          <w:rFonts w:ascii="宋体" w:eastAsia="宋体" w:hint="eastAsia"/>
          <w:b/>
          <w:sz w:val="30"/>
          <w:szCs w:val="30"/>
        </w:rPr>
        <w:t>基金份额持有人大会参会情况统计结果的公告</w:t>
      </w:r>
      <w:r w:rsidR="00B930FC" w:rsidRPr="00A535B0">
        <w:rPr>
          <w:rFonts w:ascii="宋体" w:eastAsia="宋体" w:hint="eastAsia"/>
          <w:b/>
          <w:sz w:val="28"/>
          <w:szCs w:val="28"/>
        </w:rPr>
        <w:t xml:space="preserve"> </w:t>
      </w:r>
    </w:p>
    <w:p w:rsidR="00E42A1C" w:rsidRPr="00A535B0" w:rsidRDefault="00E42A1C">
      <w:pPr>
        <w:spacing w:line="360" w:lineRule="auto"/>
        <w:jc w:val="center"/>
        <w:rPr>
          <w:rFonts w:ascii="宋体" w:eastAsia="宋体"/>
          <w:b/>
          <w:sz w:val="28"/>
          <w:szCs w:val="28"/>
        </w:rPr>
      </w:pPr>
    </w:p>
    <w:p w:rsidR="00E42A1C" w:rsidRPr="00A535B0" w:rsidRDefault="00B930FC">
      <w:pPr>
        <w:spacing w:line="360" w:lineRule="auto"/>
        <w:ind w:firstLineChars="200" w:firstLine="480"/>
        <w:rPr>
          <w:rFonts w:ascii="宋体" w:eastAsia="宋体"/>
          <w:sz w:val="24"/>
          <w:szCs w:val="24"/>
        </w:rPr>
      </w:pPr>
      <w:r w:rsidRPr="00A535B0">
        <w:rPr>
          <w:rFonts w:ascii="宋体" w:eastAsia="宋体" w:hint="eastAsia"/>
          <w:sz w:val="24"/>
          <w:szCs w:val="24"/>
        </w:rPr>
        <w:t>根据《中华人民共和国证券投资基金法》、《公开募集证券投资基金运作管理办法》和《</w:t>
      </w:r>
      <w:r w:rsidR="007B2D54">
        <w:rPr>
          <w:rFonts w:ascii="宋体" w:eastAsia="宋体" w:hint="eastAsia"/>
          <w:sz w:val="24"/>
          <w:szCs w:val="24"/>
        </w:rPr>
        <w:t>民生加银金融优选混合型证券投资基金</w:t>
      </w:r>
      <w:r w:rsidRPr="00A535B0">
        <w:rPr>
          <w:rFonts w:ascii="宋体" w:eastAsia="宋体" w:hint="eastAsia"/>
          <w:sz w:val="24"/>
          <w:szCs w:val="24"/>
        </w:rPr>
        <w:t>基金合同》的有关规定，现将民生加银基金管理有限公司（以下简称“本公司”）旗下</w:t>
      </w:r>
      <w:r w:rsidR="007B2D54">
        <w:rPr>
          <w:rFonts w:ascii="宋体" w:eastAsia="宋体" w:hint="eastAsia"/>
          <w:sz w:val="24"/>
          <w:szCs w:val="24"/>
        </w:rPr>
        <w:t>民生加银金融优选混合型证券投资基金</w:t>
      </w:r>
      <w:r w:rsidRPr="00A535B0">
        <w:rPr>
          <w:rFonts w:ascii="宋体" w:eastAsia="宋体" w:hint="eastAsia"/>
          <w:sz w:val="24"/>
          <w:szCs w:val="24"/>
        </w:rPr>
        <w:t>（以下简称“本基金”）基金份额持有人大会的参会情况统计结果及相关事项公告如下：</w:t>
      </w:r>
    </w:p>
    <w:p w:rsidR="00E42A1C" w:rsidRPr="00A535B0" w:rsidRDefault="00B930FC">
      <w:pPr>
        <w:spacing w:line="360" w:lineRule="auto"/>
        <w:ind w:firstLineChars="200" w:firstLine="482"/>
        <w:rPr>
          <w:rFonts w:ascii="宋体" w:eastAsia="宋体"/>
          <w:b/>
          <w:sz w:val="24"/>
          <w:szCs w:val="24"/>
        </w:rPr>
      </w:pPr>
      <w:r w:rsidRPr="00A535B0">
        <w:rPr>
          <w:rFonts w:ascii="宋体" w:eastAsia="宋体" w:hint="eastAsia"/>
          <w:b/>
          <w:sz w:val="24"/>
          <w:szCs w:val="24"/>
        </w:rPr>
        <w:t>一、</w:t>
      </w:r>
      <w:r w:rsidRPr="00A535B0">
        <w:rPr>
          <w:rFonts w:ascii="宋体" w:eastAsia="宋体"/>
          <w:b/>
          <w:sz w:val="24"/>
          <w:szCs w:val="24"/>
        </w:rPr>
        <w:t xml:space="preserve"> 本次基金份额持有人大会会议情况</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hint="eastAsia"/>
          <w:sz w:val="24"/>
          <w:szCs w:val="24"/>
        </w:rPr>
        <w:t>本</w:t>
      </w:r>
      <w:r w:rsidR="009B4A74" w:rsidRPr="00A535B0">
        <w:rPr>
          <w:rFonts w:ascii="宋体" w:eastAsia="宋体" w:hint="eastAsia"/>
          <w:sz w:val="24"/>
          <w:szCs w:val="24"/>
        </w:rPr>
        <w:t>公司已</w:t>
      </w:r>
      <w:r w:rsidRPr="00A535B0">
        <w:rPr>
          <w:rFonts w:ascii="宋体" w:eastAsia="宋体" w:hint="eastAsia"/>
          <w:sz w:val="24"/>
          <w:szCs w:val="24"/>
        </w:rPr>
        <w:t>召</w:t>
      </w:r>
      <w:r w:rsidR="009B4A74" w:rsidRPr="00A535B0">
        <w:rPr>
          <w:rFonts w:ascii="宋体" w:eastAsia="宋体" w:hint="eastAsia"/>
          <w:sz w:val="24"/>
          <w:szCs w:val="24"/>
        </w:rPr>
        <w:t>集</w:t>
      </w:r>
      <w:r w:rsidRPr="00A535B0">
        <w:rPr>
          <w:rFonts w:ascii="宋体" w:eastAsia="宋体" w:hint="eastAsia"/>
          <w:sz w:val="24"/>
          <w:szCs w:val="24"/>
        </w:rPr>
        <w:t>了基金份额持有人大会，审议《</w:t>
      </w:r>
      <w:r w:rsidR="00D22852" w:rsidRPr="00D22852">
        <w:rPr>
          <w:rFonts w:ascii="宋体" w:eastAsia="宋体" w:hint="eastAsia"/>
          <w:sz w:val="24"/>
          <w:szCs w:val="24"/>
        </w:rPr>
        <w:t>关于持续运作民生加银金融优选混合型证券投资基金的议案</w:t>
      </w:r>
      <w:r w:rsidRPr="00A535B0">
        <w:rPr>
          <w:rFonts w:ascii="宋体" w:eastAsia="宋体" w:hint="eastAsia"/>
          <w:sz w:val="24"/>
          <w:szCs w:val="24"/>
        </w:rPr>
        <w:t>》（以下简称“本次会议议案”），并由参加大会的基金份额持有人对本次会议议案进行表决。</w:t>
      </w:r>
      <w:r w:rsidRPr="00A535B0">
        <w:rPr>
          <w:rFonts w:ascii="宋体" w:eastAsia="宋体"/>
          <w:sz w:val="24"/>
          <w:szCs w:val="24"/>
        </w:rPr>
        <w:t>本次大会表决投票时间</w:t>
      </w:r>
      <w:r w:rsidR="00CB3D2B" w:rsidRPr="00CB3D2B">
        <w:rPr>
          <w:rFonts w:ascii="宋体" w:eastAsia="宋体" w:hint="eastAsia"/>
          <w:sz w:val="24"/>
          <w:szCs w:val="24"/>
        </w:rPr>
        <w:t>自2023年12月18日起，至2024年1月18日17:00止</w:t>
      </w:r>
      <w:r w:rsidRPr="00A535B0">
        <w:rPr>
          <w:rFonts w:ascii="宋体" w:eastAsia="宋体"/>
          <w:sz w:val="24"/>
          <w:szCs w:val="24"/>
        </w:rPr>
        <w:t>（</w:t>
      </w:r>
      <w:r w:rsidRPr="00A535B0">
        <w:rPr>
          <w:rFonts w:ascii="宋体" w:eastAsia="宋体" w:hint="eastAsia"/>
          <w:sz w:val="24"/>
          <w:szCs w:val="24"/>
        </w:rPr>
        <w:t>纸质投票通过专人送交、邮寄送达公告规定的收件人的，</w:t>
      </w:r>
      <w:r w:rsidRPr="00A535B0">
        <w:rPr>
          <w:rFonts w:ascii="宋体" w:eastAsia="宋体"/>
          <w:sz w:val="24"/>
          <w:szCs w:val="24"/>
        </w:rPr>
        <w:t>投票表决时间以</w:t>
      </w:r>
      <w:r w:rsidRPr="00A535B0">
        <w:rPr>
          <w:rFonts w:ascii="宋体" w:eastAsia="宋体" w:hint="eastAsia"/>
          <w:sz w:val="24"/>
          <w:szCs w:val="24"/>
        </w:rPr>
        <w:t>表决票收件人</w:t>
      </w:r>
      <w:r w:rsidRPr="00A535B0">
        <w:rPr>
          <w:rFonts w:ascii="宋体" w:eastAsia="宋体"/>
          <w:sz w:val="24"/>
          <w:szCs w:val="24"/>
        </w:rPr>
        <w:t>收到表决票时间为准</w:t>
      </w:r>
      <w:r w:rsidRPr="00A535B0">
        <w:rPr>
          <w:rFonts w:ascii="宋体" w:eastAsia="宋体" w:hint="eastAsia"/>
          <w:sz w:val="24"/>
          <w:szCs w:val="24"/>
        </w:rPr>
        <w:t>；电话、短信投票以基金管理人或其委托的销售机构系统记录时间为准</w:t>
      </w:r>
      <w:r w:rsidRPr="00A535B0">
        <w:rPr>
          <w:rFonts w:ascii="宋体" w:eastAsia="宋体"/>
          <w:sz w:val="24"/>
          <w:szCs w:val="24"/>
        </w:rPr>
        <w:t>）。截</w:t>
      </w:r>
      <w:r w:rsidRPr="00A535B0">
        <w:rPr>
          <w:rFonts w:ascii="宋体" w:eastAsia="宋体" w:hint="eastAsia"/>
          <w:sz w:val="24"/>
          <w:szCs w:val="24"/>
        </w:rPr>
        <w:t>至</w:t>
      </w:r>
      <w:r w:rsidR="005D2FF0" w:rsidRPr="00CB3D2B">
        <w:rPr>
          <w:rFonts w:ascii="宋体" w:eastAsia="宋体" w:hint="eastAsia"/>
          <w:sz w:val="24"/>
          <w:szCs w:val="24"/>
        </w:rPr>
        <w:t>2024年1月18日</w:t>
      </w:r>
      <w:r w:rsidRPr="00A535B0">
        <w:rPr>
          <w:rFonts w:ascii="宋体" w:eastAsia="宋体"/>
          <w:sz w:val="24"/>
          <w:szCs w:val="24"/>
        </w:rPr>
        <w:t>17点00分，</w:t>
      </w:r>
      <w:r w:rsidRPr="00A535B0">
        <w:rPr>
          <w:rFonts w:ascii="宋体" w:eastAsia="宋体" w:hint="eastAsia"/>
          <w:sz w:val="24"/>
          <w:szCs w:val="24"/>
        </w:rPr>
        <w:t>本人直接出具表决意见或授权他人代表出具表决意见的基金份额持有人</w:t>
      </w:r>
      <w:r w:rsidRPr="00A535B0">
        <w:rPr>
          <w:rFonts w:ascii="宋体" w:eastAsia="宋体"/>
          <w:sz w:val="24"/>
          <w:szCs w:val="24"/>
        </w:rPr>
        <w:t>所</w:t>
      </w:r>
      <w:r w:rsidR="00237CF6">
        <w:rPr>
          <w:rFonts w:ascii="宋体" w:eastAsia="宋体" w:hint="eastAsia"/>
          <w:sz w:val="24"/>
          <w:szCs w:val="24"/>
        </w:rPr>
        <w:t>持有</w:t>
      </w:r>
      <w:r w:rsidRPr="00A535B0">
        <w:rPr>
          <w:rFonts w:ascii="宋体" w:eastAsia="宋体"/>
          <w:sz w:val="24"/>
          <w:szCs w:val="24"/>
        </w:rPr>
        <w:t>的基金份额</w:t>
      </w:r>
      <w:r w:rsidRPr="00A535B0">
        <w:rPr>
          <w:rFonts w:ascii="宋体" w:eastAsia="宋体" w:hint="eastAsia"/>
          <w:sz w:val="24"/>
          <w:szCs w:val="24"/>
        </w:rPr>
        <w:t>小</w:t>
      </w:r>
      <w:r w:rsidRPr="00A535B0">
        <w:rPr>
          <w:rFonts w:ascii="宋体" w:eastAsia="宋体"/>
          <w:sz w:val="24"/>
          <w:szCs w:val="24"/>
        </w:rPr>
        <w:t>于权益登记日（</w:t>
      </w:r>
      <w:r w:rsidR="000703E5" w:rsidRPr="000703E5">
        <w:rPr>
          <w:rFonts w:ascii="宋体" w:eastAsia="宋体" w:hint="eastAsia"/>
          <w:sz w:val="24"/>
          <w:szCs w:val="24"/>
        </w:rPr>
        <w:t>2023年12月18日</w:t>
      </w:r>
      <w:r w:rsidRPr="00A535B0">
        <w:rPr>
          <w:rFonts w:ascii="宋体" w:eastAsia="宋体"/>
          <w:sz w:val="24"/>
          <w:szCs w:val="24"/>
        </w:rPr>
        <w:t>）基金总份额的</w:t>
      </w:r>
      <w:r w:rsidR="00237CF6">
        <w:rPr>
          <w:rFonts w:ascii="宋体" w:eastAsia="宋体" w:hint="eastAsia"/>
          <w:sz w:val="24"/>
          <w:szCs w:val="24"/>
        </w:rPr>
        <w:t>二分之一（含二分之一）</w:t>
      </w:r>
      <w:r w:rsidR="001A288E">
        <w:rPr>
          <w:rFonts w:ascii="宋体" w:eastAsia="宋体"/>
          <w:sz w:val="24"/>
          <w:szCs w:val="24"/>
        </w:rPr>
        <w:t>，未达到《中</w:t>
      </w:r>
      <w:r w:rsidR="001A288E">
        <w:rPr>
          <w:rFonts w:ascii="宋体" w:eastAsia="宋体" w:hint="eastAsia"/>
          <w:sz w:val="24"/>
          <w:szCs w:val="24"/>
        </w:rPr>
        <w:t>华</w:t>
      </w:r>
      <w:r w:rsidRPr="00A535B0">
        <w:rPr>
          <w:rFonts w:ascii="宋体" w:eastAsia="宋体"/>
          <w:sz w:val="24"/>
          <w:szCs w:val="24"/>
        </w:rPr>
        <w:t>人民共和国证券投资基金法》和《</w:t>
      </w:r>
      <w:r w:rsidR="007B2D54">
        <w:rPr>
          <w:rFonts w:ascii="宋体" w:eastAsia="宋体"/>
          <w:sz w:val="24"/>
          <w:szCs w:val="24"/>
        </w:rPr>
        <w:t>民生加银金融优选混合型证券投资基金</w:t>
      </w:r>
      <w:r w:rsidRPr="00A535B0">
        <w:rPr>
          <w:rFonts w:ascii="宋体" w:eastAsia="宋体" w:hint="eastAsia"/>
          <w:sz w:val="24"/>
          <w:szCs w:val="24"/>
        </w:rPr>
        <w:t>基金合同》关于“以通讯方式召开基金份额持有人大会”的有效开会条件。</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hint="eastAsia"/>
          <w:sz w:val="24"/>
          <w:szCs w:val="24"/>
        </w:rPr>
        <w:t>此次基金份额持有人大会的计票于</w:t>
      </w:r>
      <w:r w:rsidR="009E112A" w:rsidRPr="009E112A">
        <w:rPr>
          <w:rFonts w:ascii="宋体" w:eastAsia="宋体" w:hint="eastAsia"/>
          <w:sz w:val="24"/>
          <w:szCs w:val="24"/>
        </w:rPr>
        <w:t>2024年1月19日</w:t>
      </w:r>
      <w:r w:rsidRPr="00A535B0">
        <w:rPr>
          <w:rFonts w:ascii="宋体" w:eastAsia="宋体"/>
          <w:sz w:val="24"/>
          <w:szCs w:val="24"/>
        </w:rPr>
        <w:t>在本基金的</w:t>
      </w:r>
      <w:r w:rsidRPr="00A535B0">
        <w:rPr>
          <w:rFonts w:ascii="宋体" w:eastAsia="宋体" w:hint="eastAsia"/>
          <w:sz w:val="24"/>
          <w:szCs w:val="24"/>
        </w:rPr>
        <w:t>基金</w:t>
      </w:r>
      <w:r w:rsidRPr="00A535B0">
        <w:rPr>
          <w:rFonts w:ascii="宋体" w:eastAsia="宋体"/>
          <w:sz w:val="24"/>
          <w:szCs w:val="24"/>
        </w:rPr>
        <w:t>托管人</w:t>
      </w:r>
      <w:r w:rsidR="008C510A">
        <w:rPr>
          <w:rFonts w:ascii="宋体" w:eastAsia="宋体" w:hint="eastAsia"/>
          <w:sz w:val="24"/>
          <w:szCs w:val="24"/>
        </w:rPr>
        <w:t>华夏银行股份有限公司</w:t>
      </w:r>
      <w:r w:rsidRPr="00A535B0">
        <w:rPr>
          <w:rFonts w:ascii="宋体" w:eastAsia="宋体"/>
          <w:sz w:val="24"/>
          <w:szCs w:val="24"/>
        </w:rPr>
        <w:t>授权代表的监督及上海市通力律师事务所律师的见证下进行，并由北京市方圆公证处公证员对计票过程及结果进行了公证。本次基金份额持有人大会的公证费及律师费由基金财产承担。本次基金份额持有人大会的公证费0.8万元，律师费1万元，共计1.8万元。</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hint="eastAsia"/>
          <w:sz w:val="24"/>
          <w:szCs w:val="24"/>
        </w:rPr>
        <w:t>基金管理人将自该日起五日内将本次会议情况报中国证券监督管理委员会备案。</w:t>
      </w:r>
    </w:p>
    <w:p w:rsidR="00E42A1C" w:rsidRPr="00A535B0" w:rsidRDefault="00B930FC">
      <w:pPr>
        <w:spacing w:line="360" w:lineRule="auto"/>
        <w:ind w:firstLineChars="200" w:firstLine="482"/>
        <w:rPr>
          <w:rFonts w:ascii="宋体" w:eastAsia="宋体"/>
          <w:b/>
          <w:sz w:val="24"/>
          <w:szCs w:val="24"/>
        </w:rPr>
      </w:pPr>
      <w:r w:rsidRPr="00A535B0">
        <w:rPr>
          <w:rFonts w:ascii="宋体" w:eastAsia="宋体" w:hint="eastAsia"/>
          <w:b/>
          <w:sz w:val="24"/>
          <w:szCs w:val="24"/>
        </w:rPr>
        <w:t>二、</w:t>
      </w:r>
      <w:r w:rsidRPr="00A535B0">
        <w:rPr>
          <w:rFonts w:ascii="宋体" w:eastAsia="宋体"/>
          <w:b/>
          <w:sz w:val="24"/>
          <w:szCs w:val="24"/>
        </w:rPr>
        <w:t xml:space="preserve"> 备查文件</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sz w:val="24"/>
          <w:szCs w:val="24"/>
        </w:rPr>
        <w:lastRenderedPageBreak/>
        <w:t>1、《民生加银基金管理有限公司关于以通讯开会方式召开</w:t>
      </w:r>
      <w:r w:rsidR="007B2D54">
        <w:rPr>
          <w:rFonts w:ascii="宋体" w:eastAsia="宋体"/>
          <w:sz w:val="24"/>
          <w:szCs w:val="24"/>
        </w:rPr>
        <w:t>民生加银金融优选混合型证券投资基金</w:t>
      </w:r>
      <w:r w:rsidRPr="00A535B0">
        <w:rPr>
          <w:rFonts w:ascii="宋体" w:eastAsia="宋体"/>
          <w:sz w:val="24"/>
          <w:szCs w:val="24"/>
        </w:rPr>
        <w:t>基金份额持有人大会的公告》</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sz w:val="24"/>
          <w:szCs w:val="24"/>
        </w:rPr>
        <w:t>2、《民生加银基金管理有限公司关于以通讯开会方式召开</w:t>
      </w:r>
      <w:r w:rsidR="007B2D54">
        <w:rPr>
          <w:rFonts w:ascii="宋体" w:eastAsia="宋体"/>
          <w:sz w:val="24"/>
          <w:szCs w:val="24"/>
        </w:rPr>
        <w:t>民生加银金融优选混合型证券投资基金</w:t>
      </w:r>
      <w:r w:rsidRPr="00A535B0">
        <w:rPr>
          <w:rFonts w:ascii="宋体" w:eastAsia="宋体"/>
          <w:sz w:val="24"/>
          <w:szCs w:val="24"/>
        </w:rPr>
        <w:t>基金份额持有人大会的第一次提示性公告》</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sz w:val="24"/>
          <w:szCs w:val="24"/>
        </w:rPr>
        <w:t>3、《民生加银基金管理有限公司关于以通讯开会方式召开</w:t>
      </w:r>
      <w:r w:rsidR="007B2D54">
        <w:rPr>
          <w:rFonts w:ascii="宋体" w:eastAsia="宋体"/>
          <w:sz w:val="24"/>
          <w:szCs w:val="24"/>
        </w:rPr>
        <w:t>民生加银金融优选混合型证券投资基金</w:t>
      </w:r>
      <w:r w:rsidRPr="00A535B0">
        <w:rPr>
          <w:rFonts w:ascii="宋体" w:eastAsia="宋体"/>
          <w:sz w:val="24"/>
          <w:szCs w:val="24"/>
        </w:rPr>
        <w:t>基金份额持有人大会的第二次提示性公告》</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sz w:val="24"/>
          <w:szCs w:val="24"/>
        </w:rPr>
        <w:t>4、北京市方圆公证处出具的公证书（后附公证书正文部分）</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sz w:val="24"/>
          <w:szCs w:val="24"/>
        </w:rPr>
        <w:t>5、上海市通力律师事务所出具的法律意见书</w:t>
      </w:r>
    </w:p>
    <w:p w:rsidR="00E42A1C" w:rsidRPr="00A535B0" w:rsidRDefault="00B930FC">
      <w:pPr>
        <w:spacing w:line="360" w:lineRule="auto"/>
        <w:ind w:firstLineChars="200" w:firstLine="480"/>
        <w:rPr>
          <w:rFonts w:ascii="宋体" w:eastAsia="宋体"/>
          <w:sz w:val="24"/>
          <w:szCs w:val="24"/>
        </w:rPr>
      </w:pPr>
      <w:r w:rsidRPr="00A535B0">
        <w:rPr>
          <w:rFonts w:ascii="宋体" w:eastAsia="宋体" w:hint="eastAsia"/>
          <w:sz w:val="24"/>
          <w:szCs w:val="24"/>
        </w:rPr>
        <w:t>特此公告。</w:t>
      </w:r>
    </w:p>
    <w:p w:rsidR="00E42A1C" w:rsidRPr="00A535B0" w:rsidRDefault="00E42A1C">
      <w:pPr>
        <w:spacing w:line="360" w:lineRule="auto"/>
        <w:ind w:firstLineChars="200" w:firstLine="480"/>
        <w:rPr>
          <w:rFonts w:ascii="宋体" w:eastAsia="宋体"/>
          <w:sz w:val="24"/>
          <w:szCs w:val="24"/>
        </w:rPr>
      </w:pPr>
    </w:p>
    <w:p w:rsidR="00E42A1C" w:rsidRPr="00A535B0" w:rsidRDefault="00B930FC">
      <w:pPr>
        <w:spacing w:line="360" w:lineRule="auto"/>
        <w:jc w:val="right"/>
        <w:rPr>
          <w:rFonts w:ascii="宋体" w:eastAsia="宋体"/>
          <w:sz w:val="24"/>
          <w:szCs w:val="24"/>
        </w:rPr>
      </w:pPr>
      <w:r w:rsidRPr="00A535B0">
        <w:rPr>
          <w:rFonts w:ascii="宋体" w:eastAsia="宋体" w:hint="eastAsia"/>
          <w:sz w:val="24"/>
          <w:szCs w:val="24"/>
        </w:rPr>
        <w:t>民生加银基金管理有限公司</w:t>
      </w:r>
    </w:p>
    <w:p w:rsidR="00E42A1C" w:rsidRPr="00A535B0" w:rsidRDefault="006802D4">
      <w:pPr>
        <w:spacing w:line="360" w:lineRule="auto"/>
        <w:jc w:val="right"/>
        <w:rPr>
          <w:rFonts w:ascii="宋体" w:eastAsia="宋体"/>
          <w:sz w:val="24"/>
          <w:szCs w:val="24"/>
        </w:rPr>
      </w:pPr>
      <w:r w:rsidRPr="006802D4">
        <w:rPr>
          <w:rFonts w:ascii="宋体" w:eastAsia="宋体" w:hint="eastAsia"/>
          <w:sz w:val="24"/>
          <w:szCs w:val="24"/>
        </w:rPr>
        <w:t>2024年1月20日</w:t>
      </w: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B930FC">
      <w:pPr>
        <w:widowControl/>
        <w:jc w:val="left"/>
        <w:rPr>
          <w:rFonts w:ascii="宋体" w:eastAsia="宋体"/>
          <w:b/>
          <w:sz w:val="24"/>
          <w:szCs w:val="24"/>
        </w:rPr>
      </w:pPr>
      <w:r w:rsidRPr="00A535B0">
        <w:rPr>
          <w:rFonts w:ascii="宋体" w:eastAsia="宋体"/>
          <w:b/>
          <w:sz w:val="24"/>
          <w:szCs w:val="24"/>
        </w:rPr>
        <w:br w:type="page"/>
      </w:r>
    </w:p>
    <w:p w:rsidR="00E42A1C" w:rsidRPr="00A535B0" w:rsidRDefault="00B930FC">
      <w:pPr>
        <w:spacing w:line="360" w:lineRule="auto"/>
        <w:jc w:val="left"/>
        <w:rPr>
          <w:rFonts w:ascii="宋体" w:eastAsia="宋体"/>
          <w:b/>
          <w:sz w:val="24"/>
          <w:szCs w:val="24"/>
        </w:rPr>
      </w:pPr>
      <w:r w:rsidRPr="00A535B0">
        <w:rPr>
          <w:rFonts w:ascii="宋体" w:eastAsia="宋体" w:hint="eastAsia"/>
          <w:b/>
          <w:sz w:val="24"/>
          <w:szCs w:val="24"/>
        </w:rPr>
        <w:lastRenderedPageBreak/>
        <w:t>附件一：</w:t>
      </w:r>
      <w:r w:rsidR="007B2D54">
        <w:rPr>
          <w:rFonts w:ascii="宋体" w:eastAsia="宋体" w:hint="eastAsia"/>
          <w:b/>
          <w:sz w:val="24"/>
          <w:szCs w:val="24"/>
        </w:rPr>
        <w:t>民生加银金融优选混合型证券投资基金</w:t>
      </w:r>
      <w:r w:rsidRPr="00A535B0">
        <w:rPr>
          <w:rFonts w:ascii="宋体" w:eastAsia="宋体" w:hint="eastAsia"/>
          <w:b/>
          <w:sz w:val="24"/>
          <w:szCs w:val="24"/>
        </w:rPr>
        <w:t>基金份额持有人大会计票结果</w:t>
      </w:r>
    </w:p>
    <w:p w:rsidR="00E42A1C" w:rsidRPr="00A535B0" w:rsidRDefault="00E42A1C">
      <w:pPr>
        <w:spacing w:line="360" w:lineRule="auto"/>
        <w:jc w:val="left"/>
        <w:rPr>
          <w:rFonts w:ascii="宋体" w:eastAsia="宋体"/>
          <w:b/>
          <w:sz w:val="24"/>
          <w:szCs w:val="24"/>
        </w:rPr>
      </w:pPr>
    </w:p>
    <w:p w:rsidR="00E42A1C" w:rsidRPr="00A535B0" w:rsidRDefault="00B930FC">
      <w:pPr>
        <w:spacing w:line="360" w:lineRule="auto"/>
        <w:ind w:firstLineChars="200" w:firstLine="480"/>
        <w:rPr>
          <w:rFonts w:ascii="宋体" w:eastAsia="宋体"/>
          <w:sz w:val="24"/>
          <w:szCs w:val="24"/>
        </w:rPr>
      </w:pPr>
      <w:r w:rsidRPr="00A535B0">
        <w:rPr>
          <w:rFonts w:ascii="宋体" w:eastAsia="宋体" w:hint="eastAsia"/>
          <w:sz w:val="24"/>
          <w:szCs w:val="24"/>
        </w:rPr>
        <w:t>民生加银基金管理有限公司召</w:t>
      </w:r>
      <w:r w:rsidR="008456A2" w:rsidRPr="00A535B0">
        <w:rPr>
          <w:rFonts w:ascii="宋体" w:eastAsia="宋体" w:hint="eastAsia"/>
          <w:sz w:val="24"/>
          <w:szCs w:val="24"/>
        </w:rPr>
        <w:t>集</w:t>
      </w:r>
      <w:r w:rsidR="007B2D54">
        <w:rPr>
          <w:rFonts w:ascii="宋体" w:eastAsia="宋体" w:hint="eastAsia"/>
          <w:sz w:val="24"/>
          <w:szCs w:val="24"/>
        </w:rPr>
        <w:t>民生加银金融优选混合型证券投资基金</w:t>
      </w:r>
      <w:r w:rsidRPr="00A535B0">
        <w:rPr>
          <w:rFonts w:ascii="宋体" w:eastAsia="宋体" w:hint="eastAsia"/>
          <w:sz w:val="24"/>
          <w:szCs w:val="24"/>
        </w:rPr>
        <w:t>基金份额持有人大会，审议《</w:t>
      </w:r>
      <w:r w:rsidR="009F64E0" w:rsidRPr="009F64E0">
        <w:rPr>
          <w:rFonts w:ascii="宋体" w:eastAsia="宋体" w:hint="eastAsia"/>
          <w:sz w:val="24"/>
          <w:szCs w:val="24"/>
        </w:rPr>
        <w:t>关于持续运作民生加银金融优选混合型证券投资基金的议案</w:t>
      </w:r>
      <w:r w:rsidRPr="00A535B0">
        <w:rPr>
          <w:rFonts w:ascii="宋体" w:eastAsia="宋体" w:hint="eastAsia"/>
          <w:sz w:val="24"/>
          <w:szCs w:val="24"/>
        </w:rPr>
        <w:t>》。根据《中华人民共和国证券投资基金法》、《公开募集证券投资基金运作管理办法》、《</w:t>
      </w:r>
      <w:r w:rsidR="007B2D54">
        <w:rPr>
          <w:rFonts w:ascii="宋体" w:eastAsia="宋体" w:hint="eastAsia"/>
          <w:sz w:val="24"/>
          <w:szCs w:val="24"/>
        </w:rPr>
        <w:t>民生加银金融优选混合型证券投资基金</w:t>
      </w:r>
      <w:r w:rsidRPr="00A535B0">
        <w:rPr>
          <w:rFonts w:ascii="宋体" w:eastAsia="宋体" w:hint="eastAsia"/>
          <w:sz w:val="24"/>
          <w:szCs w:val="24"/>
        </w:rPr>
        <w:t>基金合同》、《民生加银基金管理有限公司关于以通讯开会方式召开</w:t>
      </w:r>
      <w:r w:rsidR="007B2D54">
        <w:rPr>
          <w:rFonts w:ascii="宋体" w:eastAsia="宋体" w:hint="eastAsia"/>
          <w:sz w:val="24"/>
          <w:szCs w:val="24"/>
        </w:rPr>
        <w:t>民生加银金融优选混合型证券投资基金</w:t>
      </w:r>
      <w:r w:rsidRPr="00A535B0">
        <w:rPr>
          <w:rFonts w:ascii="宋体" w:eastAsia="宋体" w:hint="eastAsia"/>
          <w:sz w:val="24"/>
          <w:szCs w:val="24"/>
        </w:rPr>
        <w:t>基金份额持有人大会的公告》等规定，基金管理人授权的监督员在基金托管人授权代表、公证员的现场监督及律师的现场见证下，统计了本次基金份额持有人大会的表决结果。计票结果如下：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05"/>
        <w:gridCol w:w="2410"/>
        <w:gridCol w:w="3481"/>
      </w:tblGrid>
      <w:tr w:rsidR="00E42A1C" w:rsidRPr="00A535B0">
        <w:trPr>
          <w:jc w:val="center"/>
        </w:trPr>
        <w:tc>
          <w:tcPr>
            <w:tcW w:w="2405" w:type="dxa"/>
            <w:vAlign w:val="center"/>
          </w:tcPr>
          <w:p w:rsidR="00E42A1C" w:rsidRPr="00A535B0" w:rsidRDefault="00B930FC">
            <w:pPr>
              <w:spacing w:line="360" w:lineRule="auto"/>
              <w:jc w:val="center"/>
              <w:rPr>
                <w:rFonts w:ascii="宋体" w:eastAsia="宋体"/>
                <w:szCs w:val="21"/>
              </w:rPr>
            </w:pPr>
            <w:r w:rsidRPr="00A535B0">
              <w:rPr>
                <w:rFonts w:ascii="宋体" w:eastAsia="宋体" w:hint="eastAsia"/>
                <w:szCs w:val="21"/>
              </w:rPr>
              <w:t>权益登记日基金总份额</w:t>
            </w:r>
            <w:r w:rsidR="00940B09" w:rsidRPr="00A535B0">
              <w:rPr>
                <w:rFonts w:ascii="宋体" w:eastAsia="宋体" w:hint="eastAsia"/>
                <w:szCs w:val="21"/>
              </w:rPr>
              <w:t>（份）</w:t>
            </w:r>
          </w:p>
        </w:tc>
        <w:tc>
          <w:tcPr>
            <w:tcW w:w="2410" w:type="dxa"/>
            <w:vAlign w:val="center"/>
          </w:tcPr>
          <w:p w:rsidR="00E42A1C" w:rsidRPr="00A535B0" w:rsidRDefault="00B930FC">
            <w:pPr>
              <w:spacing w:line="360" w:lineRule="auto"/>
              <w:jc w:val="center"/>
              <w:rPr>
                <w:rFonts w:ascii="宋体" w:eastAsia="宋体"/>
                <w:szCs w:val="21"/>
              </w:rPr>
            </w:pPr>
            <w:r w:rsidRPr="00A535B0">
              <w:rPr>
                <w:rFonts w:ascii="宋体" w:eastAsia="宋体" w:hint="eastAsia"/>
                <w:szCs w:val="21"/>
              </w:rPr>
              <w:t>参与投票持有人份额</w:t>
            </w:r>
          </w:p>
          <w:p w:rsidR="00940B09" w:rsidRPr="00A535B0" w:rsidRDefault="00940B09">
            <w:pPr>
              <w:spacing w:line="360" w:lineRule="auto"/>
              <w:jc w:val="center"/>
              <w:rPr>
                <w:rFonts w:ascii="宋体" w:eastAsia="宋体"/>
                <w:szCs w:val="21"/>
              </w:rPr>
            </w:pPr>
            <w:r w:rsidRPr="00A535B0">
              <w:rPr>
                <w:rFonts w:ascii="宋体" w:eastAsia="宋体" w:hint="eastAsia"/>
                <w:szCs w:val="21"/>
              </w:rPr>
              <w:t>（份）</w:t>
            </w:r>
          </w:p>
        </w:tc>
        <w:tc>
          <w:tcPr>
            <w:tcW w:w="3481" w:type="dxa"/>
            <w:vAlign w:val="center"/>
          </w:tcPr>
          <w:p w:rsidR="00E42A1C" w:rsidRPr="00A535B0" w:rsidRDefault="00B930FC">
            <w:pPr>
              <w:spacing w:line="360" w:lineRule="auto"/>
              <w:jc w:val="center"/>
              <w:rPr>
                <w:rFonts w:ascii="宋体" w:eastAsia="宋体"/>
                <w:szCs w:val="21"/>
              </w:rPr>
            </w:pPr>
            <w:r w:rsidRPr="00A535B0">
              <w:rPr>
                <w:rFonts w:ascii="宋体" w:eastAsia="宋体" w:hint="eastAsia"/>
                <w:szCs w:val="21"/>
              </w:rPr>
              <w:t>参与投票持有人份额/权益登记日基金总份额</w:t>
            </w:r>
          </w:p>
        </w:tc>
      </w:tr>
      <w:tr w:rsidR="00E42A1C" w:rsidRPr="00A535B0">
        <w:trPr>
          <w:trHeight w:val="101"/>
          <w:jc w:val="center"/>
        </w:trPr>
        <w:tc>
          <w:tcPr>
            <w:tcW w:w="2405" w:type="dxa"/>
            <w:vAlign w:val="center"/>
          </w:tcPr>
          <w:p w:rsidR="00E42A1C" w:rsidRPr="00A535B0" w:rsidRDefault="00E95603">
            <w:pPr>
              <w:spacing w:line="360" w:lineRule="auto"/>
              <w:jc w:val="center"/>
              <w:rPr>
                <w:rFonts w:ascii="宋体" w:eastAsia="宋体"/>
                <w:szCs w:val="21"/>
              </w:rPr>
            </w:pPr>
            <w:r w:rsidRPr="00E95603">
              <w:rPr>
                <w:rFonts w:ascii="宋体" w:eastAsia="宋体"/>
                <w:szCs w:val="21"/>
              </w:rPr>
              <w:t>26,422,429.97</w:t>
            </w:r>
          </w:p>
        </w:tc>
        <w:tc>
          <w:tcPr>
            <w:tcW w:w="2410" w:type="dxa"/>
            <w:vAlign w:val="center"/>
          </w:tcPr>
          <w:p w:rsidR="00E42A1C" w:rsidRPr="00A535B0" w:rsidRDefault="009F4483">
            <w:pPr>
              <w:spacing w:line="360" w:lineRule="auto"/>
              <w:jc w:val="center"/>
              <w:rPr>
                <w:rFonts w:ascii="宋体" w:eastAsia="宋体"/>
                <w:szCs w:val="21"/>
              </w:rPr>
            </w:pPr>
            <w:r w:rsidRPr="009F4483">
              <w:rPr>
                <w:rFonts w:ascii="宋体" w:eastAsia="宋体"/>
                <w:szCs w:val="21"/>
              </w:rPr>
              <w:t>450,721.20</w:t>
            </w:r>
          </w:p>
        </w:tc>
        <w:tc>
          <w:tcPr>
            <w:tcW w:w="3481" w:type="dxa"/>
            <w:vAlign w:val="center"/>
          </w:tcPr>
          <w:p w:rsidR="00E42A1C" w:rsidRPr="00A535B0" w:rsidRDefault="009F4483">
            <w:pPr>
              <w:spacing w:line="360" w:lineRule="auto"/>
              <w:jc w:val="center"/>
              <w:rPr>
                <w:rFonts w:ascii="宋体" w:eastAsia="宋体"/>
                <w:szCs w:val="21"/>
              </w:rPr>
            </w:pPr>
            <w:r w:rsidRPr="009F4483">
              <w:rPr>
                <w:rFonts w:ascii="宋体" w:eastAsia="宋体"/>
                <w:szCs w:val="21"/>
              </w:rPr>
              <w:t>1.71%</w:t>
            </w:r>
          </w:p>
        </w:tc>
      </w:tr>
    </w:tbl>
    <w:p w:rsidR="00E42A1C" w:rsidRPr="00A535B0" w:rsidRDefault="00E42A1C">
      <w:pPr>
        <w:spacing w:line="360" w:lineRule="auto"/>
        <w:ind w:firstLineChars="200" w:firstLine="480"/>
        <w:jc w:val="left"/>
        <w:rPr>
          <w:rFonts w:ascii="宋体" w:eastAsia="宋体"/>
          <w:sz w:val="24"/>
          <w:szCs w:val="24"/>
        </w:rPr>
      </w:pPr>
    </w:p>
    <w:p w:rsidR="00E42A1C" w:rsidRPr="00A535B0" w:rsidRDefault="00B930FC">
      <w:pPr>
        <w:spacing w:line="360" w:lineRule="auto"/>
        <w:ind w:firstLineChars="200" w:firstLine="480"/>
        <w:jc w:val="left"/>
        <w:rPr>
          <w:rFonts w:ascii="宋体" w:eastAsia="宋体"/>
          <w:sz w:val="24"/>
          <w:szCs w:val="24"/>
        </w:rPr>
      </w:pPr>
      <w:r w:rsidRPr="00A535B0">
        <w:rPr>
          <w:rFonts w:ascii="宋体" w:eastAsia="宋体" w:hint="eastAsia"/>
          <w:sz w:val="24"/>
          <w:szCs w:val="24"/>
        </w:rPr>
        <w:t>计票监票人：</w:t>
      </w:r>
      <w:r w:rsidR="00EF05A8" w:rsidRPr="00A535B0" w:rsidDel="00EF05A8">
        <w:rPr>
          <w:rFonts w:ascii="宋体" w:eastAsia="宋体" w:hint="eastAsia"/>
          <w:sz w:val="24"/>
          <w:szCs w:val="24"/>
        </w:rPr>
        <w:t xml:space="preserve"> </w:t>
      </w:r>
      <w:r w:rsidR="00482178">
        <w:rPr>
          <w:rFonts w:ascii="宋体" w:eastAsia="宋体" w:hint="eastAsia"/>
          <w:sz w:val="24"/>
          <w:szCs w:val="24"/>
        </w:rPr>
        <w:t>张磊、程璐、陈亭</w:t>
      </w:r>
    </w:p>
    <w:p w:rsidR="00E42A1C" w:rsidRPr="00A535B0" w:rsidRDefault="00B930FC">
      <w:pPr>
        <w:spacing w:line="360" w:lineRule="auto"/>
        <w:ind w:firstLineChars="200" w:firstLine="480"/>
        <w:jc w:val="left"/>
        <w:rPr>
          <w:rFonts w:ascii="宋体" w:eastAsia="宋体"/>
          <w:sz w:val="24"/>
          <w:szCs w:val="24"/>
        </w:rPr>
      </w:pPr>
      <w:r w:rsidRPr="00A535B0">
        <w:rPr>
          <w:rFonts w:ascii="宋体" w:eastAsia="宋体" w:hint="eastAsia"/>
          <w:sz w:val="24"/>
          <w:szCs w:val="24"/>
        </w:rPr>
        <w:t>基金托管人代表：</w:t>
      </w:r>
      <w:r w:rsidRPr="00A535B0">
        <w:rPr>
          <w:rFonts w:ascii="宋体" w:eastAsia="宋体"/>
          <w:sz w:val="24"/>
          <w:szCs w:val="24"/>
        </w:rPr>
        <w:t xml:space="preserve"> </w:t>
      </w:r>
      <w:r w:rsidR="00482178">
        <w:rPr>
          <w:rFonts w:ascii="宋体" w:eastAsia="宋体" w:hint="eastAsia"/>
          <w:sz w:val="24"/>
          <w:szCs w:val="24"/>
        </w:rPr>
        <w:t>王海波</w:t>
      </w:r>
    </w:p>
    <w:p w:rsidR="00E42A1C" w:rsidRPr="00A535B0" w:rsidRDefault="00B930FC">
      <w:pPr>
        <w:spacing w:line="360" w:lineRule="auto"/>
        <w:ind w:firstLineChars="200" w:firstLine="480"/>
        <w:jc w:val="left"/>
        <w:rPr>
          <w:rFonts w:ascii="宋体" w:eastAsia="宋体"/>
          <w:sz w:val="24"/>
          <w:szCs w:val="24"/>
        </w:rPr>
      </w:pPr>
      <w:r w:rsidRPr="00A535B0">
        <w:rPr>
          <w:rFonts w:ascii="宋体" w:eastAsia="宋体" w:hint="eastAsia"/>
          <w:sz w:val="24"/>
          <w:szCs w:val="24"/>
        </w:rPr>
        <w:t>公证员：</w:t>
      </w:r>
      <w:r w:rsidR="00EF05A8" w:rsidRPr="00A535B0" w:rsidDel="00EF05A8">
        <w:rPr>
          <w:rFonts w:ascii="宋体" w:eastAsia="宋体" w:hint="eastAsia"/>
          <w:sz w:val="24"/>
          <w:szCs w:val="24"/>
        </w:rPr>
        <w:t xml:space="preserve"> </w:t>
      </w:r>
      <w:r w:rsidR="00482178" w:rsidRPr="00482178">
        <w:rPr>
          <w:rFonts w:ascii="宋体" w:eastAsia="宋体" w:hint="eastAsia"/>
          <w:sz w:val="24"/>
          <w:szCs w:val="24"/>
        </w:rPr>
        <w:t>崔军</w:t>
      </w:r>
      <w:r w:rsidR="00482178">
        <w:rPr>
          <w:rFonts w:ascii="宋体" w:eastAsia="宋体" w:hint="eastAsia"/>
          <w:sz w:val="24"/>
          <w:szCs w:val="24"/>
        </w:rPr>
        <w:t>、</w:t>
      </w:r>
      <w:r w:rsidR="00482178" w:rsidRPr="00482178">
        <w:rPr>
          <w:rFonts w:ascii="宋体" w:eastAsia="宋体" w:hint="eastAsia"/>
          <w:sz w:val="24"/>
          <w:szCs w:val="24"/>
        </w:rPr>
        <w:t>成雪颖</w:t>
      </w:r>
    </w:p>
    <w:p w:rsidR="00E42A1C" w:rsidRPr="00A535B0" w:rsidRDefault="00B930FC">
      <w:pPr>
        <w:spacing w:line="360" w:lineRule="auto"/>
        <w:ind w:firstLineChars="200" w:firstLine="480"/>
        <w:jc w:val="left"/>
        <w:rPr>
          <w:rFonts w:ascii="宋体" w:eastAsia="宋体"/>
          <w:sz w:val="24"/>
          <w:szCs w:val="24"/>
        </w:rPr>
      </w:pPr>
      <w:r w:rsidRPr="00A535B0">
        <w:rPr>
          <w:rFonts w:ascii="宋体" w:eastAsia="宋体" w:hint="eastAsia"/>
          <w:sz w:val="24"/>
          <w:szCs w:val="24"/>
        </w:rPr>
        <w:t>见证律师：</w:t>
      </w:r>
      <w:r w:rsidR="00EF05A8" w:rsidRPr="00A535B0" w:rsidDel="00EF05A8">
        <w:rPr>
          <w:rFonts w:ascii="宋体" w:eastAsia="宋体" w:hint="eastAsia"/>
          <w:sz w:val="24"/>
          <w:szCs w:val="24"/>
        </w:rPr>
        <w:t xml:space="preserve"> </w:t>
      </w:r>
      <w:r w:rsidR="00482178">
        <w:rPr>
          <w:rFonts w:ascii="宋体" w:eastAsia="宋体" w:hint="eastAsia"/>
          <w:sz w:val="24"/>
          <w:szCs w:val="24"/>
        </w:rPr>
        <w:t>袁静</w:t>
      </w:r>
    </w:p>
    <w:p w:rsidR="00E42A1C" w:rsidRPr="00A535B0" w:rsidRDefault="00E42A1C">
      <w:pPr>
        <w:spacing w:line="360" w:lineRule="auto"/>
        <w:ind w:firstLineChars="200" w:firstLine="480"/>
        <w:jc w:val="left"/>
        <w:rPr>
          <w:rFonts w:ascii="宋体" w:eastAsia="宋体"/>
          <w:sz w:val="24"/>
          <w:szCs w:val="24"/>
        </w:rPr>
      </w:pPr>
    </w:p>
    <w:p w:rsidR="00E42A1C" w:rsidRPr="00A535B0" w:rsidRDefault="00E42A1C">
      <w:pPr>
        <w:spacing w:line="360" w:lineRule="auto"/>
        <w:ind w:firstLineChars="200" w:firstLine="480"/>
        <w:jc w:val="left"/>
        <w:rPr>
          <w:rFonts w:ascii="宋体" w:eastAsia="宋体"/>
          <w:sz w:val="24"/>
          <w:szCs w:val="24"/>
        </w:rPr>
      </w:pPr>
    </w:p>
    <w:p w:rsidR="00E42A1C" w:rsidRPr="00A535B0" w:rsidRDefault="00B930FC">
      <w:pPr>
        <w:spacing w:line="360" w:lineRule="auto"/>
        <w:ind w:firstLineChars="200" w:firstLine="480"/>
        <w:jc w:val="right"/>
        <w:rPr>
          <w:rFonts w:ascii="宋体" w:eastAsia="宋体"/>
          <w:sz w:val="24"/>
          <w:szCs w:val="24"/>
        </w:rPr>
      </w:pPr>
      <w:r w:rsidRPr="00A535B0">
        <w:rPr>
          <w:rFonts w:ascii="宋体" w:eastAsia="宋体" w:hint="eastAsia"/>
          <w:sz w:val="24"/>
          <w:szCs w:val="24"/>
        </w:rPr>
        <w:t>民生加银基金管理有限公司</w:t>
      </w:r>
    </w:p>
    <w:p w:rsidR="00E42A1C" w:rsidRPr="00A535B0" w:rsidRDefault="00EF05A8">
      <w:pPr>
        <w:spacing w:line="360" w:lineRule="auto"/>
        <w:ind w:firstLineChars="200" w:firstLine="480"/>
        <w:jc w:val="right"/>
        <w:rPr>
          <w:rFonts w:ascii="宋体" w:eastAsia="宋体"/>
          <w:sz w:val="24"/>
          <w:szCs w:val="24"/>
        </w:rPr>
      </w:pPr>
      <w:r w:rsidRPr="00EF05A8">
        <w:rPr>
          <w:rFonts w:ascii="宋体" w:eastAsia="宋体" w:hint="eastAsia"/>
          <w:sz w:val="24"/>
          <w:szCs w:val="24"/>
        </w:rPr>
        <w:t>2024年1月20日</w:t>
      </w:r>
    </w:p>
    <w:p w:rsidR="00E42A1C" w:rsidRPr="00A535B0" w:rsidRDefault="00E42A1C">
      <w:pPr>
        <w:spacing w:line="360" w:lineRule="auto"/>
        <w:jc w:val="left"/>
        <w:rPr>
          <w:rFonts w:ascii="宋体" w:eastAsia="宋体"/>
          <w:b/>
          <w:sz w:val="28"/>
          <w:szCs w:val="28"/>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E42A1C">
      <w:pPr>
        <w:spacing w:line="360" w:lineRule="auto"/>
        <w:jc w:val="left"/>
        <w:rPr>
          <w:rFonts w:ascii="宋体" w:eastAsia="宋体"/>
          <w:b/>
          <w:sz w:val="24"/>
          <w:szCs w:val="24"/>
        </w:rPr>
      </w:pPr>
    </w:p>
    <w:p w:rsidR="00E42A1C" w:rsidRPr="00A535B0" w:rsidRDefault="00B930FC">
      <w:pPr>
        <w:widowControl/>
        <w:jc w:val="left"/>
        <w:rPr>
          <w:rFonts w:ascii="宋体" w:eastAsia="宋体"/>
          <w:b/>
          <w:sz w:val="24"/>
          <w:szCs w:val="24"/>
        </w:rPr>
      </w:pPr>
      <w:r w:rsidRPr="00A535B0">
        <w:rPr>
          <w:rFonts w:ascii="宋体" w:eastAsia="宋体"/>
          <w:b/>
          <w:sz w:val="24"/>
          <w:szCs w:val="24"/>
        </w:rPr>
        <w:br w:type="page"/>
      </w:r>
    </w:p>
    <w:p w:rsidR="00E42A1C" w:rsidRDefault="00B930FC">
      <w:pPr>
        <w:spacing w:line="360" w:lineRule="auto"/>
        <w:jc w:val="left"/>
        <w:rPr>
          <w:rFonts w:ascii="宋体" w:eastAsia="宋体"/>
          <w:b/>
          <w:sz w:val="24"/>
          <w:szCs w:val="24"/>
        </w:rPr>
      </w:pPr>
      <w:r w:rsidRPr="00A535B0">
        <w:rPr>
          <w:rFonts w:ascii="宋体" w:eastAsia="宋体" w:hint="eastAsia"/>
          <w:b/>
          <w:sz w:val="24"/>
          <w:szCs w:val="24"/>
        </w:rPr>
        <w:t>附件二：公证书</w:t>
      </w:r>
    </w:p>
    <w:p w:rsidR="00E42A1C" w:rsidRPr="007643B5" w:rsidRDefault="004C3002">
      <w:pPr>
        <w:spacing w:line="360" w:lineRule="auto"/>
        <w:jc w:val="left"/>
        <w:rPr>
          <w:rFonts w:ascii="宋体" w:eastAsia="宋体"/>
          <w:b/>
          <w:sz w:val="24"/>
          <w:szCs w:val="24"/>
        </w:rPr>
      </w:pPr>
      <w:r>
        <w:rPr>
          <w:noProof/>
        </w:rPr>
        <w:drawing>
          <wp:inline distT="0" distB="0" distL="0" distR="0">
            <wp:extent cx="4991100" cy="7143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991100" cy="7143750"/>
                    </a:xfrm>
                    <a:prstGeom prst="rect">
                      <a:avLst/>
                    </a:prstGeom>
                  </pic:spPr>
                </pic:pic>
              </a:graphicData>
            </a:graphic>
          </wp:inline>
        </w:drawing>
      </w:r>
    </w:p>
    <w:p w:rsidR="00E42A1C" w:rsidRDefault="00E42A1C">
      <w:pPr>
        <w:spacing w:line="360" w:lineRule="auto"/>
        <w:jc w:val="left"/>
        <w:rPr>
          <w:rFonts w:ascii="宋体" w:eastAsia="宋体"/>
          <w:b/>
          <w:sz w:val="28"/>
          <w:szCs w:val="28"/>
        </w:rPr>
      </w:pPr>
    </w:p>
    <w:p w:rsidR="00E42A1C" w:rsidRDefault="00E42A1C">
      <w:pPr>
        <w:spacing w:line="360" w:lineRule="auto"/>
        <w:jc w:val="left"/>
        <w:rPr>
          <w:rFonts w:ascii="宋体" w:eastAsia="宋体"/>
          <w:b/>
          <w:sz w:val="28"/>
          <w:szCs w:val="28"/>
        </w:rPr>
      </w:pPr>
    </w:p>
    <w:p w:rsidR="00E42A1C" w:rsidRDefault="00E42A1C">
      <w:pPr>
        <w:spacing w:line="360" w:lineRule="auto"/>
        <w:jc w:val="left"/>
        <w:rPr>
          <w:rFonts w:ascii="宋体" w:eastAsia="宋体"/>
          <w:b/>
          <w:sz w:val="28"/>
          <w:szCs w:val="28"/>
        </w:rPr>
      </w:pPr>
    </w:p>
    <w:p w:rsidR="00E42A1C" w:rsidRDefault="004C3002">
      <w:pPr>
        <w:spacing w:line="360" w:lineRule="auto"/>
        <w:jc w:val="left"/>
        <w:rPr>
          <w:rFonts w:ascii="宋体" w:eastAsia="宋体"/>
          <w:b/>
          <w:sz w:val="28"/>
          <w:szCs w:val="28"/>
        </w:rPr>
      </w:pPr>
      <w:r>
        <w:rPr>
          <w:noProof/>
        </w:rPr>
        <w:drawing>
          <wp:inline distT="0" distB="0" distL="0" distR="0">
            <wp:extent cx="4953000" cy="7143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953000" cy="7143750"/>
                    </a:xfrm>
                    <a:prstGeom prst="rect">
                      <a:avLst/>
                    </a:prstGeom>
                  </pic:spPr>
                </pic:pic>
              </a:graphicData>
            </a:graphic>
          </wp:inline>
        </w:drawing>
      </w:r>
    </w:p>
    <w:p w:rsidR="004C3002" w:rsidRDefault="004C3002">
      <w:pPr>
        <w:spacing w:line="360" w:lineRule="auto"/>
        <w:jc w:val="left"/>
        <w:rPr>
          <w:rFonts w:ascii="宋体" w:eastAsia="宋体"/>
          <w:b/>
          <w:sz w:val="28"/>
          <w:szCs w:val="28"/>
        </w:rPr>
      </w:pPr>
    </w:p>
    <w:p w:rsidR="004C3002" w:rsidRDefault="004C3002">
      <w:pPr>
        <w:spacing w:line="360" w:lineRule="auto"/>
        <w:jc w:val="left"/>
        <w:rPr>
          <w:rFonts w:ascii="宋体" w:eastAsia="宋体"/>
          <w:b/>
          <w:sz w:val="28"/>
          <w:szCs w:val="28"/>
        </w:rPr>
      </w:pPr>
    </w:p>
    <w:p w:rsidR="004C3002" w:rsidRDefault="004C3002">
      <w:pPr>
        <w:spacing w:line="360" w:lineRule="auto"/>
        <w:jc w:val="left"/>
        <w:rPr>
          <w:rFonts w:ascii="宋体" w:eastAsia="宋体"/>
          <w:b/>
          <w:sz w:val="28"/>
          <w:szCs w:val="28"/>
        </w:rPr>
      </w:pPr>
    </w:p>
    <w:p w:rsidR="004C3002" w:rsidRDefault="004C3002">
      <w:pPr>
        <w:spacing w:line="360" w:lineRule="auto"/>
        <w:jc w:val="left"/>
        <w:rPr>
          <w:rFonts w:ascii="宋体" w:eastAsia="宋体"/>
          <w:b/>
          <w:sz w:val="28"/>
          <w:szCs w:val="28"/>
        </w:rPr>
      </w:pPr>
    </w:p>
    <w:p w:rsidR="004C3002" w:rsidRDefault="004C3002">
      <w:pPr>
        <w:spacing w:line="360" w:lineRule="auto"/>
        <w:jc w:val="left"/>
        <w:rPr>
          <w:rFonts w:ascii="宋体" w:eastAsia="宋体"/>
          <w:b/>
          <w:sz w:val="28"/>
          <w:szCs w:val="28"/>
        </w:rPr>
      </w:pPr>
      <w:r>
        <w:rPr>
          <w:noProof/>
        </w:rPr>
        <w:drawing>
          <wp:inline distT="0" distB="0" distL="0" distR="0">
            <wp:extent cx="5038725" cy="7181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038725" cy="7181850"/>
                    </a:xfrm>
                    <a:prstGeom prst="rect">
                      <a:avLst/>
                    </a:prstGeom>
                  </pic:spPr>
                </pic:pic>
              </a:graphicData>
            </a:graphic>
          </wp:inline>
        </w:drawing>
      </w:r>
    </w:p>
    <w:p w:rsidR="004C3002" w:rsidRDefault="004C3002">
      <w:pPr>
        <w:widowControl/>
        <w:jc w:val="left"/>
        <w:rPr>
          <w:rFonts w:ascii="宋体" w:eastAsia="宋体"/>
          <w:b/>
          <w:sz w:val="28"/>
          <w:szCs w:val="28"/>
        </w:rPr>
      </w:pPr>
      <w:r>
        <w:rPr>
          <w:rFonts w:ascii="宋体" w:eastAsia="宋体"/>
          <w:b/>
          <w:sz w:val="28"/>
          <w:szCs w:val="28"/>
        </w:rPr>
        <w:br w:type="page"/>
      </w:r>
    </w:p>
    <w:p w:rsidR="004C3002" w:rsidRDefault="004C3002">
      <w:pPr>
        <w:spacing w:line="360" w:lineRule="auto"/>
        <w:jc w:val="left"/>
        <w:rPr>
          <w:rFonts w:ascii="宋体" w:eastAsia="宋体"/>
          <w:b/>
          <w:sz w:val="28"/>
          <w:szCs w:val="28"/>
        </w:rPr>
      </w:pPr>
      <w:r>
        <w:rPr>
          <w:noProof/>
        </w:rPr>
        <w:drawing>
          <wp:inline distT="0" distB="0" distL="0" distR="0">
            <wp:extent cx="4962525" cy="71056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62525" cy="7105650"/>
                    </a:xfrm>
                    <a:prstGeom prst="rect">
                      <a:avLst/>
                    </a:prstGeom>
                  </pic:spPr>
                </pic:pic>
              </a:graphicData>
            </a:graphic>
          </wp:inline>
        </w:drawing>
      </w:r>
    </w:p>
    <w:p w:rsidR="004C3002" w:rsidRDefault="004C3002">
      <w:pPr>
        <w:widowControl/>
        <w:jc w:val="left"/>
        <w:rPr>
          <w:rFonts w:ascii="宋体" w:eastAsia="宋体"/>
          <w:b/>
          <w:sz w:val="28"/>
          <w:szCs w:val="28"/>
        </w:rPr>
      </w:pPr>
      <w:r>
        <w:rPr>
          <w:rFonts w:ascii="宋体" w:eastAsia="宋体"/>
          <w:b/>
          <w:sz w:val="28"/>
          <w:szCs w:val="28"/>
        </w:rPr>
        <w:br w:type="page"/>
      </w:r>
    </w:p>
    <w:p w:rsidR="004C3002" w:rsidRDefault="004C3002">
      <w:pPr>
        <w:spacing w:line="360" w:lineRule="auto"/>
        <w:jc w:val="left"/>
        <w:rPr>
          <w:rFonts w:ascii="宋体" w:eastAsia="宋体"/>
          <w:b/>
          <w:sz w:val="28"/>
          <w:szCs w:val="28"/>
        </w:rPr>
      </w:pPr>
      <w:r>
        <w:rPr>
          <w:noProof/>
        </w:rPr>
        <w:drawing>
          <wp:inline distT="0" distB="0" distL="0" distR="0">
            <wp:extent cx="5076825" cy="68294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076825" cy="6829425"/>
                    </a:xfrm>
                    <a:prstGeom prst="rect">
                      <a:avLst/>
                    </a:prstGeom>
                  </pic:spPr>
                </pic:pic>
              </a:graphicData>
            </a:graphic>
          </wp:inline>
        </w:drawing>
      </w:r>
      <w:bookmarkStart w:id="0" w:name="_GoBack"/>
      <w:bookmarkEnd w:id="0"/>
    </w:p>
    <w:sectPr w:rsidR="004C3002" w:rsidSect="00D77CD0">
      <w:pgSz w:w="11906" w:h="16838"/>
      <w:pgMar w:top="1440" w:right="1800" w:bottom="1440" w:left="1800"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939064" w16cid:durableId="29412687"/>
  <w16cid:commentId w16cid:paraId="2D57FFA9" w16cid:durableId="2941237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76B5" w:rsidRDefault="007F76B5" w:rsidP="000E6A8E">
      <w:r>
        <w:separator/>
      </w:r>
    </w:p>
  </w:endnote>
  <w:endnote w:type="continuationSeparator" w:id="0">
    <w:p w:rsidR="007F76B5" w:rsidRDefault="007F76B5" w:rsidP="000E6A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Luxi Sans">
    <w:altName w:val="Arial"/>
    <w:charset w:val="00"/>
    <w:family w:val="auto"/>
    <w:pitch w:val="variable"/>
    <w:sig w:usb0="00000000" w:usb1="00000000" w:usb2="00000000" w:usb3="00000000" w:csb0="00000000" w:csb1="00000000"/>
  </w:font>
  <w:font w:name="黑体">
    <w:altName w:val="SimHei"/>
    <w:panose1 w:val="02010600030101010101"/>
    <w:charset w:val="86"/>
    <w:family w:val="modern"/>
    <w:notTrueType/>
    <w:pitch w:val="fixed"/>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76B5" w:rsidRDefault="007F76B5" w:rsidP="000E6A8E">
      <w:r>
        <w:separator/>
      </w:r>
    </w:p>
  </w:footnote>
  <w:footnote w:type="continuationSeparator" w:id="0">
    <w:p w:rsidR="007F76B5" w:rsidRDefault="007F76B5" w:rsidP="000E6A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zh-CN" w:vendorID="64" w:dllVersion="131077" w:nlCheck="1" w:checkStyle="1"/>
  <w:activeWritingStyle w:appName="MSWord" w:lang="en-US" w:vendorID="64" w:dllVersion="131078"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E42A1C"/>
    <w:rsid w:val="000070D3"/>
    <w:rsid w:val="000703E5"/>
    <w:rsid w:val="000E6A8E"/>
    <w:rsid w:val="001A288E"/>
    <w:rsid w:val="001B183A"/>
    <w:rsid w:val="002120C9"/>
    <w:rsid w:val="00237CF6"/>
    <w:rsid w:val="0026265A"/>
    <w:rsid w:val="00272957"/>
    <w:rsid w:val="002A249A"/>
    <w:rsid w:val="00357E4A"/>
    <w:rsid w:val="003A4143"/>
    <w:rsid w:val="003E304B"/>
    <w:rsid w:val="00460AAB"/>
    <w:rsid w:val="00482178"/>
    <w:rsid w:val="004C3002"/>
    <w:rsid w:val="004E4228"/>
    <w:rsid w:val="00507DE3"/>
    <w:rsid w:val="00511D15"/>
    <w:rsid w:val="005971B2"/>
    <w:rsid w:val="005A1709"/>
    <w:rsid w:val="005D2FF0"/>
    <w:rsid w:val="00667AAE"/>
    <w:rsid w:val="006802D4"/>
    <w:rsid w:val="00682A2D"/>
    <w:rsid w:val="00746DCC"/>
    <w:rsid w:val="007643B5"/>
    <w:rsid w:val="007B1A70"/>
    <w:rsid w:val="007B2D54"/>
    <w:rsid w:val="007F2B19"/>
    <w:rsid w:val="007F76B5"/>
    <w:rsid w:val="0083002B"/>
    <w:rsid w:val="008456A2"/>
    <w:rsid w:val="008914AA"/>
    <w:rsid w:val="008C510A"/>
    <w:rsid w:val="00907533"/>
    <w:rsid w:val="00940B09"/>
    <w:rsid w:val="009B4A74"/>
    <w:rsid w:val="009E112A"/>
    <w:rsid w:val="009F4483"/>
    <w:rsid w:val="009F64E0"/>
    <w:rsid w:val="00A12CB0"/>
    <w:rsid w:val="00A14D1D"/>
    <w:rsid w:val="00A23762"/>
    <w:rsid w:val="00A535B0"/>
    <w:rsid w:val="00A818A8"/>
    <w:rsid w:val="00AC7B89"/>
    <w:rsid w:val="00AE7EFA"/>
    <w:rsid w:val="00B930FC"/>
    <w:rsid w:val="00C7371E"/>
    <w:rsid w:val="00CB3D2B"/>
    <w:rsid w:val="00CF11EC"/>
    <w:rsid w:val="00D22852"/>
    <w:rsid w:val="00D77CD0"/>
    <w:rsid w:val="00D80DB7"/>
    <w:rsid w:val="00E26CB9"/>
    <w:rsid w:val="00E34856"/>
    <w:rsid w:val="00E42A1C"/>
    <w:rsid w:val="00E839E0"/>
    <w:rsid w:val="00E95603"/>
    <w:rsid w:val="00EA2099"/>
    <w:rsid w:val="00EA3BE3"/>
    <w:rsid w:val="00EF05A8"/>
    <w:rsid w:val="00F1398A"/>
    <w:rsid w:val="00F33E81"/>
    <w:rsid w:val="00F63F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77CD0"/>
    <w:pPr>
      <w:widowControl w:val="0"/>
      <w:jc w:val="both"/>
    </w:pPr>
    <w:rPr>
      <w:rFonts w:ascii="等线" w:eastAsia="等线" w:cs="Arial"/>
      <w:kern w:val="2"/>
      <w:sz w:val="21"/>
      <w:szCs w:val="22"/>
    </w:rPr>
  </w:style>
  <w:style w:type="paragraph" w:styleId="1">
    <w:name w:val="heading 1"/>
    <w:basedOn w:val="a"/>
    <w:next w:val="a"/>
    <w:rsid w:val="00D77CD0"/>
    <w:pPr>
      <w:keepNext/>
      <w:keepLines/>
      <w:spacing w:before="340" w:after="330" w:line="578" w:lineRule="auto"/>
      <w:outlineLvl w:val="0"/>
    </w:pPr>
    <w:rPr>
      <w:b/>
      <w:bCs/>
      <w:kern w:val="44"/>
      <w:sz w:val="44"/>
    </w:rPr>
  </w:style>
  <w:style w:type="paragraph" w:styleId="2">
    <w:name w:val="heading 2"/>
    <w:basedOn w:val="a"/>
    <w:next w:val="a"/>
    <w:rsid w:val="00D77CD0"/>
    <w:pPr>
      <w:keepNext/>
      <w:keepLines/>
      <w:spacing w:before="260" w:after="260" w:line="415" w:lineRule="auto"/>
      <w:outlineLvl w:val="1"/>
    </w:pPr>
    <w:rPr>
      <w:rFonts w:ascii="Luxi Sans" w:eastAsia="黑体" w:hAnsi="Luxi Sans"/>
      <w:b/>
      <w:sz w:val="32"/>
    </w:rPr>
  </w:style>
  <w:style w:type="paragraph" w:styleId="3">
    <w:name w:val="heading 3"/>
    <w:basedOn w:val="a"/>
    <w:next w:val="a"/>
    <w:rsid w:val="00D77CD0"/>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D77CD0"/>
    <w:pPr>
      <w:ind w:leftChars="2500" w:left="2500"/>
    </w:pPr>
  </w:style>
  <w:style w:type="character" w:styleId="a4">
    <w:name w:val="annotation reference"/>
    <w:basedOn w:val="a0"/>
    <w:rsid w:val="00D77CD0"/>
    <w:rPr>
      <w:sz w:val="21"/>
      <w:szCs w:val="21"/>
    </w:rPr>
  </w:style>
  <w:style w:type="paragraph" w:styleId="a5">
    <w:name w:val="annotation text"/>
    <w:basedOn w:val="a"/>
    <w:rsid w:val="00D77CD0"/>
    <w:pPr>
      <w:jc w:val="left"/>
    </w:pPr>
  </w:style>
  <w:style w:type="paragraph" w:styleId="a6">
    <w:name w:val="annotation subject"/>
    <w:basedOn w:val="a5"/>
    <w:next w:val="a5"/>
    <w:rsid w:val="00D77CD0"/>
    <w:rPr>
      <w:b/>
      <w:bCs/>
    </w:rPr>
  </w:style>
  <w:style w:type="paragraph" w:customStyle="1" w:styleId="10">
    <w:name w:val="修订1"/>
    <w:rsid w:val="00D77CD0"/>
    <w:rPr>
      <w:rFonts w:ascii="等线" w:eastAsia="等线" w:cs="Arial"/>
      <w:kern w:val="2"/>
      <w:sz w:val="21"/>
      <w:szCs w:val="22"/>
    </w:rPr>
  </w:style>
  <w:style w:type="paragraph" w:styleId="a7">
    <w:name w:val="Balloon Text"/>
    <w:basedOn w:val="a"/>
    <w:rsid w:val="00D77CD0"/>
    <w:rPr>
      <w:sz w:val="18"/>
      <w:szCs w:val="18"/>
    </w:rPr>
  </w:style>
  <w:style w:type="paragraph" w:styleId="a8">
    <w:name w:val="header"/>
    <w:basedOn w:val="a"/>
    <w:rsid w:val="00D77CD0"/>
    <w:pPr>
      <w:pBdr>
        <w:bottom w:val="single" w:sz="6" w:space="1" w:color="auto"/>
      </w:pBdr>
      <w:tabs>
        <w:tab w:val="center" w:pos="4153"/>
        <w:tab w:val="right" w:pos="8306"/>
      </w:tabs>
      <w:snapToGrid w:val="0"/>
      <w:jc w:val="center"/>
    </w:pPr>
    <w:rPr>
      <w:sz w:val="18"/>
      <w:szCs w:val="18"/>
    </w:rPr>
  </w:style>
  <w:style w:type="paragraph" w:styleId="a9">
    <w:name w:val="footer"/>
    <w:basedOn w:val="a"/>
    <w:rsid w:val="00D77CD0"/>
    <w:pPr>
      <w:tabs>
        <w:tab w:val="center" w:pos="4153"/>
        <w:tab w:val="right" w:pos="8306"/>
      </w:tabs>
      <w:snapToGrid w:val="0"/>
      <w:jc w:val="left"/>
    </w:pPr>
    <w:rPr>
      <w:sz w:val="18"/>
      <w:szCs w:val="18"/>
    </w:rPr>
  </w:style>
  <w:style w:type="paragraph" w:styleId="aa">
    <w:name w:val="Normal (Web)"/>
    <w:basedOn w:val="a"/>
    <w:rsid w:val="00D77CD0"/>
    <w:pPr>
      <w:widowControl/>
      <w:spacing w:before="75" w:after="75"/>
      <w:jc w:val="left"/>
    </w:pPr>
    <w:rPr>
      <w:rFonts w:ascii="宋体" w:eastAsia="宋体" w:cs="宋体"/>
      <w:kern w:val="0"/>
      <w:sz w:val="24"/>
      <w:szCs w:val="24"/>
    </w:rPr>
  </w:style>
  <w:style w:type="paragraph" w:styleId="11">
    <w:name w:val="toc 1"/>
    <w:basedOn w:val="a"/>
    <w:next w:val="a"/>
    <w:autoRedefine/>
    <w:rsid w:val="00D77CD0"/>
  </w:style>
  <w:style w:type="paragraph" w:styleId="20">
    <w:name w:val="toc 2"/>
    <w:basedOn w:val="a"/>
    <w:next w:val="a"/>
    <w:autoRedefine/>
    <w:rsid w:val="00D77CD0"/>
    <w:pPr>
      <w:ind w:left="420"/>
    </w:pPr>
  </w:style>
  <w:style w:type="paragraph" w:styleId="30">
    <w:name w:val="toc 3"/>
    <w:basedOn w:val="a"/>
    <w:next w:val="a"/>
    <w:autoRedefine/>
    <w:rsid w:val="00D77CD0"/>
    <w:pPr>
      <w:ind w:left="840"/>
    </w:pPr>
  </w:style>
  <w:style w:type="paragraph" w:styleId="4">
    <w:name w:val="toc 4"/>
    <w:basedOn w:val="a"/>
    <w:next w:val="a"/>
    <w:autoRedefine/>
    <w:rsid w:val="00D77CD0"/>
    <w:pPr>
      <w:ind w:left="1260"/>
    </w:pPr>
  </w:style>
  <w:style w:type="paragraph" w:styleId="5">
    <w:name w:val="toc 5"/>
    <w:basedOn w:val="a"/>
    <w:next w:val="a"/>
    <w:autoRedefine/>
    <w:rsid w:val="00D77CD0"/>
    <w:pPr>
      <w:ind w:left="1680"/>
    </w:pPr>
  </w:style>
  <w:style w:type="paragraph" w:styleId="ab">
    <w:name w:val="Revision"/>
    <w:hidden/>
    <w:uiPriority w:val="99"/>
    <w:semiHidden/>
    <w:rsid w:val="00E839E0"/>
    <w:rPr>
      <w:rFonts w:ascii="等线" w:eastAsia="等线" w:cs="Arial"/>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233</Words>
  <Characters>1330</Characters>
  <Application>Microsoft Office Word</Application>
  <DocSecurity>4</DocSecurity>
  <Lines>11</Lines>
  <Paragraphs>3</Paragraphs>
  <ScaleCrop>false</ScaleCrop>
  <Company/>
  <LinksUpToDate>false</LinksUpToDate>
  <CharactersWithSpaces>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罗丽</dc:creator>
  <cp:lastModifiedBy>ZHONGM</cp:lastModifiedBy>
  <cp:revision>2</cp:revision>
  <cp:lastPrinted>2021-11-17T08:37:00Z</cp:lastPrinted>
  <dcterms:created xsi:type="dcterms:W3CDTF">2024-01-19T16:02:00Z</dcterms:created>
  <dcterms:modified xsi:type="dcterms:W3CDTF">2024-01-19T16:02:00Z</dcterms:modified>
</cp:coreProperties>
</file>