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41C" w:rsidRDefault="008B7F68">
      <w:pPr>
        <w:spacing w:line="360" w:lineRule="auto"/>
        <w:jc w:val="center"/>
        <w:rPr>
          <w:rFonts w:ascii="宋体" w:eastAsia="宋体" w:hAnsi="宋体"/>
          <w:b/>
          <w:bCs/>
          <w:color w:val="000000"/>
          <w:sz w:val="28"/>
          <w:szCs w:val="32"/>
        </w:rPr>
      </w:pPr>
      <w:r>
        <w:rPr>
          <w:rFonts w:ascii="宋体" w:eastAsia="宋体" w:hAnsi="宋体" w:hint="eastAsia"/>
          <w:b/>
          <w:bCs/>
          <w:color w:val="000000"/>
          <w:sz w:val="28"/>
          <w:szCs w:val="32"/>
        </w:rPr>
        <w:t>博时基金管理有限公司关于博时沪深</w:t>
      </w:r>
      <w:r>
        <w:rPr>
          <w:rFonts w:ascii="宋体" w:eastAsia="宋体" w:hAnsi="宋体" w:hint="eastAsia"/>
          <w:b/>
          <w:bCs/>
          <w:color w:val="000000"/>
          <w:sz w:val="28"/>
          <w:szCs w:val="32"/>
        </w:rPr>
        <w:t>300</w:t>
      </w:r>
      <w:r>
        <w:rPr>
          <w:rFonts w:ascii="宋体" w:eastAsia="宋体" w:hAnsi="宋体" w:hint="eastAsia"/>
          <w:b/>
          <w:bCs/>
          <w:color w:val="000000"/>
          <w:sz w:val="28"/>
          <w:szCs w:val="32"/>
        </w:rPr>
        <w:t>指数增强发起式证券投资基金证券交易结算模式转换完成的公告</w:t>
      </w:r>
    </w:p>
    <w:p w:rsidR="00A3541C" w:rsidRDefault="00A3541C">
      <w:pPr>
        <w:rPr>
          <w:rFonts w:ascii="宋体" w:eastAsia="宋体" w:hAnsi="宋体" w:cs="宋体"/>
          <w:sz w:val="24"/>
        </w:rPr>
      </w:pPr>
    </w:p>
    <w:p w:rsidR="00A3541C" w:rsidRDefault="008B7F68">
      <w:pPr>
        <w:spacing w:line="360" w:lineRule="auto"/>
        <w:ind w:firstLineChars="200" w:firstLine="422"/>
        <w:jc w:val="left"/>
        <w:rPr>
          <w:rFonts w:ascii="宋体" w:eastAsia="宋体" w:hAnsi="宋体" w:cs="宋体"/>
          <w:b/>
          <w:bCs/>
          <w:color w:val="000000"/>
          <w:szCs w:val="21"/>
        </w:rPr>
      </w:pPr>
      <w:r>
        <w:rPr>
          <w:rFonts w:ascii="宋体" w:eastAsia="宋体" w:hAnsi="宋体" w:cs="宋体" w:hint="eastAsia"/>
          <w:b/>
          <w:bCs/>
          <w:color w:val="000000"/>
          <w:szCs w:val="21"/>
        </w:rPr>
        <w:t>一、证券交易结算模式转换完成</w:t>
      </w:r>
    </w:p>
    <w:p w:rsidR="00A3541C" w:rsidRDefault="008B7F68">
      <w:pPr>
        <w:spacing w:line="360" w:lineRule="auto"/>
        <w:ind w:firstLineChars="200" w:firstLine="420"/>
        <w:jc w:val="left"/>
        <w:rPr>
          <w:rFonts w:ascii="宋体" w:eastAsia="宋体" w:hAnsi="宋体" w:cs="宋体"/>
          <w:color w:val="000000"/>
          <w:szCs w:val="21"/>
        </w:rPr>
      </w:pPr>
      <w:r>
        <w:rPr>
          <w:rFonts w:ascii="宋体" w:eastAsia="宋体" w:hAnsi="宋体" w:cs="宋体" w:hint="eastAsia"/>
          <w:color w:val="000000"/>
          <w:szCs w:val="21"/>
        </w:rPr>
        <w:t>为更好地满足投资者的需求，提升博时沪深</w:t>
      </w:r>
      <w:r>
        <w:rPr>
          <w:rFonts w:ascii="宋体" w:eastAsia="宋体" w:hAnsi="宋体" w:cs="宋体" w:hint="eastAsia"/>
          <w:color w:val="000000"/>
          <w:szCs w:val="21"/>
        </w:rPr>
        <w:t>300</w:t>
      </w:r>
      <w:r>
        <w:rPr>
          <w:rFonts w:ascii="宋体" w:eastAsia="宋体" w:hAnsi="宋体" w:cs="宋体" w:hint="eastAsia"/>
          <w:color w:val="000000"/>
          <w:szCs w:val="21"/>
        </w:rPr>
        <w:t>指数增强发起式证券投资基金（以下简称“本基金”）的市场竞争力，博时基金管理有限公司（以下简称“基金管理人”）根据《中华人民共和国证券投资基金法》、《公开募集证券投资基金运作管理办法》等法律法规的有关规定和《博时沪深</w:t>
      </w:r>
      <w:r>
        <w:rPr>
          <w:rFonts w:ascii="宋体" w:eastAsia="宋体" w:hAnsi="宋体" w:cs="宋体" w:hint="eastAsia"/>
          <w:color w:val="000000"/>
          <w:szCs w:val="21"/>
        </w:rPr>
        <w:t>300</w:t>
      </w:r>
      <w:r>
        <w:rPr>
          <w:rFonts w:ascii="宋体" w:eastAsia="宋体" w:hAnsi="宋体" w:cs="宋体" w:hint="eastAsia"/>
          <w:color w:val="000000"/>
          <w:szCs w:val="21"/>
        </w:rPr>
        <w:t>指数增强发起式证券投资基金基金合同》（以下简称“《基金合同》”）的有关约定，经与基金托管人招商银行股份有限公司协商一致，并履行适当程序后，决定转换本基金的证券交易结算模式，由托管人结算模式改为券商结算模式，并相应修改《博时沪深</w:t>
      </w:r>
      <w:r>
        <w:rPr>
          <w:rFonts w:ascii="宋体" w:eastAsia="宋体" w:hAnsi="宋体" w:cs="宋体" w:hint="eastAsia"/>
          <w:color w:val="000000"/>
          <w:szCs w:val="21"/>
        </w:rPr>
        <w:t>300</w:t>
      </w:r>
      <w:r>
        <w:rPr>
          <w:rFonts w:ascii="宋体" w:eastAsia="宋体" w:hAnsi="宋体" w:cs="宋体" w:hint="eastAsia"/>
          <w:color w:val="000000"/>
          <w:szCs w:val="21"/>
        </w:rPr>
        <w:t>指数增强发起式证</w:t>
      </w:r>
      <w:r>
        <w:rPr>
          <w:rFonts w:ascii="宋体" w:eastAsia="宋体" w:hAnsi="宋体" w:cs="宋体" w:hint="eastAsia"/>
          <w:color w:val="000000"/>
          <w:szCs w:val="21"/>
        </w:rPr>
        <w:t>券投资基金托管协议》（以下简称“《托管协议》”）的相关内容。</w:t>
      </w:r>
    </w:p>
    <w:p w:rsidR="00A3541C" w:rsidRDefault="008B7F68">
      <w:pPr>
        <w:spacing w:line="360" w:lineRule="auto"/>
        <w:ind w:firstLineChars="200" w:firstLine="420"/>
        <w:jc w:val="left"/>
        <w:rPr>
          <w:rFonts w:ascii="宋体" w:eastAsia="宋体" w:hAnsi="宋体" w:cs="宋体"/>
          <w:color w:val="000000"/>
          <w:szCs w:val="21"/>
        </w:rPr>
      </w:pPr>
      <w:r>
        <w:rPr>
          <w:rFonts w:ascii="宋体" w:eastAsia="宋体" w:hAnsi="宋体" w:cs="宋体" w:hint="eastAsia"/>
          <w:color w:val="000000"/>
          <w:szCs w:val="21"/>
        </w:rPr>
        <w:t>本基金管理人于</w:t>
      </w:r>
      <w:r>
        <w:rPr>
          <w:rFonts w:ascii="宋体" w:eastAsia="宋体" w:hAnsi="宋体" w:cs="宋体" w:hint="eastAsia"/>
          <w:color w:val="000000"/>
          <w:szCs w:val="21"/>
        </w:rPr>
        <w:t>2024</w:t>
      </w:r>
      <w:r>
        <w:rPr>
          <w:rFonts w:ascii="宋体" w:eastAsia="宋体" w:hAnsi="宋体" w:cs="宋体" w:hint="eastAsia"/>
          <w:color w:val="000000"/>
          <w:szCs w:val="21"/>
        </w:rPr>
        <w:t>年</w:t>
      </w:r>
      <w:r>
        <w:rPr>
          <w:rFonts w:ascii="宋体" w:eastAsia="宋体" w:hAnsi="宋体" w:cs="宋体" w:hint="eastAsia"/>
          <w:color w:val="000000"/>
          <w:szCs w:val="21"/>
        </w:rPr>
        <w:t>1</w:t>
      </w:r>
      <w:r>
        <w:rPr>
          <w:rFonts w:ascii="宋体" w:eastAsia="宋体" w:hAnsi="宋体" w:cs="宋体" w:hint="eastAsia"/>
          <w:color w:val="000000"/>
          <w:szCs w:val="21"/>
        </w:rPr>
        <w:t>月</w:t>
      </w:r>
      <w:r>
        <w:rPr>
          <w:rFonts w:ascii="宋体" w:eastAsia="宋体" w:hAnsi="宋体" w:cs="宋体" w:hint="eastAsia"/>
          <w:color w:val="000000"/>
          <w:szCs w:val="21"/>
        </w:rPr>
        <w:t>19</w:t>
      </w:r>
      <w:r>
        <w:rPr>
          <w:rFonts w:ascii="宋体" w:eastAsia="宋体" w:hAnsi="宋体" w:cs="宋体" w:hint="eastAsia"/>
          <w:color w:val="000000"/>
          <w:szCs w:val="21"/>
        </w:rPr>
        <w:t>日启动了本基金证券交易结算模式的转换工作，上述转换工作已于</w:t>
      </w:r>
      <w:r>
        <w:rPr>
          <w:rFonts w:ascii="宋体" w:eastAsia="宋体" w:hAnsi="宋体" w:cs="宋体" w:hint="eastAsia"/>
          <w:color w:val="000000"/>
          <w:szCs w:val="21"/>
        </w:rPr>
        <w:t>2024</w:t>
      </w:r>
      <w:r>
        <w:rPr>
          <w:rFonts w:ascii="宋体" w:eastAsia="宋体" w:hAnsi="宋体" w:cs="宋体" w:hint="eastAsia"/>
          <w:color w:val="000000"/>
          <w:szCs w:val="21"/>
        </w:rPr>
        <w:t>年</w:t>
      </w:r>
      <w:r>
        <w:rPr>
          <w:rFonts w:ascii="宋体" w:eastAsia="宋体" w:hAnsi="宋体" w:cs="宋体" w:hint="eastAsia"/>
          <w:color w:val="000000"/>
          <w:szCs w:val="21"/>
        </w:rPr>
        <w:t>1</w:t>
      </w:r>
      <w:r>
        <w:rPr>
          <w:rFonts w:ascii="宋体" w:eastAsia="宋体" w:hAnsi="宋体" w:cs="宋体" w:hint="eastAsia"/>
          <w:color w:val="000000"/>
          <w:szCs w:val="21"/>
        </w:rPr>
        <w:t>月</w:t>
      </w:r>
      <w:r>
        <w:rPr>
          <w:rFonts w:ascii="宋体" w:eastAsia="宋体" w:hAnsi="宋体" w:cs="宋体" w:hint="eastAsia"/>
          <w:color w:val="000000"/>
          <w:szCs w:val="21"/>
        </w:rPr>
        <w:t>19</w:t>
      </w:r>
      <w:r>
        <w:rPr>
          <w:rFonts w:ascii="宋体" w:eastAsia="宋体" w:hAnsi="宋体" w:cs="宋体" w:hint="eastAsia"/>
          <w:color w:val="000000"/>
          <w:szCs w:val="21"/>
        </w:rPr>
        <w:t>日完成，修订后的《博时沪深</w:t>
      </w:r>
      <w:r>
        <w:rPr>
          <w:rFonts w:ascii="宋体" w:eastAsia="宋体" w:hAnsi="宋体" w:cs="宋体" w:hint="eastAsia"/>
          <w:color w:val="000000"/>
          <w:szCs w:val="21"/>
        </w:rPr>
        <w:t>300</w:t>
      </w:r>
      <w:r>
        <w:rPr>
          <w:rFonts w:ascii="宋体" w:eastAsia="宋体" w:hAnsi="宋体" w:cs="宋体" w:hint="eastAsia"/>
          <w:color w:val="000000"/>
          <w:szCs w:val="21"/>
        </w:rPr>
        <w:t>指数增强发起式证券投资基金托管协议》自</w:t>
      </w:r>
      <w:r>
        <w:rPr>
          <w:rFonts w:ascii="宋体" w:eastAsia="宋体" w:hAnsi="宋体" w:cs="宋体" w:hint="eastAsia"/>
          <w:color w:val="000000"/>
          <w:szCs w:val="21"/>
        </w:rPr>
        <w:t>2024</w:t>
      </w:r>
      <w:r>
        <w:rPr>
          <w:rFonts w:ascii="宋体" w:eastAsia="宋体" w:hAnsi="宋体" w:cs="宋体" w:hint="eastAsia"/>
          <w:color w:val="000000"/>
          <w:szCs w:val="21"/>
        </w:rPr>
        <w:t>年</w:t>
      </w:r>
      <w:r>
        <w:rPr>
          <w:rFonts w:ascii="宋体" w:eastAsia="宋体" w:hAnsi="宋体" w:cs="宋体" w:hint="eastAsia"/>
          <w:color w:val="000000"/>
          <w:szCs w:val="21"/>
        </w:rPr>
        <w:t>1</w:t>
      </w:r>
      <w:r>
        <w:rPr>
          <w:rFonts w:ascii="宋体" w:eastAsia="宋体" w:hAnsi="宋体" w:cs="宋体" w:hint="eastAsia"/>
          <w:color w:val="000000"/>
          <w:szCs w:val="21"/>
        </w:rPr>
        <w:t>月</w:t>
      </w:r>
      <w:r>
        <w:rPr>
          <w:rFonts w:ascii="宋体" w:eastAsia="宋体" w:hAnsi="宋体" w:cs="宋体" w:hint="eastAsia"/>
          <w:color w:val="000000"/>
          <w:szCs w:val="21"/>
        </w:rPr>
        <w:t>19</w:t>
      </w:r>
      <w:r>
        <w:rPr>
          <w:rFonts w:ascii="宋体" w:eastAsia="宋体" w:hAnsi="宋体" w:cs="宋体" w:hint="eastAsia"/>
          <w:color w:val="000000"/>
          <w:szCs w:val="21"/>
        </w:rPr>
        <w:t>日生效。关于本基金证券交易结算模式转换的有关事项，详见</w:t>
      </w:r>
      <w:r>
        <w:rPr>
          <w:rFonts w:ascii="宋体" w:eastAsia="宋体" w:hAnsi="宋体" w:cs="宋体" w:hint="eastAsia"/>
          <w:color w:val="000000"/>
          <w:szCs w:val="21"/>
        </w:rPr>
        <w:t>2024</w:t>
      </w:r>
      <w:r>
        <w:rPr>
          <w:rFonts w:ascii="宋体" w:eastAsia="宋体" w:hAnsi="宋体" w:cs="宋体" w:hint="eastAsia"/>
          <w:color w:val="000000"/>
          <w:szCs w:val="21"/>
        </w:rPr>
        <w:t>年</w:t>
      </w:r>
      <w:r>
        <w:rPr>
          <w:rFonts w:ascii="宋体" w:eastAsia="宋体" w:hAnsi="宋体" w:cs="宋体" w:hint="eastAsia"/>
          <w:color w:val="000000"/>
          <w:szCs w:val="21"/>
        </w:rPr>
        <w:t>1</w:t>
      </w:r>
      <w:r>
        <w:rPr>
          <w:rFonts w:ascii="宋体" w:eastAsia="宋体" w:hAnsi="宋体" w:cs="宋体" w:hint="eastAsia"/>
          <w:color w:val="000000"/>
          <w:szCs w:val="21"/>
        </w:rPr>
        <w:t>月</w:t>
      </w:r>
      <w:r>
        <w:rPr>
          <w:rFonts w:ascii="宋体" w:eastAsia="宋体" w:hAnsi="宋体" w:cs="宋体" w:hint="eastAsia"/>
          <w:color w:val="000000"/>
          <w:szCs w:val="21"/>
        </w:rPr>
        <w:t>17</w:t>
      </w:r>
      <w:r>
        <w:rPr>
          <w:rFonts w:ascii="宋体" w:eastAsia="宋体" w:hAnsi="宋体" w:cs="宋体" w:hint="eastAsia"/>
          <w:color w:val="000000"/>
          <w:szCs w:val="21"/>
        </w:rPr>
        <w:t>日披露的《博时基金管理有限公司关于博时沪深</w:t>
      </w:r>
      <w:r>
        <w:rPr>
          <w:rFonts w:ascii="宋体" w:eastAsia="宋体" w:hAnsi="宋体" w:cs="宋体" w:hint="eastAsia"/>
          <w:color w:val="000000"/>
          <w:szCs w:val="21"/>
        </w:rPr>
        <w:t>300</w:t>
      </w:r>
      <w:r>
        <w:rPr>
          <w:rFonts w:ascii="宋体" w:eastAsia="宋体" w:hAnsi="宋体" w:cs="宋体" w:hint="eastAsia"/>
          <w:color w:val="000000"/>
          <w:szCs w:val="21"/>
        </w:rPr>
        <w:t>指数增强发起式证券投资基金证券交易结算模式转换有关事项的公告》。</w:t>
      </w:r>
    </w:p>
    <w:p w:rsidR="00A3541C" w:rsidRDefault="008B7F68">
      <w:pPr>
        <w:spacing w:line="360" w:lineRule="auto"/>
        <w:ind w:firstLineChars="200" w:firstLine="422"/>
        <w:jc w:val="left"/>
        <w:rPr>
          <w:rFonts w:ascii="宋体" w:eastAsia="宋体" w:hAnsi="宋体" w:cs="宋体"/>
          <w:b/>
          <w:bCs/>
          <w:color w:val="000000"/>
          <w:szCs w:val="21"/>
        </w:rPr>
      </w:pPr>
      <w:r>
        <w:rPr>
          <w:rFonts w:ascii="宋体" w:eastAsia="宋体" w:hAnsi="宋体" w:cs="宋体" w:hint="eastAsia"/>
          <w:b/>
          <w:bCs/>
          <w:color w:val="000000"/>
          <w:szCs w:val="21"/>
        </w:rPr>
        <w:t>二、重要提示</w:t>
      </w:r>
    </w:p>
    <w:p w:rsidR="00A3541C" w:rsidRDefault="008B7F68">
      <w:pPr>
        <w:spacing w:line="360" w:lineRule="auto"/>
        <w:ind w:firstLineChars="200" w:firstLine="420"/>
        <w:jc w:val="left"/>
        <w:rPr>
          <w:rFonts w:ascii="宋体" w:eastAsia="宋体" w:hAnsi="宋体" w:cs="宋体"/>
          <w:color w:val="000000"/>
          <w:szCs w:val="21"/>
        </w:rPr>
      </w:pPr>
      <w:r>
        <w:rPr>
          <w:rFonts w:ascii="宋体" w:eastAsia="宋体" w:hAnsi="宋体" w:cs="宋体" w:hint="eastAsia"/>
          <w:color w:val="000000"/>
          <w:szCs w:val="21"/>
        </w:rPr>
        <w:t>1</w:t>
      </w:r>
      <w:r>
        <w:rPr>
          <w:rFonts w:ascii="宋体" w:eastAsia="宋体" w:hAnsi="宋体" w:cs="宋体" w:hint="eastAsia"/>
          <w:color w:val="000000"/>
          <w:szCs w:val="21"/>
        </w:rPr>
        <w:t>、投资者可通过以下途径了解或咨询详情。</w:t>
      </w:r>
      <w:r>
        <w:rPr>
          <w:rFonts w:ascii="宋体" w:eastAsia="宋体" w:hAnsi="宋体" w:cs="宋体" w:hint="eastAsia"/>
          <w:color w:val="000000"/>
          <w:szCs w:val="21"/>
        </w:rPr>
        <w:t xml:space="preserve"> </w:t>
      </w:r>
    </w:p>
    <w:p w:rsidR="00A3541C" w:rsidRDefault="008B7F68">
      <w:pPr>
        <w:spacing w:line="360" w:lineRule="auto"/>
        <w:ind w:firstLineChars="200" w:firstLine="420"/>
        <w:jc w:val="left"/>
        <w:rPr>
          <w:rFonts w:ascii="宋体" w:eastAsia="宋体" w:hAnsi="宋体" w:cs="宋体"/>
          <w:color w:val="000000"/>
          <w:szCs w:val="21"/>
        </w:rPr>
      </w:pPr>
      <w:r>
        <w:rPr>
          <w:rFonts w:ascii="宋体" w:eastAsia="宋体" w:hAnsi="宋体" w:cs="宋体" w:hint="eastAsia"/>
          <w:color w:val="000000"/>
          <w:szCs w:val="21"/>
        </w:rPr>
        <w:t>公司网址：</w:t>
      </w:r>
      <w:r>
        <w:rPr>
          <w:rFonts w:ascii="宋体" w:eastAsia="宋体" w:hAnsi="宋体" w:cs="宋体" w:hint="eastAsia"/>
          <w:color w:val="000000"/>
          <w:szCs w:val="21"/>
        </w:rPr>
        <w:t xml:space="preserve">www.bosera.com </w:t>
      </w:r>
    </w:p>
    <w:p w:rsidR="00A3541C" w:rsidRDefault="008B7F68">
      <w:pPr>
        <w:spacing w:line="360" w:lineRule="auto"/>
        <w:ind w:firstLineChars="200" w:firstLine="420"/>
        <w:jc w:val="left"/>
        <w:rPr>
          <w:rFonts w:ascii="宋体" w:eastAsia="宋体" w:hAnsi="宋体" w:cs="宋体"/>
          <w:color w:val="000000"/>
          <w:szCs w:val="21"/>
        </w:rPr>
      </w:pPr>
      <w:r>
        <w:rPr>
          <w:rFonts w:ascii="宋体" w:eastAsia="宋体" w:hAnsi="宋体" w:cs="宋体" w:hint="eastAsia"/>
          <w:color w:val="000000"/>
          <w:szCs w:val="21"/>
        </w:rPr>
        <w:t>博时基金客户服务热线：</w:t>
      </w:r>
      <w:r>
        <w:rPr>
          <w:rFonts w:ascii="宋体" w:eastAsia="宋体" w:hAnsi="宋体" w:cs="宋体" w:hint="eastAsia"/>
          <w:color w:val="000000"/>
          <w:szCs w:val="21"/>
        </w:rPr>
        <w:t xml:space="preserve">95105568 </w:t>
      </w:r>
    </w:p>
    <w:p w:rsidR="00A3541C" w:rsidRDefault="008B7F68">
      <w:pPr>
        <w:spacing w:line="360" w:lineRule="auto"/>
        <w:ind w:firstLineChars="200" w:firstLine="420"/>
        <w:jc w:val="left"/>
        <w:rPr>
          <w:rFonts w:ascii="宋体" w:eastAsia="宋体" w:hAnsi="宋体" w:cs="宋体"/>
          <w:color w:val="000000"/>
          <w:szCs w:val="21"/>
        </w:rPr>
      </w:pPr>
      <w:r>
        <w:rPr>
          <w:rFonts w:ascii="宋体" w:eastAsia="宋体" w:hAnsi="宋体" w:cs="宋体" w:hint="eastAsia"/>
          <w:color w:val="000000"/>
          <w:szCs w:val="21"/>
        </w:rPr>
        <w:t>2</w:t>
      </w:r>
      <w:r>
        <w:rPr>
          <w:rFonts w:ascii="宋体" w:eastAsia="宋体" w:hAnsi="宋体" w:cs="宋体" w:hint="eastAsia"/>
          <w:color w:val="000000"/>
          <w:szCs w:val="21"/>
        </w:rPr>
        <w:t>、本公告的解释权归博时基金管理有限公司。</w:t>
      </w:r>
      <w:r>
        <w:rPr>
          <w:rFonts w:ascii="宋体" w:eastAsia="宋体" w:hAnsi="宋体" w:cs="宋体" w:hint="eastAsia"/>
          <w:color w:val="000000"/>
          <w:szCs w:val="21"/>
        </w:rPr>
        <w:t xml:space="preserve"> </w:t>
      </w:r>
    </w:p>
    <w:p w:rsidR="00A3541C" w:rsidRDefault="008B7F68">
      <w:pPr>
        <w:spacing w:line="360" w:lineRule="auto"/>
        <w:ind w:firstLineChars="200" w:firstLine="422"/>
        <w:jc w:val="left"/>
        <w:rPr>
          <w:rFonts w:ascii="宋体" w:eastAsia="宋体" w:hAnsi="宋体" w:cs="宋体"/>
          <w:b/>
          <w:bCs/>
          <w:color w:val="000000"/>
          <w:szCs w:val="21"/>
        </w:rPr>
      </w:pPr>
      <w:r>
        <w:rPr>
          <w:rFonts w:ascii="宋体" w:eastAsia="宋体" w:hAnsi="宋体" w:cs="宋体" w:hint="eastAsia"/>
          <w:b/>
          <w:bCs/>
          <w:color w:val="000000"/>
          <w:szCs w:val="21"/>
        </w:rPr>
        <w:t>三、风险提示</w:t>
      </w:r>
    </w:p>
    <w:p w:rsidR="00A3541C" w:rsidRDefault="008B7F68">
      <w:pPr>
        <w:spacing w:line="360" w:lineRule="auto"/>
        <w:ind w:firstLineChars="200" w:firstLine="420"/>
        <w:jc w:val="left"/>
        <w:rPr>
          <w:rFonts w:ascii="宋体" w:eastAsia="宋体" w:hAnsi="宋体" w:cs="宋体"/>
          <w:color w:val="000000"/>
          <w:szCs w:val="21"/>
        </w:rPr>
      </w:pPr>
      <w:r>
        <w:rPr>
          <w:rFonts w:ascii="宋体" w:eastAsia="宋体" w:hAnsi="宋体" w:cs="宋体" w:hint="eastAsia"/>
          <w:color w:val="000000"/>
          <w:szCs w:val="21"/>
        </w:rPr>
        <w:t>基金管理人承诺以诚实信用、勤勉尽责的原则管理和运用基金资产，但不保证本基金一定盈利，也不保证最低收益。基金的过往业绩及其净值高低并不预示其未来业绩表现，投资者投资于本基金时应认真阅读本基金的基金合同、招募说明书、基金产品资料概要等文件。敬请投资者留意投资风险。</w:t>
      </w:r>
      <w:r>
        <w:rPr>
          <w:rFonts w:ascii="宋体" w:eastAsia="宋体" w:hAnsi="宋体" w:cs="宋体" w:hint="eastAsia"/>
          <w:color w:val="000000"/>
          <w:szCs w:val="21"/>
        </w:rPr>
        <w:t xml:space="preserve"> </w:t>
      </w:r>
    </w:p>
    <w:p w:rsidR="00A3541C" w:rsidRDefault="008B7F68">
      <w:pPr>
        <w:spacing w:line="360" w:lineRule="auto"/>
        <w:ind w:firstLineChars="200" w:firstLine="420"/>
        <w:jc w:val="left"/>
        <w:rPr>
          <w:rFonts w:ascii="宋体" w:eastAsia="宋体" w:hAnsi="宋体" w:cs="宋体"/>
          <w:color w:val="000000"/>
          <w:szCs w:val="21"/>
        </w:rPr>
      </w:pPr>
      <w:r>
        <w:rPr>
          <w:rFonts w:ascii="宋体" w:eastAsia="宋体" w:hAnsi="宋体" w:cs="宋体" w:hint="eastAsia"/>
          <w:color w:val="000000"/>
          <w:szCs w:val="21"/>
        </w:rPr>
        <w:t>特此公告。</w:t>
      </w:r>
    </w:p>
    <w:p w:rsidR="00A3541C" w:rsidRDefault="008B7F68">
      <w:pPr>
        <w:spacing w:line="360" w:lineRule="auto"/>
        <w:jc w:val="right"/>
        <w:rPr>
          <w:rFonts w:ascii="宋体" w:eastAsia="宋体" w:hAnsi="宋体" w:cs="宋体"/>
          <w:color w:val="000000"/>
          <w:szCs w:val="21"/>
        </w:rPr>
      </w:pPr>
      <w:r>
        <w:rPr>
          <w:rFonts w:ascii="宋体" w:eastAsia="宋体" w:hAnsi="宋体" w:cs="宋体" w:hint="eastAsia"/>
          <w:color w:val="000000"/>
          <w:szCs w:val="21"/>
        </w:rPr>
        <w:t>博时基金管理有限公司</w:t>
      </w:r>
    </w:p>
    <w:p w:rsidR="00A3541C" w:rsidRDefault="008B7F68">
      <w:pPr>
        <w:spacing w:line="360" w:lineRule="auto"/>
        <w:jc w:val="right"/>
        <w:rPr>
          <w:rFonts w:ascii="宋体" w:eastAsia="宋体" w:hAnsi="宋体" w:cs="宋体"/>
          <w:color w:val="000000"/>
          <w:szCs w:val="21"/>
        </w:rPr>
      </w:pPr>
      <w:r>
        <w:rPr>
          <w:rFonts w:ascii="宋体" w:eastAsia="宋体" w:hAnsi="宋体" w:cs="宋体" w:hint="eastAsia"/>
          <w:color w:val="000000"/>
          <w:szCs w:val="21"/>
        </w:rPr>
        <w:t>2024</w:t>
      </w:r>
      <w:r>
        <w:rPr>
          <w:rFonts w:ascii="宋体" w:eastAsia="宋体" w:hAnsi="宋体" w:cs="宋体" w:hint="eastAsia"/>
          <w:color w:val="000000"/>
          <w:szCs w:val="21"/>
        </w:rPr>
        <w:t>年</w:t>
      </w:r>
      <w:r>
        <w:rPr>
          <w:rFonts w:ascii="宋体" w:eastAsia="宋体" w:hAnsi="宋体" w:cs="宋体" w:hint="eastAsia"/>
          <w:color w:val="000000"/>
          <w:szCs w:val="21"/>
        </w:rPr>
        <w:t>1</w:t>
      </w:r>
      <w:r>
        <w:rPr>
          <w:rFonts w:ascii="宋体" w:eastAsia="宋体" w:hAnsi="宋体" w:cs="宋体" w:hint="eastAsia"/>
          <w:color w:val="000000"/>
          <w:szCs w:val="21"/>
        </w:rPr>
        <w:t>月</w:t>
      </w:r>
      <w:r>
        <w:rPr>
          <w:rFonts w:ascii="宋体" w:eastAsia="宋体" w:hAnsi="宋体" w:cs="宋体" w:hint="eastAsia"/>
          <w:color w:val="000000"/>
          <w:szCs w:val="21"/>
        </w:rPr>
        <w:t>20</w:t>
      </w:r>
      <w:r>
        <w:rPr>
          <w:rFonts w:ascii="宋体" w:eastAsia="宋体" w:hAnsi="宋体" w:cs="宋体" w:hint="eastAsia"/>
          <w:color w:val="000000"/>
          <w:szCs w:val="21"/>
        </w:rPr>
        <w:t>日</w:t>
      </w:r>
    </w:p>
    <w:sectPr w:rsidR="00A3541C" w:rsidSect="00F7132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embedSystemFonts/>
  <w:bordersDoNotSurroundHeader/>
  <w:bordersDoNotSurroundFooter/>
  <w:trackRevisions/>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
  <w:rsids>
    <w:rsidRoot w:val="008E72A7"/>
    <w:rsid w:val="007E4E6D"/>
    <w:rsid w:val="008B7F68"/>
    <w:rsid w:val="008E72A7"/>
    <w:rsid w:val="00A3541C"/>
    <w:rsid w:val="00A5739D"/>
    <w:rsid w:val="00C209CA"/>
    <w:rsid w:val="00F7132B"/>
    <w:rsid w:val="033A7246"/>
    <w:rsid w:val="09FD32CF"/>
    <w:rsid w:val="0C3652E1"/>
    <w:rsid w:val="0C3A091F"/>
    <w:rsid w:val="0D064D53"/>
    <w:rsid w:val="0D491DF4"/>
    <w:rsid w:val="1726442C"/>
    <w:rsid w:val="1DDC550B"/>
    <w:rsid w:val="201B7586"/>
    <w:rsid w:val="23F65D4C"/>
    <w:rsid w:val="28BB70F0"/>
    <w:rsid w:val="293900A7"/>
    <w:rsid w:val="2C15429D"/>
    <w:rsid w:val="2C4D33B1"/>
    <w:rsid w:val="320925F3"/>
    <w:rsid w:val="374557B0"/>
    <w:rsid w:val="3A040D85"/>
    <w:rsid w:val="3FF919C3"/>
    <w:rsid w:val="40F050DB"/>
    <w:rsid w:val="434904F7"/>
    <w:rsid w:val="44FA32AD"/>
    <w:rsid w:val="460776BE"/>
    <w:rsid w:val="472A4E5C"/>
    <w:rsid w:val="4955226C"/>
    <w:rsid w:val="4D961F27"/>
    <w:rsid w:val="4F496B9D"/>
    <w:rsid w:val="5F510D24"/>
    <w:rsid w:val="68CD117F"/>
    <w:rsid w:val="69420E35"/>
    <w:rsid w:val="6C9E7285"/>
    <w:rsid w:val="6F300FB7"/>
    <w:rsid w:val="70681794"/>
    <w:rsid w:val="723D60B9"/>
    <w:rsid w:val="749E6D9A"/>
    <w:rsid w:val="759115C7"/>
    <w:rsid w:val="75C1106A"/>
    <w:rsid w:val="75F770C2"/>
    <w:rsid w:val="76B03549"/>
    <w:rsid w:val="791A75D5"/>
    <w:rsid w:val="79225E31"/>
    <w:rsid w:val="7A1F090C"/>
    <w:rsid w:val="7A8E7FEB"/>
    <w:rsid w:val="7C7D411B"/>
    <w:rsid w:val="7CBF4CF0"/>
    <w:rsid w:val="7E37384B"/>
    <w:rsid w:val="7E440A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132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F7132B"/>
    <w:pPr>
      <w:jc w:val="left"/>
    </w:pPr>
  </w:style>
  <w:style w:type="paragraph" w:styleId="a4">
    <w:name w:val="Balloon Text"/>
    <w:basedOn w:val="a"/>
    <w:link w:val="Char"/>
    <w:qFormat/>
    <w:rsid w:val="00F7132B"/>
    <w:rPr>
      <w:sz w:val="18"/>
      <w:szCs w:val="18"/>
    </w:rPr>
  </w:style>
  <w:style w:type="paragraph" w:styleId="a5">
    <w:name w:val="footer"/>
    <w:basedOn w:val="a"/>
    <w:link w:val="Char0"/>
    <w:qFormat/>
    <w:rsid w:val="00F7132B"/>
    <w:pPr>
      <w:tabs>
        <w:tab w:val="center" w:pos="4153"/>
        <w:tab w:val="right" w:pos="8306"/>
      </w:tabs>
      <w:snapToGrid w:val="0"/>
      <w:jc w:val="left"/>
    </w:pPr>
    <w:rPr>
      <w:sz w:val="18"/>
      <w:szCs w:val="18"/>
    </w:rPr>
  </w:style>
  <w:style w:type="paragraph" w:styleId="a6">
    <w:name w:val="header"/>
    <w:basedOn w:val="a"/>
    <w:link w:val="Char1"/>
    <w:rsid w:val="00F7132B"/>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qFormat/>
    <w:rsid w:val="00F7132B"/>
    <w:rPr>
      <w:sz w:val="21"/>
      <w:szCs w:val="21"/>
    </w:rPr>
  </w:style>
  <w:style w:type="character" w:customStyle="1" w:styleId="Char">
    <w:name w:val="批注框文本 Char"/>
    <w:basedOn w:val="a0"/>
    <w:link w:val="a4"/>
    <w:qFormat/>
    <w:rsid w:val="00F7132B"/>
    <w:rPr>
      <w:rFonts w:asciiTheme="minorHAnsi" w:eastAsiaTheme="minorEastAsia" w:hAnsiTheme="minorHAnsi" w:cstheme="minorBidi"/>
      <w:kern w:val="2"/>
      <w:sz w:val="18"/>
      <w:szCs w:val="18"/>
    </w:rPr>
  </w:style>
  <w:style w:type="character" w:customStyle="1" w:styleId="Char1">
    <w:name w:val="页眉 Char"/>
    <w:basedOn w:val="a0"/>
    <w:link w:val="a6"/>
    <w:rsid w:val="00F7132B"/>
    <w:rPr>
      <w:rFonts w:asciiTheme="minorHAnsi" w:eastAsiaTheme="minorEastAsia" w:hAnsiTheme="minorHAnsi" w:cstheme="minorBidi"/>
      <w:kern w:val="2"/>
      <w:sz w:val="18"/>
      <w:szCs w:val="18"/>
    </w:rPr>
  </w:style>
  <w:style w:type="character" w:customStyle="1" w:styleId="Char0">
    <w:name w:val="页脚 Char"/>
    <w:basedOn w:val="a0"/>
    <w:link w:val="a5"/>
    <w:rsid w:val="00F7132B"/>
    <w:rPr>
      <w:rFonts w:asciiTheme="minorHAnsi" w:eastAsiaTheme="minorEastAsia" w:hAnsiTheme="minorHAnsi" w:cstheme="minorBidi"/>
      <w:kern w:val="2"/>
      <w:sz w:val="18"/>
      <w:szCs w:val="18"/>
    </w:rPr>
  </w:style>
  <w:style w:type="paragraph" w:styleId="a8">
    <w:name w:val="Revision"/>
    <w:hidden/>
    <w:uiPriority w:val="99"/>
    <w:unhideWhenUsed/>
    <w:rsid w:val="00C209CA"/>
    <w:rPr>
      <w:rFonts w:asciiTheme="minorHAnsi" w:eastAsiaTheme="minorEastAsia" w:hAnsiTheme="minorHAnsi" w:cstheme="minorBidi"/>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684</Characters>
  <Application>Microsoft Office Word</Application>
  <DocSecurity>4</DocSecurity>
  <Lines>5</Lines>
  <Paragraphs>1</Paragraphs>
  <ScaleCrop>false</ScaleCrop>
  <Company/>
  <LinksUpToDate>false</LinksUpToDate>
  <CharactersWithSpaces>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qianlx</dc:creator>
  <cp:lastModifiedBy>ZHONGM</cp:lastModifiedBy>
  <cp:revision>2</cp:revision>
  <dcterms:created xsi:type="dcterms:W3CDTF">2024-01-19T16:02:00Z</dcterms:created>
  <dcterms:modified xsi:type="dcterms:W3CDTF">2024-01-19T16:02:00Z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6262F7A732D9449C8205EA446D1F3C6B</vt:lpwstr>
  </property>
</Properties>
</file>