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90" w:rsidRDefault="00CF72C5" w:rsidP="008B7487">
      <w:pPr>
        <w:pStyle w:val="a8"/>
        <w:ind w:left="1" w:rightChars="-27" w:right="-57"/>
        <w:rPr>
          <w:b/>
          <w:sz w:val="48"/>
          <w:szCs w:val="48"/>
        </w:rPr>
      </w:pPr>
      <w:bookmarkStart w:id="0" w:name="_GoBack"/>
      <w:bookmarkEnd w:id="0"/>
      <w:r w:rsidRPr="008B7487">
        <w:rPr>
          <w:b/>
          <w:sz w:val="48"/>
          <w:szCs w:val="48"/>
        </w:rPr>
        <w:t>关于鹏扬景瑞三年持有期混合型证券投资基金变更基金经理的公告</w:t>
      </w:r>
    </w:p>
    <w:p w:rsidR="00DA2749" w:rsidRDefault="00CF72C5" w:rsidP="00CF72C5">
      <w:pPr>
        <w:pStyle w:val="1"/>
        <w:spacing w:before="156" w:after="156"/>
      </w:pPr>
      <w:r>
        <w:t>公告基本信息</w:t>
      </w:r>
    </w:p>
    <w:tbl>
      <w:tblPr>
        <w:tblStyle w:val="ab"/>
        <w:tblW w:w="9072" w:type="dxa"/>
        <w:jc w:val="center"/>
        <w:tblLook w:val="04A0"/>
      </w:tblPr>
      <w:tblGrid>
        <w:gridCol w:w="3888"/>
        <w:gridCol w:w="5184"/>
      </w:tblGrid>
      <w:tr w:rsidR="003468ED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3468ED" w:rsidRPr="006B6BB2" w:rsidRDefault="00275C06" w:rsidP="003468ED">
            <w:r>
              <w:rPr>
                <w:rFonts w:hint="eastAsia"/>
              </w:rPr>
              <w:t>基金名称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3468ED" w:rsidRPr="003E5622" w:rsidRDefault="003468ED" w:rsidP="003468ED">
            <w:r w:rsidRPr="003E5622">
              <w:rPr>
                <w:rFonts w:hint="eastAsia"/>
              </w:rPr>
              <w:t>鹏扬景瑞三年持有期混合型证券投资基金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基金简称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鹏扬景瑞三年持有混合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基金主代码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008416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基金管理人名称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鹏扬基金管理有限公司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公告依据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《公开募集证券投资基金信息披露管理办法》、《基金管理公司投资管理人员管理指导意见》、《鹏扬景瑞三年持有期混合型证券投资基金基金合同》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基金经理变更类型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解聘基金经理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共同管理本基金的其他基金经理姓名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李沁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vMerge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共同管理本基金的其他基金经理姓名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李人望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Default="00275C06" w:rsidP="00275C06">
            <w:r w:rsidRPr="006B6BB2">
              <w:rPr>
                <w:rFonts w:hint="eastAsia"/>
              </w:rPr>
              <w:t>离任基金经理姓名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Default="00275C06" w:rsidP="00275C06">
            <w:r w:rsidRPr="003E5622">
              <w:rPr>
                <w:rFonts w:hint="eastAsia"/>
              </w:rPr>
              <w:t>赵世宏</w:t>
            </w:r>
          </w:p>
        </w:tc>
      </w:tr>
    </w:tbl>
    <w:p w:rsidR="007F0ADE" w:rsidRDefault="00F9478F" w:rsidP="007F0ADE">
      <w:pPr>
        <w:pStyle w:val="1"/>
        <w:spacing w:before="156" w:after="156"/>
      </w:pPr>
      <w:r>
        <w:rPr>
          <w:rFonts w:hint="eastAsia"/>
        </w:rPr>
        <w:t>离任基金经理的相关信息</w:t>
      </w:r>
    </w:p>
    <w:tbl>
      <w:tblPr>
        <w:tblStyle w:val="ab"/>
        <w:tblW w:w="9072" w:type="dxa"/>
        <w:jc w:val="center"/>
        <w:tblLayout w:type="fixed"/>
        <w:tblLook w:val="04A0"/>
      </w:tblPr>
      <w:tblGrid>
        <w:gridCol w:w="2529"/>
        <w:gridCol w:w="6543"/>
      </w:tblGrid>
      <w:tr w:rsidR="00F2256A" w:rsidTr="00F2256A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离任基金经理姓名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赵世宏</w:t>
            </w:r>
          </w:p>
        </w:tc>
      </w:tr>
      <w:tr w:rsidR="00F2256A" w:rsidTr="00F2256A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离任原因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因工作需要</w:t>
            </w:r>
          </w:p>
        </w:tc>
      </w:tr>
      <w:tr w:rsidR="00F2256A" w:rsidTr="00F2256A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离任日期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>
              <w:rPr>
                <w:rFonts w:hint="eastAsia"/>
              </w:rPr>
              <w:t>2024-01-17</w:t>
            </w:r>
          </w:p>
        </w:tc>
      </w:tr>
      <w:tr w:rsidR="00F2256A" w:rsidTr="00F2256A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转任本公司其他工作岗位的说明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-</w:t>
            </w:r>
          </w:p>
        </w:tc>
      </w:tr>
      <w:tr w:rsidR="00F2256A" w:rsidTr="00F2256A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是</w:t>
            </w:r>
          </w:p>
        </w:tc>
      </w:tr>
      <w:tr w:rsidR="00F2256A" w:rsidTr="00F2256A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Default="007F0ADE" w:rsidP="007F0ADE">
            <w:r w:rsidRPr="00625FAF"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否</w:t>
            </w:r>
          </w:p>
        </w:tc>
      </w:tr>
    </w:tbl>
    <w:p w:rsidR="00DB087C" w:rsidRPr="003632EA" w:rsidRDefault="00DB087C" w:rsidP="003632EA">
      <w:pPr>
        <w:snapToGrid w:val="0"/>
        <w:jc w:val="left"/>
        <w:rPr>
          <w:rFonts w:hAnsi="宋体"/>
          <w:sz w:val="2"/>
          <w:szCs w:val="22"/>
        </w:rPr>
      </w:pPr>
    </w:p>
    <w:p w:rsidR="00F9478F" w:rsidRDefault="00F9478F" w:rsidP="00F9478F">
      <w:pPr>
        <w:pStyle w:val="1"/>
        <w:spacing w:before="156" w:after="156"/>
      </w:pPr>
      <w:r>
        <w:rPr>
          <w:rFonts w:hint="eastAsia"/>
        </w:rPr>
        <w:t>其他需要说明的事项</w:t>
      </w:r>
    </w:p>
    <w:p w:rsidR="00F9478F" w:rsidRDefault="00F9478F" w:rsidP="009F7309">
      <w:pPr>
        <w:pStyle w:val="aa"/>
        <w:snapToGrid w:val="0"/>
        <w:ind w:firstLine="420"/>
      </w:pPr>
      <w:r w:rsidRPr="0031779F">
        <w:t>赵世宏仍担任鹏扬基金管理有限公司股票投资部总经理。鹏扬景升灵活配置混合型证券投资基金基金经理；鹏扬景欣混合型证券投资基金基金经理；鹏扬数字经济先锋混合型证券投资基金基金经理；鹏扬竞争力先锋一年持有期混合型证券投资基金基金经理；鹏扬丰融价值先锋一年持有期混合型证券投资基金基金经理。</w:t>
      </w:r>
    </w:p>
    <w:p w:rsidR="00EB19F1" w:rsidRPr="00F2256A" w:rsidRDefault="00EB19F1" w:rsidP="00F2256A">
      <w:pPr>
        <w:pStyle w:val="aa"/>
        <w:ind w:firstLine="420"/>
      </w:pPr>
    </w:p>
    <w:p w:rsidR="00EB19F1" w:rsidRPr="00F2256A" w:rsidRDefault="00EB19F1" w:rsidP="00F2256A">
      <w:pPr>
        <w:pStyle w:val="aa"/>
        <w:adjustRightInd w:val="0"/>
        <w:ind w:firstLine="420"/>
        <w:contextualSpacing/>
      </w:pPr>
    </w:p>
    <w:p w:rsidR="00EB19F1" w:rsidRPr="00F2256A" w:rsidRDefault="00EB19F1" w:rsidP="00F2256A">
      <w:pPr>
        <w:pStyle w:val="1"/>
        <w:numPr>
          <w:ilvl w:val="0"/>
          <w:numId w:val="0"/>
        </w:numPr>
        <w:adjustRightInd w:val="0"/>
        <w:spacing w:beforeLines="0" w:afterLines="0" w:line="360" w:lineRule="auto"/>
        <w:contextualSpacing/>
        <w:jc w:val="right"/>
        <w:rPr>
          <w:b w:val="0"/>
          <w:sz w:val="21"/>
          <w:szCs w:val="21"/>
        </w:rPr>
      </w:pPr>
      <w:r w:rsidRPr="00F2256A">
        <w:rPr>
          <w:rFonts w:hint="eastAsia"/>
          <w:b w:val="0"/>
          <w:sz w:val="21"/>
          <w:szCs w:val="21"/>
        </w:rPr>
        <w:t>鹏扬基金管理有限公司</w:t>
      </w:r>
    </w:p>
    <w:p w:rsidR="007A7452" w:rsidRPr="00F2256A" w:rsidRDefault="00EB19F1" w:rsidP="00F2256A">
      <w:pPr>
        <w:pStyle w:val="1"/>
        <w:numPr>
          <w:ilvl w:val="0"/>
          <w:numId w:val="0"/>
        </w:numPr>
        <w:adjustRightInd w:val="0"/>
        <w:spacing w:beforeLines="0" w:afterLines="0" w:line="360" w:lineRule="auto"/>
        <w:contextualSpacing/>
        <w:jc w:val="right"/>
        <w:rPr>
          <w:b w:val="0"/>
          <w:sz w:val="21"/>
          <w:szCs w:val="21"/>
        </w:rPr>
      </w:pPr>
      <w:r w:rsidRPr="00F2256A">
        <w:rPr>
          <w:rFonts w:hint="eastAsia"/>
          <w:b w:val="0"/>
          <w:sz w:val="21"/>
          <w:szCs w:val="21"/>
        </w:rPr>
        <w:t>2024年1月19日</w:t>
      </w:r>
    </w:p>
    <w:sectPr w:rsidR="007A7452" w:rsidRPr="00F2256A" w:rsidSect="00B02A03">
      <w:headerReference w:type="default" r:id="rId8"/>
      <w:footerReference w:type="default" r:id="rId9"/>
      <w:footerReference w:type="firs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39" w:rsidRDefault="00542839" w:rsidP="00CF72C5">
      <w:r>
        <w:separator/>
      </w:r>
    </w:p>
  </w:endnote>
  <w:endnote w:type="continuationSeparator" w:id="0">
    <w:p w:rsidR="00542839" w:rsidRDefault="00542839" w:rsidP="00CF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1" w:rsidRDefault="00EB19F1" w:rsidP="00EB19F1">
    <w:pPr>
      <w:pStyle w:val="a4"/>
      <w:jc w:val="center"/>
    </w:pPr>
    <w:r w:rsidRPr="00EB19F1">
      <w:rPr>
        <w:rFonts w:hint="eastAsia"/>
      </w:rPr>
      <w:t>第</w:t>
    </w:r>
    <w:r w:rsidR="00D57B1E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D57B1E">
      <w:fldChar w:fldCharType="separate"/>
    </w:r>
    <w:r w:rsidR="009F6958">
      <w:rPr>
        <w:noProof/>
      </w:rPr>
      <w:t>1</w:t>
    </w:r>
    <w:r w:rsidR="00D57B1E">
      <w:fldChar w:fldCharType="end"/>
    </w:r>
    <w:r w:rsidRPr="00EB19F1">
      <w:rPr>
        <w:rFonts w:hint="eastAsia"/>
      </w:rPr>
      <w:t>页 共</w:t>
    </w:r>
    <w:fldSimple w:instr=" NUMPAGES   \* MERGEFORMAT ">
      <w:r w:rsidR="009F6958">
        <w:rPr>
          <w:noProof/>
        </w:rPr>
        <w:t>1</w:t>
      </w:r>
    </w:fldSimple>
    <w:r w:rsidRPr="00EB19F1"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90" w:rsidRDefault="00244090">
    <w:pPr>
      <w:pStyle w:val="a4"/>
      <w:jc w:val="center"/>
    </w:pPr>
    <w:r w:rsidRPr="00C243B8">
      <w:t>第</w:t>
    </w:r>
    <w:sdt>
      <w:sdtPr>
        <w:id w:val="-711256933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Pr="00C243B8">
              <w:rPr>
                <w:lang w:val="zh-CN"/>
              </w:rPr>
              <w:t xml:space="preserve"> </w:t>
            </w:r>
            <w:r w:rsidR="00D57B1E" w:rsidRPr="00C243B8">
              <w:rPr>
                <w:bCs/>
                <w:sz w:val="24"/>
                <w:szCs w:val="24"/>
              </w:rPr>
              <w:fldChar w:fldCharType="begin"/>
            </w:r>
            <w:r w:rsidRPr="00C243B8">
              <w:rPr>
                <w:bCs/>
              </w:rPr>
              <w:instrText>PAGE</w:instrText>
            </w:r>
            <w:r w:rsidR="00D57B1E" w:rsidRPr="00C243B8">
              <w:rPr>
                <w:bCs/>
                <w:sz w:val="24"/>
                <w:szCs w:val="24"/>
              </w:rPr>
              <w:fldChar w:fldCharType="separate"/>
            </w:r>
            <w:r w:rsidR="00EB29AE">
              <w:rPr>
                <w:bCs/>
                <w:noProof/>
              </w:rPr>
              <w:t>1</w:t>
            </w:r>
            <w:r w:rsidR="00D57B1E" w:rsidRPr="00C243B8">
              <w:rPr>
                <w:bCs/>
                <w:sz w:val="24"/>
                <w:szCs w:val="24"/>
              </w:rPr>
              <w:fldChar w:fldCharType="end"/>
            </w:r>
            <w:r w:rsidRPr="00C243B8">
              <w:rPr>
                <w:bCs/>
                <w:sz w:val="24"/>
                <w:szCs w:val="24"/>
              </w:rPr>
              <w:t>页</w:t>
            </w:r>
            <w:r w:rsidRPr="00C243B8">
              <w:rPr>
                <w:lang w:val="zh-CN"/>
              </w:rPr>
              <w:t xml:space="preserve"> /共 </w:t>
            </w:r>
            <w:r w:rsidR="00D57B1E" w:rsidRPr="00C243B8">
              <w:rPr>
                <w:bCs/>
                <w:sz w:val="24"/>
                <w:szCs w:val="24"/>
              </w:rPr>
              <w:fldChar w:fldCharType="begin"/>
            </w:r>
            <w:r w:rsidRPr="00C243B8">
              <w:rPr>
                <w:bCs/>
              </w:rPr>
              <w:instrText>NUMPAGES</w:instrText>
            </w:r>
            <w:r w:rsidR="00D57B1E" w:rsidRPr="00C243B8">
              <w:rPr>
                <w:bCs/>
                <w:sz w:val="24"/>
                <w:szCs w:val="24"/>
              </w:rPr>
              <w:fldChar w:fldCharType="separate"/>
            </w:r>
            <w:r w:rsidR="005E1A3D">
              <w:rPr>
                <w:bCs/>
                <w:noProof/>
              </w:rPr>
              <w:t>1</w:t>
            </w:r>
            <w:r w:rsidR="00D57B1E" w:rsidRPr="00C243B8">
              <w:rPr>
                <w:bCs/>
                <w:sz w:val="24"/>
                <w:szCs w:val="24"/>
              </w:rPr>
              <w:fldChar w:fldCharType="end"/>
            </w:r>
            <w:r w:rsidRPr="00C243B8">
              <w:rPr>
                <w:bCs/>
                <w:sz w:val="24"/>
                <w:szCs w:val="24"/>
              </w:rPr>
              <w:t>页</w:t>
            </w:r>
          </w:sdtContent>
        </w:sdt>
      </w:sdtContent>
    </w:sdt>
  </w:p>
  <w:p w:rsidR="00EB19F1" w:rsidRDefault="00EB19F1" w:rsidP="00EB19F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39" w:rsidRDefault="00542839" w:rsidP="00CF72C5">
      <w:r>
        <w:separator/>
      </w:r>
    </w:p>
  </w:footnote>
  <w:footnote w:type="continuationSeparator" w:id="0">
    <w:p w:rsidR="00542839" w:rsidRDefault="00542839" w:rsidP="00CF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76" w:rsidRDefault="007B244B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关于鹏扬景瑞三年持有期混合型证券投资基金变更基金经理的公告</w:t>
    </w:r>
  </w:p>
  <w:p w:rsidR="00AE3076" w:rsidRDefault="00AE3076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B26"/>
    <w:multiLevelType w:val="hybridMultilevel"/>
    <w:tmpl w:val="86165E58"/>
    <w:lvl w:ilvl="0" w:tplc="B522559A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CC4675"/>
    <w:multiLevelType w:val="hybridMultilevel"/>
    <w:tmpl w:val="573AA668"/>
    <w:lvl w:ilvl="0" w:tplc="ECAE6C80">
      <w:start w:val="1"/>
      <w:numFmt w:val="decimal"/>
      <w:lvlText w:val="%1.1.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5A"/>
    <w:rsid w:val="000024CD"/>
    <w:rsid w:val="00003C1E"/>
    <w:rsid w:val="00007982"/>
    <w:rsid w:val="00031E76"/>
    <w:rsid w:val="00040BE1"/>
    <w:rsid w:val="00052FCD"/>
    <w:rsid w:val="000C68AB"/>
    <w:rsid w:val="000C70FE"/>
    <w:rsid w:val="00104A73"/>
    <w:rsid w:val="001279AD"/>
    <w:rsid w:val="00127A20"/>
    <w:rsid w:val="00142CE2"/>
    <w:rsid w:val="00153F78"/>
    <w:rsid w:val="0016353F"/>
    <w:rsid w:val="00165B55"/>
    <w:rsid w:val="00182CF1"/>
    <w:rsid w:val="00184FBB"/>
    <w:rsid w:val="001865BF"/>
    <w:rsid w:val="001B6E30"/>
    <w:rsid w:val="001C0B5A"/>
    <w:rsid w:val="001F21F5"/>
    <w:rsid w:val="00220119"/>
    <w:rsid w:val="00244090"/>
    <w:rsid w:val="00251300"/>
    <w:rsid w:val="00263795"/>
    <w:rsid w:val="00275C06"/>
    <w:rsid w:val="00277A54"/>
    <w:rsid w:val="002921BD"/>
    <w:rsid w:val="00294511"/>
    <w:rsid w:val="00294F9F"/>
    <w:rsid w:val="0029757B"/>
    <w:rsid w:val="002A64E4"/>
    <w:rsid w:val="002B2D23"/>
    <w:rsid w:val="002E4681"/>
    <w:rsid w:val="003070CB"/>
    <w:rsid w:val="0031779F"/>
    <w:rsid w:val="00337579"/>
    <w:rsid w:val="003468ED"/>
    <w:rsid w:val="0035288C"/>
    <w:rsid w:val="00356B1C"/>
    <w:rsid w:val="003632EA"/>
    <w:rsid w:val="00386BF0"/>
    <w:rsid w:val="003E045D"/>
    <w:rsid w:val="003E4534"/>
    <w:rsid w:val="00401FF6"/>
    <w:rsid w:val="004111FF"/>
    <w:rsid w:val="00420C9B"/>
    <w:rsid w:val="00422706"/>
    <w:rsid w:val="004277A7"/>
    <w:rsid w:val="00444FCB"/>
    <w:rsid w:val="004534BC"/>
    <w:rsid w:val="0046428E"/>
    <w:rsid w:val="0049357C"/>
    <w:rsid w:val="004B0BCF"/>
    <w:rsid w:val="004C0A1C"/>
    <w:rsid w:val="004C248C"/>
    <w:rsid w:val="004E367E"/>
    <w:rsid w:val="004E3A40"/>
    <w:rsid w:val="00542839"/>
    <w:rsid w:val="00543FAB"/>
    <w:rsid w:val="00564D1D"/>
    <w:rsid w:val="00592B4C"/>
    <w:rsid w:val="005B39EE"/>
    <w:rsid w:val="005D3258"/>
    <w:rsid w:val="005E1A3D"/>
    <w:rsid w:val="005F5FED"/>
    <w:rsid w:val="00607324"/>
    <w:rsid w:val="006326B0"/>
    <w:rsid w:val="00690C0E"/>
    <w:rsid w:val="0069539E"/>
    <w:rsid w:val="006A4DFF"/>
    <w:rsid w:val="006B7A4F"/>
    <w:rsid w:val="006C0A90"/>
    <w:rsid w:val="006F527D"/>
    <w:rsid w:val="007103A2"/>
    <w:rsid w:val="00720CE4"/>
    <w:rsid w:val="0073732C"/>
    <w:rsid w:val="00797790"/>
    <w:rsid w:val="007A5A51"/>
    <w:rsid w:val="007A7452"/>
    <w:rsid w:val="007B244B"/>
    <w:rsid w:val="007B69E0"/>
    <w:rsid w:val="007C6369"/>
    <w:rsid w:val="007F0ADE"/>
    <w:rsid w:val="008179E7"/>
    <w:rsid w:val="00844830"/>
    <w:rsid w:val="00845012"/>
    <w:rsid w:val="00853875"/>
    <w:rsid w:val="00895320"/>
    <w:rsid w:val="008B7487"/>
    <w:rsid w:val="008E515A"/>
    <w:rsid w:val="00933C35"/>
    <w:rsid w:val="0093557D"/>
    <w:rsid w:val="00943E92"/>
    <w:rsid w:val="00955762"/>
    <w:rsid w:val="009824B1"/>
    <w:rsid w:val="009921E3"/>
    <w:rsid w:val="00995DBA"/>
    <w:rsid w:val="009A2AA5"/>
    <w:rsid w:val="009D1B30"/>
    <w:rsid w:val="009D219C"/>
    <w:rsid w:val="009D715E"/>
    <w:rsid w:val="009D7E7A"/>
    <w:rsid w:val="009E30F4"/>
    <w:rsid w:val="009F5657"/>
    <w:rsid w:val="009F6958"/>
    <w:rsid w:val="009F7309"/>
    <w:rsid w:val="00A01452"/>
    <w:rsid w:val="00A05870"/>
    <w:rsid w:val="00A07DAB"/>
    <w:rsid w:val="00A2723A"/>
    <w:rsid w:val="00A56FB0"/>
    <w:rsid w:val="00A63623"/>
    <w:rsid w:val="00A93919"/>
    <w:rsid w:val="00AE0043"/>
    <w:rsid w:val="00AE3076"/>
    <w:rsid w:val="00AF55DC"/>
    <w:rsid w:val="00B02A03"/>
    <w:rsid w:val="00B06BA7"/>
    <w:rsid w:val="00B576DA"/>
    <w:rsid w:val="00B66AAC"/>
    <w:rsid w:val="00B677C2"/>
    <w:rsid w:val="00B75AA9"/>
    <w:rsid w:val="00BA0DE8"/>
    <w:rsid w:val="00BA1296"/>
    <w:rsid w:val="00BA4AAB"/>
    <w:rsid w:val="00BD07A8"/>
    <w:rsid w:val="00BD1265"/>
    <w:rsid w:val="00C243B8"/>
    <w:rsid w:val="00C30014"/>
    <w:rsid w:val="00C74608"/>
    <w:rsid w:val="00C91FF2"/>
    <w:rsid w:val="00CC1B87"/>
    <w:rsid w:val="00CD0CED"/>
    <w:rsid w:val="00CF2811"/>
    <w:rsid w:val="00CF5167"/>
    <w:rsid w:val="00CF72C5"/>
    <w:rsid w:val="00D14AEE"/>
    <w:rsid w:val="00D51D4F"/>
    <w:rsid w:val="00D57B1E"/>
    <w:rsid w:val="00D77856"/>
    <w:rsid w:val="00D80F4F"/>
    <w:rsid w:val="00D92BED"/>
    <w:rsid w:val="00DA2749"/>
    <w:rsid w:val="00DB087C"/>
    <w:rsid w:val="00DB1B38"/>
    <w:rsid w:val="00DB4938"/>
    <w:rsid w:val="00DB5914"/>
    <w:rsid w:val="00DC7187"/>
    <w:rsid w:val="00DC72BA"/>
    <w:rsid w:val="00DD5C7E"/>
    <w:rsid w:val="00DF066F"/>
    <w:rsid w:val="00E042B8"/>
    <w:rsid w:val="00E06159"/>
    <w:rsid w:val="00E16788"/>
    <w:rsid w:val="00E40190"/>
    <w:rsid w:val="00E46B16"/>
    <w:rsid w:val="00E54EE9"/>
    <w:rsid w:val="00E60DBD"/>
    <w:rsid w:val="00EB0929"/>
    <w:rsid w:val="00EB19F1"/>
    <w:rsid w:val="00EB29AE"/>
    <w:rsid w:val="00EB488F"/>
    <w:rsid w:val="00EC3476"/>
    <w:rsid w:val="00EC6DE0"/>
    <w:rsid w:val="00ED3486"/>
    <w:rsid w:val="00EF2500"/>
    <w:rsid w:val="00F1678E"/>
    <w:rsid w:val="00F2256A"/>
    <w:rsid w:val="00F32F8A"/>
    <w:rsid w:val="00F54352"/>
    <w:rsid w:val="00F65939"/>
    <w:rsid w:val="00F67872"/>
    <w:rsid w:val="00F86932"/>
    <w:rsid w:val="00F8727F"/>
    <w:rsid w:val="00F9478F"/>
    <w:rsid w:val="00FA078A"/>
    <w:rsid w:val="00FA2C1D"/>
    <w:rsid w:val="00FD65D9"/>
    <w:rsid w:val="00FE2C6F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正文左"/>
    <w:qFormat/>
    <w:rsid w:val="0046428E"/>
    <w:pPr>
      <w:widowControl w:val="0"/>
      <w:jc w:val="both"/>
    </w:pPr>
    <w:rPr>
      <w:rFonts w:ascii="宋体" w:eastAsia="宋体"/>
    </w:rPr>
  </w:style>
  <w:style w:type="paragraph" w:styleId="1">
    <w:name w:val="heading 1"/>
    <w:basedOn w:val="a"/>
    <w:next w:val="a"/>
    <w:link w:val="1Char"/>
    <w:uiPriority w:val="9"/>
    <w:qFormat/>
    <w:rsid w:val="00A2723A"/>
    <w:pPr>
      <w:keepNext/>
      <w:keepLines/>
      <w:numPr>
        <w:numId w:val="2"/>
      </w:numPr>
      <w:spacing w:beforeLines="50" w:afterLines="5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rsid w:val="004277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7977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779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779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F7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2C5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F72C5"/>
    <w:rPr>
      <w:sz w:val="18"/>
      <w:szCs w:val="18"/>
    </w:rPr>
  </w:style>
  <w:style w:type="character" w:styleId="a5">
    <w:name w:val="footnote reference"/>
    <w:rsid w:val="00CF72C5"/>
    <w:rPr>
      <w:vertAlign w:val="superscript"/>
    </w:rPr>
  </w:style>
  <w:style w:type="paragraph" w:styleId="a6">
    <w:name w:val="footnote text"/>
    <w:basedOn w:val="a"/>
    <w:link w:val="Char1"/>
    <w:rsid w:val="00CF72C5"/>
    <w:pPr>
      <w:snapToGrid w:val="0"/>
      <w:jc w:val="left"/>
    </w:pPr>
  </w:style>
  <w:style w:type="character" w:customStyle="1" w:styleId="Char1">
    <w:name w:val="脚注文本 Char"/>
    <w:basedOn w:val="a0"/>
    <w:link w:val="a6"/>
    <w:rsid w:val="00CF72C5"/>
    <w:rPr>
      <w:rFonts w:ascii="Times New Roman" w:eastAsia="宋体" w:hAnsi="Times New Roman" w:cs="Times New Roman"/>
      <w:sz w:val="18"/>
      <w:szCs w:val="20"/>
    </w:rPr>
  </w:style>
  <w:style w:type="character" w:customStyle="1" w:styleId="1Char">
    <w:name w:val="标题 1 Char"/>
    <w:basedOn w:val="a0"/>
    <w:link w:val="1"/>
    <w:uiPriority w:val="9"/>
    <w:rsid w:val="0046428E"/>
    <w:rPr>
      <w:rFonts w:ascii="宋体" w:eastAsia="宋体"/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rsid w:val="009D7E7A"/>
    <w:pPr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D7E7A"/>
  </w:style>
  <w:style w:type="character" w:styleId="a7">
    <w:name w:val="Hyperlink"/>
    <w:basedOn w:val="a0"/>
    <w:uiPriority w:val="99"/>
    <w:unhideWhenUsed/>
    <w:rsid w:val="009D7E7A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31779F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31779F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31779F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31779F"/>
    <w:rPr>
      <w:rFonts w:ascii="宋体" w:eastAsia="宋体" w:hAnsi="宋体" w:cs="宋体"/>
      <w:bCs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4277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正文中"/>
    <w:qFormat/>
    <w:rsid w:val="0046428E"/>
    <w:pPr>
      <w:jc w:val="center"/>
    </w:pPr>
    <w:rPr>
      <w:rFonts w:ascii="宋体" w:eastAsia="宋体" w:hAnsiTheme="majorEastAsia" w:cs="Times New Roman"/>
      <w:szCs w:val="44"/>
    </w:rPr>
  </w:style>
  <w:style w:type="paragraph" w:customStyle="1" w:styleId="a9">
    <w:name w:val="正文右"/>
    <w:qFormat/>
    <w:rsid w:val="0046428E"/>
    <w:pPr>
      <w:jc w:val="right"/>
    </w:pPr>
    <w:rPr>
      <w:rFonts w:ascii="宋体" w:eastAsia="宋体" w:hAnsiTheme="majorEastAsia" w:cs="Times New Roman"/>
      <w:szCs w:val="44"/>
    </w:rPr>
  </w:style>
  <w:style w:type="paragraph" w:styleId="aa">
    <w:name w:val="Normal Indent"/>
    <w:link w:val="Char2"/>
    <w:qFormat/>
    <w:rsid w:val="0046428E"/>
    <w:pPr>
      <w:spacing w:line="360" w:lineRule="auto"/>
      <w:ind w:firstLineChars="200" w:firstLine="200"/>
    </w:pPr>
    <w:rPr>
      <w:rFonts w:ascii="宋体" w:eastAsia="宋体"/>
    </w:rPr>
  </w:style>
  <w:style w:type="paragraph" w:customStyle="1" w:styleId="13">
    <w:name w:val="样式1"/>
    <w:basedOn w:val="1"/>
    <w:next w:val="1"/>
    <w:link w:val="1Char2"/>
    <w:rsid w:val="00797790"/>
    <w:pPr>
      <w:ind w:firstLine="560"/>
      <w:jc w:val="right"/>
    </w:pPr>
    <w:rPr>
      <w:b w:val="0"/>
      <w:szCs w:val="28"/>
    </w:rPr>
  </w:style>
  <w:style w:type="paragraph" w:customStyle="1" w:styleId="20">
    <w:name w:val="样式2"/>
    <w:basedOn w:val="13"/>
    <w:link w:val="2Char0"/>
    <w:rsid w:val="00797790"/>
    <w:pPr>
      <w:numPr>
        <w:numId w:val="0"/>
      </w:numPr>
      <w:spacing w:beforeLines="0" w:afterLines="0" w:line="416" w:lineRule="auto"/>
      <w:ind w:firstLine="560"/>
      <w:outlineLvl w:val="1"/>
    </w:pPr>
    <w:rPr>
      <w:rFonts w:asciiTheme="majorHAnsi" w:eastAsiaTheme="majorEastAsia" w:hAnsiTheme="majorHAnsi" w:cstheme="majorBidi"/>
      <w:kern w:val="2"/>
    </w:rPr>
  </w:style>
  <w:style w:type="character" w:customStyle="1" w:styleId="7Char">
    <w:name w:val="标题 7 Char"/>
    <w:basedOn w:val="a0"/>
    <w:link w:val="7"/>
    <w:uiPriority w:val="9"/>
    <w:semiHidden/>
    <w:rsid w:val="00797790"/>
    <w:rPr>
      <w:rFonts w:ascii="宋体" w:eastAsia="宋体"/>
      <w:b/>
      <w:bCs/>
      <w:sz w:val="24"/>
      <w:szCs w:val="24"/>
    </w:rPr>
  </w:style>
  <w:style w:type="character" w:customStyle="1" w:styleId="Char2">
    <w:name w:val="正文缩进 Char"/>
    <w:basedOn w:val="a0"/>
    <w:link w:val="aa"/>
    <w:rsid w:val="00797790"/>
    <w:rPr>
      <w:rFonts w:ascii="宋体" w:eastAsia="宋体"/>
    </w:rPr>
  </w:style>
  <w:style w:type="character" w:customStyle="1" w:styleId="1Char2">
    <w:name w:val="样式1 Char"/>
    <w:basedOn w:val="Char2"/>
    <w:link w:val="13"/>
    <w:rsid w:val="00CF2811"/>
    <w:rPr>
      <w:rFonts w:ascii="宋体" w:eastAsia="宋体"/>
      <w:bCs/>
      <w:kern w:val="44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97790"/>
    <w:rPr>
      <w:rFonts w:ascii="宋体" w:eastAsia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97790"/>
    <w:rPr>
      <w:rFonts w:ascii="宋体" w:eastAsia="宋体"/>
      <w:b/>
      <w:bCs/>
      <w:sz w:val="32"/>
      <w:szCs w:val="32"/>
    </w:rPr>
  </w:style>
  <w:style w:type="character" w:customStyle="1" w:styleId="2Char0">
    <w:name w:val="样式2 Char"/>
    <w:basedOn w:val="1Char2"/>
    <w:link w:val="20"/>
    <w:rsid w:val="00797790"/>
    <w:rPr>
      <w:rFonts w:asciiTheme="majorHAnsi" w:eastAsiaTheme="majorEastAsia" w:hAnsiTheme="majorHAnsi" w:cstheme="majorBidi"/>
      <w:bCs/>
      <w:kern w:val="44"/>
      <w:sz w:val="28"/>
      <w:szCs w:val="28"/>
    </w:rPr>
  </w:style>
  <w:style w:type="table" w:styleId="ab">
    <w:name w:val="Table Grid"/>
    <w:basedOn w:val="a1"/>
    <w:uiPriority w:val="39"/>
    <w:rsid w:val="0034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82F72D6-5665-458C-9CBA-587EE93D521D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cp:lastPrinted>2024-01-18T09:17:00Z</cp:lastPrinted>
  <dcterms:created xsi:type="dcterms:W3CDTF">2024-01-18T16:01:00Z</dcterms:created>
  <dcterms:modified xsi:type="dcterms:W3CDTF">2024-01-18T16:01:00Z</dcterms:modified>
</cp:coreProperties>
</file>