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A8" w:rsidRDefault="008F45C5">
      <w:pPr>
        <w:jc w:val="center"/>
        <w:rPr>
          <w:rFonts w:ascii="Times" w:hAnsi="Times"/>
          <w:b/>
          <w:bCs/>
          <w:sz w:val="28"/>
          <w:szCs w:val="28"/>
        </w:rPr>
      </w:pPr>
      <w:r>
        <w:rPr>
          <w:rFonts w:ascii="Times" w:hAnsi="Times" w:hint="eastAsia"/>
          <w:b/>
          <w:bCs/>
          <w:sz w:val="28"/>
          <w:szCs w:val="28"/>
        </w:rPr>
        <w:t>农银汇理基金管理有限公司关于旗下部分基金</w:t>
      </w:r>
    </w:p>
    <w:p w:rsidR="00D649A8" w:rsidRDefault="008F45C5">
      <w:pPr>
        <w:jc w:val="center"/>
        <w:rPr>
          <w:rFonts w:ascii="Times" w:hAnsi="Times"/>
          <w:b/>
          <w:bCs/>
          <w:sz w:val="28"/>
          <w:szCs w:val="28"/>
        </w:rPr>
      </w:pPr>
      <w:r>
        <w:rPr>
          <w:rFonts w:ascii="Times" w:hAnsi="Times" w:hint="eastAsia"/>
          <w:b/>
          <w:bCs/>
          <w:sz w:val="28"/>
          <w:szCs w:val="28"/>
        </w:rPr>
        <w:t>增加东方财富证券股份有限公司为代销机构的公告</w:t>
      </w:r>
    </w:p>
    <w:p w:rsidR="00D649A8" w:rsidRDefault="00D649A8">
      <w:pPr>
        <w:spacing w:line="360" w:lineRule="auto"/>
        <w:jc w:val="center"/>
        <w:rPr>
          <w:rFonts w:ascii="Times" w:hAnsi="Times"/>
          <w:b/>
          <w:szCs w:val="21"/>
        </w:rPr>
      </w:pPr>
    </w:p>
    <w:p w:rsidR="00D649A8" w:rsidRDefault="008F45C5">
      <w:pPr>
        <w:spacing w:line="360" w:lineRule="auto"/>
        <w:ind w:firstLineChars="200" w:firstLine="420"/>
        <w:rPr>
          <w:rFonts w:ascii="Times" w:hAnsi="Times"/>
          <w:sz w:val="24"/>
        </w:rPr>
      </w:pPr>
      <w:r>
        <w:rPr>
          <w:rFonts w:ascii="Times" w:hAnsi="Times" w:hint="eastAsia"/>
          <w:szCs w:val="21"/>
        </w:rPr>
        <w:t>经农银汇理基金管理有限公司（以下简称“本公司”）与东方财富证券股份有限</w:t>
      </w:r>
      <w:bookmarkStart w:id="0" w:name="_GoBack"/>
      <w:bookmarkEnd w:id="0"/>
      <w:r>
        <w:rPr>
          <w:rFonts w:ascii="Times" w:hAnsi="Times" w:hint="eastAsia"/>
          <w:szCs w:val="21"/>
        </w:rPr>
        <w:t>公司（以下简称“东方财富证券”）协商一致，自</w:t>
      </w:r>
      <w:r>
        <w:rPr>
          <w:rFonts w:ascii="Times" w:hAnsi="Times"/>
          <w:szCs w:val="21"/>
        </w:rPr>
        <w:t>2023</w:t>
      </w:r>
      <w:r>
        <w:rPr>
          <w:rFonts w:ascii="Times" w:hAnsi="Times" w:hint="eastAsia"/>
          <w:szCs w:val="21"/>
        </w:rPr>
        <w:t>年</w:t>
      </w:r>
      <w:r>
        <w:rPr>
          <w:rFonts w:ascii="Times" w:hAnsi="Times" w:hint="eastAsia"/>
          <w:szCs w:val="21"/>
        </w:rPr>
        <w:t>1</w:t>
      </w:r>
      <w:r>
        <w:rPr>
          <w:rFonts w:ascii="Times" w:hAnsi="Times" w:hint="eastAsia"/>
          <w:szCs w:val="21"/>
        </w:rPr>
        <w:t>月</w:t>
      </w:r>
      <w:r>
        <w:rPr>
          <w:rFonts w:ascii="Times" w:hAnsi="Times" w:hint="eastAsia"/>
          <w:szCs w:val="21"/>
        </w:rPr>
        <w:t>19</w:t>
      </w:r>
      <w:r>
        <w:rPr>
          <w:rFonts w:ascii="Times" w:hAnsi="Times" w:hint="eastAsia"/>
          <w:szCs w:val="21"/>
        </w:rPr>
        <w:t>日起，新增办理本公司旗下部分基金的代销业务</w:t>
      </w:r>
      <w:r>
        <w:rPr>
          <w:rFonts w:ascii="Times" w:hAnsi="Times" w:hint="eastAsia"/>
          <w:color w:val="000000"/>
          <w:szCs w:val="21"/>
        </w:rPr>
        <w:t>。投资者可通过上述代销机构交易平台办理基金的申购、赎回、转换及定期定额投资等相关业务，其中转换业务以基金实际开通情况为准，</w:t>
      </w:r>
      <w:r>
        <w:rPr>
          <w:rFonts w:ascii="Times" w:eastAsiaTheme="minorEastAsia" w:hAnsi="Times" w:hint="eastAsia"/>
          <w:color w:val="000000"/>
          <w:szCs w:val="21"/>
        </w:rPr>
        <w:t>现将有关事项公告如下：</w:t>
      </w:r>
      <w:r>
        <w:rPr>
          <w:rFonts w:ascii="Times" w:hAnsi="Times"/>
          <w:szCs w:val="21"/>
        </w:rPr>
        <w:t xml:space="preserve"> </w:t>
      </w:r>
    </w:p>
    <w:p w:rsidR="00D649A8" w:rsidRDefault="008F45C5">
      <w:pPr>
        <w:spacing w:line="360" w:lineRule="auto"/>
        <w:ind w:firstLineChars="200" w:firstLine="422"/>
        <w:rPr>
          <w:rFonts w:ascii="Times" w:hAnsi="Times"/>
          <w:b/>
          <w:szCs w:val="21"/>
        </w:rPr>
      </w:pPr>
      <w:r>
        <w:rPr>
          <w:rFonts w:ascii="Times" w:hAnsi="Times" w:hint="eastAsia"/>
          <w:b/>
          <w:szCs w:val="21"/>
        </w:rPr>
        <w:t>一、新增基金列表</w:t>
      </w:r>
    </w:p>
    <w:tbl>
      <w:tblPr>
        <w:tblStyle w:val="a8"/>
        <w:tblW w:w="0" w:type="auto"/>
        <w:jc w:val="center"/>
        <w:tblLook w:val="04A0"/>
      </w:tblPr>
      <w:tblGrid>
        <w:gridCol w:w="1155"/>
        <w:gridCol w:w="6735"/>
      </w:tblGrid>
      <w:tr w:rsidR="00D649A8">
        <w:trPr>
          <w:jc w:val="center"/>
        </w:trPr>
        <w:tc>
          <w:tcPr>
            <w:tcW w:w="1155" w:type="dxa"/>
          </w:tcPr>
          <w:p w:rsidR="00D649A8" w:rsidRDefault="008F45C5">
            <w:pPr>
              <w:spacing w:line="360" w:lineRule="auto"/>
              <w:jc w:val="center"/>
              <w:rPr>
                <w:rFonts w:ascii="Times" w:eastAsiaTheme="minorEastAsia" w:hAnsi="Times"/>
                <w:b/>
                <w:szCs w:val="21"/>
              </w:rPr>
            </w:pPr>
            <w:r>
              <w:rPr>
                <w:rFonts w:ascii="Times" w:eastAsiaTheme="minorEastAsia" w:hAnsi="Times" w:hint="eastAsia"/>
                <w:b/>
                <w:szCs w:val="21"/>
              </w:rPr>
              <w:t>基金代码</w:t>
            </w:r>
          </w:p>
        </w:tc>
        <w:tc>
          <w:tcPr>
            <w:tcW w:w="6735" w:type="dxa"/>
          </w:tcPr>
          <w:p w:rsidR="00D649A8" w:rsidRDefault="008F45C5">
            <w:pPr>
              <w:spacing w:line="360" w:lineRule="auto"/>
              <w:jc w:val="center"/>
              <w:rPr>
                <w:rFonts w:ascii="Times" w:eastAsiaTheme="minorEastAsia" w:hAnsi="Times"/>
                <w:b/>
                <w:szCs w:val="21"/>
              </w:rPr>
            </w:pPr>
            <w:r>
              <w:rPr>
                <w:rFonts w:ascii="Times" w:eastAsiaTheme="minorEastAsia" w:hAnsi="Times" w:hint="eastAsia"/>
                <w:b/>
                <w:szCs w:val="21"/>
              </w:rPr>
              <w:t>基金名称</w:t>
            </w:r>
          </w:p>
        </w:tc>
      </w:tr>
      <w:tr w:rsidR="00D649A8">
        <w:trPr>
          <w:jc w:val="center"/>
        </w:trPr>
        <w:tc>
          <w:tcPr>
            <w:tcW w:w="1155" w:type="dxa"/>
          </w:tcPr>
          <w:p w:rsidR="00D649A8" w:rsidRDefault="008F45C5">
            <w:pPr>
              <w:spacing w:line="360" w:lineRule="auto"/>
              <w:jc w:val="left"/>
              <w:rPr>
                <w:rFonts w:ascii="Times" w:hAnsi="Times"/>
                <w:color w:val="000000"/>
                <w:szCs w:val="21"/>
              </w:rPr>
            </w:pPr>
            <w:r>
              <w:rPr>
                <w:rFonts w:ascii="宋体" w:hAnsi="宋体" w:hint="eastAsia"/>
              </w:rPr>
              <w:t>007888</w:t>
            </w:r>
          </w:p>
        </w:tc>
        <w:tc>
          <w:tcPr>
            <w:tcW w:w="6735" w:type="dxa"/>
          </w:tcPr>
          <w:p w:rsidR="00D649A8" w:rsidRDefault="008F45C5">
            <w:pPr>
              <w:spacing w:line="360" w:lineRule="auto"/>
              <w:rPr>
                <w:rFonts w:ascii="Times" w:hAnsi="Times"/>
                <w:color w:val="000000"/>
                <w:szCs w:val="21"/>
              </w:rPr>
            </w:pPr>
            <w:r>
              <w:rPr>
                <w:rFonts w:ascii="宋体" w:hAnsi="宋体" w:hint="eastAsia"/>
              </w:rPr>
              <w:t>农银汇理金盈债券型证券投资基金</w:t>
            </w:r>
          </w:p>
        </w:tc>
      </w:tr>
      <w:tr w:rsidR="00D649A8">
        <w:trPr>
          <w:jc w:val="center"/>
        </w:trPr>
        <w:tc>
          <w:tcPr>
            <w:tcW w:w="1155" w:type="dxa"/>
          </w:tcPr>
          <w:p w:rsidR="00D649A8" w:rsidRDefault="008F45C5">
            <w:pPr>
              <w:spacing w:line="360" w:lineRule="auto"/>
              <w:jc w:val="left"/>
              <w:rPr>
                <w:rFonts w:ascii="Times" w:hAnsi="Times"/>
                <w:color w:val="000000"/>
                <w:szCs w:val="21"/>
              </w:rPr>
            </w:pPr>
            <w:r>
              <w:rPr>
                <w:rFonts w:ascii="宋体" w:hAnsi="宋体" w:hint="eastAsia"/>
              </w:rPr>
              <w:t>006758</w:t>
            </w:r>
          </w:p>
        </w:tc>
        <w:tc>
          <w:tcPr>
            <w:tcW w:w="6735" w:type="dxa"/>
          </w:tcPr>
          <w:p w:rsidR="00D649A8" w:rsidRDefault="008F45C5">
            <w:pPr>
              <w:spacing w:line="360" w:lineRule="auto"/>
              <w:rPr>
                <w:rFonts w:ascii="Times" w:hAnsi="Times"/>
                <w:color w:val="000000"/>
                <w:szCs w:val="21"/>
              </w:rPr>
            </w:pPr>
            <w:r>
              <w:rPr>
                <w:rFonts w:ascii="宋体" w:hAnsi="宋体" w:hint="eastAsia"/>
              </w:rPr>
              <w:t>农银汇理金禄债券型证券投资基金</w:t>
            </w:r>
          </w:p>
        </w:tc>
      </w:tr>
      <w:tr w:rsidR="00D649A8">
        <w:trPr>
          <w:jc w:val="center"/>
        </w:trPr>
        <w:tc>
          <w:tcPr>
            <w:tcW w:w="1155" w:type="dxa"/>
          </w:tcPr>
          <w:p w:rsidR="00D649A8" w:rsidRDefault="008F45C5">
            <w:pPr>
              <w:spacing w:line="360" w:lineRule="auto"/>
              <w:jc w:val="left"/>
              <w:rPr>
                <w:rFonts w:ascii="Times" w:hAnsi="Times"/>
                <w:color w:val="000000"/>
                <w:szCs w:val="21"/>
              </w:rPr>
            </w:pPr>
            <w:r>
              <w:rPr>
                <w:rFonts w:ascii="宋体" w:hAnsi="宋体" w:hint="eastAsia"/>
              </w:rPr>
              <w:t>017410</w:t>
            </w:r>
          </w:p>
        </w:tc>
        <w:tc>
          <w:tcPr>
            <w:tcW w:w="6735" w:type="dxa"/>
          </w:tcPr>
          <w:p w:rsidR="00D649A8" w:rsidRDefault="008F45C5">
            <w:pPr>
              <w:spacing w:line="360" w:lineRule="auto"/>
              <w:rPr>
                <w:rFonts w:ascii="Times" w:hAnsi="Times"/>
                <w:color w:val="000000"/>
                <w:szCs w:val="21"/>
              </w:rPr>
            </w:pPr>
            <w:r>
              <w:rPr>
                <w:rFonts w:ascii="Times" w:hAnsi="Times" w:hint="eastAsia"/>
                <w:color w:val="000000"/>
                <w:szCs w:val="21"/>
              </w:rPr>
              <w:t>农银养老目标日期</w:t>
            </w:r>
            <w:r>
              <w:rPr>
                <w:rFonts w:ascii="Times" w:hAnsi="Times" w:hint="eastAsia"/>
                <w:color w:val="000000"/>
                <w:szCs w:val="21"/>
              </w:rPr>
              <w:t>2035</w:t>
            </w:r>
            <w:r>
              <w:rPr>
                <w:rFonts w:ascii="Times" w:hAnsi="Times" w:hint="eastAsia"/>
                <w:color w:val="000000"/>
                <w:szCs w:val="21"/>
              </w:rPr>
              <w:t>三年持有期混合型发起式基金中基金（</w:t>
            </w:r>
            <w:r>
              <w:rPr>
                <w:rFonts w:ascii="Times" w:hAnsi="Times" w:hint="eastAsia"/>
                <w:color w:val="000000"/>
                <w:szCs w:val="21"/>
              </w:rPr>
              <w:t>FOF</w:t>
            </w:r>
            <w:r>
              <w:rPr>
                <w:rFonts w:ascii="Times" w:hAnsi="Times" w:hint="eastAsia"/>
                <w:color w:val="000000"/>
                <w:szCs w:val="21"/>
              </w:rPr>
              <w:t>）</w:t>
            </w:r>
            <w:r>
              <w:rPr>
                <w:rFonts w:ascii="Times" w:hAnsi="Times" w:hint="eastAsia"/>
                <w:color w:val="000000"/>
                <w:szCs w:val="21"/>
              </w:rPr>
              <w:t>Y</w:t>
            </w:r>
          </w:p>
        </w:tc>
      </w:tr>
      <w:tr w:rsidR="00D649A8">
        <w:trPr>
          <w:jc w:val="center"/>
        </w:trPr>
        <w:tc>
          <w:tcPr>
            <w:tcW w:w="1155" w:type="dxa"/>
          </w:tcPr>
          <w:p w:rsidR="00D649A8" w:rsidRDefault="008F45C5">
            <w:pPr>
              <w:spacing w:line="360" w:lineRule="auto"/>
              <w:jc w:val="left"/>
              <w:rPr>
                <w:rFonts w:ascii="Times" w:hAnsi="Times"/>
                <w:color w:val="000000"/>
                <w:szCs w:val="21"/>
              </w:rPr>
            </w:pPr>
            <w:r>
              <w:rPr>
                <w:rFonts w:ascii="宋体" w:hAnsi="宋体" w:hint="eastAsia"/>
              </w:rPr>
              <w:t>017411</w:t>
            </w:r>
          </w:p>
        </w:tc>
        <w:tc>
          <w:tcPr>
            <w:tcW w:w="6735" w:type="dxa"/>
          </w:tcPr>
          <w:p w:rsidR="00D649A8" w:rsidRDefault="008F45C5">
            <w:pPr>
              <w:spacing w:line="360" w:lineRule="auto"/>
              <w:rPr>
                <w:rFonts w:ascii="Times" w:hAnsi="Times"/>
                <w:color w:val="000000"/>
                <w:szCs w:val="21"/>
              </w:rPr>
            </w:pPr>
            <w:r>
              <w:rPr>
                <w:rFonts w:ascii="Times" w:hAnsi="Times" w:hint="eastAsia"/>
                <w:color w:val="000000"/>
                <w:szCs w:val="21"/>
              </w:rPr>
              <w:t>农银养老目标日期</w:t>
            </w:r>
            <w:r>
              <w:rPr>
                <w:rFonts w:ascii="Times" w:hAnsi="Times" w:hint="eastAsia"/>
                <w:color w:val="000000"/>
                <w:szCs w:val="21"/>
              </w:rPr>
              <w:t>2045</w:t>
            </w:r>
            <w:r>
              <w:rPr>
                <w:rFonts w:ascii="Times" w:hAnsi="Times" w:hint="eastAsia"/>
                <w:color w:val="000000"/>
                <w:szCs w:val="21"/>
              </w:rPr>
              <w:t>五年持有期混合型发起式基金中基金（</w:t>
            </w:r>
            <w:r>
              <w:rPr>
                <w:rFonts w:ascii="Times" w:hAnsi="Times" w:hint="eastAsia"/>
                <w:color w:val="000000"/>
                <w:szCs w:val="21"/>
              </w:rPr>
              <w:t>FOF</w:t>
            </w:r>
            <w:r>
              <w:rPr>
                <w:rFonts w:ascii="Times" w:hAnsi="Times" w:hint="eastAsia"/>
                <w:color w:val="000000"/>
                <w:szCs w:val="21"/>
              </w:rPr>
              <w:t>）</w:t>
            </w:r>
            <w:r>
              <w:rPr>
                <w:rFonts w:ascii="Times" w:hAnsi="Times" w:hint="eastAsia"/>
                <w:color w:val="000000"/>
                <w:szCs w:val="21"/>
              </w:rPr>
              <w:t>Y</w:t>
            </w:r>
          </w:p>
        </w:tc>
      </w:tr>
    </w:tbl>
    <w:p w:rsidR="00D649A8" w:rsidRDefault="00D649A8">
      <w:pPr>
        <w:spacing w:line="360" w:lineRule="auto"/>
        <w:ind w:firstLineChars="200" w:firstLine="422"/>
        <w:rPr>
          <w:rFonts w:ascii="Times" w:hAnsi="Times"/>
          <w:b/>
          <w:color w:val="000000"/>
          <w:szCs w:val="21"/>
        </w:rPr>
      </w:pPr>
    </w:p>
    <w:p w:rsidR="00D649A8" w:rsidRDefault="008F45C5">
      <w:pPr>
        <w:spacing w:line="360" w:lineRule="auto"/>
        <w:ind w:firstLineChars="200" w:firstLine="422"/>
        <w:rPr>
          <w:rFonts w:ascii="Times" w:hAnsi="Times"/>
          <w:b/>
          <w:color w:val="000000"/>
          <w:szCs w:val="21"/>
        </w:rPr>
      </w:pPr>
      <w:r>
        <w:rPr>
          <w:rFonts w:ascii="Times" w:hAnsi="Times" w:hint="eastAsia"/>
          <w:b/>
          <w:color w:val="000000"/>
          <w:szCs w:val="21"/>
        </w:rPr>
        <w:t>二、费率优惠</w:t>
      </w:r>
    </w:p>
    <w:p w:rsidR="00D649A8" w:rsidRDefault="008F45C5">
      <w:pPr>
        <w:spacing w:line="360" w:lineRule="auto"/>
        <w:ind w:firstLineChars="200" w:firstLine="420"/>
        <w:rPr>
          <w:rFonts w:ascii="Times" w:hAnsi="Times"/>
          <w:szCs w:val="21"/>
        </w:rPr>
      </w:pPr>
      <w:r>
        <w:rPr>
          <w:rFonts w:ascii="Times" w:hAnsi="Times" w:hint="eastAsia"/>
          <w:color w:val="000000"/>
          <w:szCs w:val="21"/>
        </w:rPr>
        <w:t>投资者通过东方财富证券申购、定期定额申购、转换上述基金，享受费率优惠，优惠活动解释权归东方财富证券所有，请投资者咨询东方财富证券。本公司对其申购费率、定期定额申购费率、转换补差费率均不设折扣限制，优惠活动的费率折扣由东方财富证券决定和执行，本公司根据东方财富证券提供的费率折扣办理，若东方财富证券费率优惠活动内容变更，以东方财富证券的活动公告为准，本公司不再另行公告。</w:t>
      </w:r>
    </w:p>
    <w:p w:rsidR="00D649A8" w:rsidRDefault="008F45C5">
      <w:pPr>
        <w:spacing w:line="360" w:lineRule="auto"/>
        <w:ind w:firstLineChars="200" w:firstLine="422"/>
        <w:rPr>
          <w:rFonts w:ascii="Times" w:hAnsi="Times"/>
          <w:b/>
          <w:color w:val="000000"/>
          <w:szCs w:val="21"/>
        </w:rPr>
      </w:pPr>
      <w:r>
        <w:rPr>
          <w:rFonts w:ascii="Times" w:hAnsi="Times" w:hint="eastAsia"/>
          <w:b/>
          <w:color w:val="000000"/>
          <w:szCs w:val="21"/>
        </w:rPr>
        <w:t>三、投资者可通过以下途径咨询有关详情</w:t>
      </w:r>
    </w:p>
    <w:p w:rsidR="00D649A8" w:rsidRDefault="008F45C5">
      <w:pPr>
        <w:spacing w:line="360" w:lineRule="auto"/>
        <w:ind w:firstLineChars="200" w:firstLine="420"/>
        <w:rPr>
          <w:rFonts w:ascii="Times" w:hAnsi="Times"/>
          <w:color w:val="000000"/>
          <w:szCs w:val="21"/>
        </w:rPr>
      </w:pPr>
      <w:r>
        <w:rPr>
          <w:rFonts w:ascii="Times" w:hAnsi="Times"/>
          <w:color w:val="000000"/>
          <w:szCs w:val="21"/>
        </w:rPr>
        <w:t>1</w:t>
      </w:r>
      <w:r>
        <w:rPr>
          <w:rFonts w:ascii="Times" w:hAnsi="Times" w:hint="eastAsia"/>
          <w:color w:val="000000"/>
          <w:szCs w:val="21"/>
        </w:rPr>
        <w:t>、东方财富证券股份有限公司</w:t>
      </w:r>
    </w:p>
    <w:p w:rsidR="00D649A8" w:rsidRDefault="008F45C5">
      <w:pPr>
        <w:spacing w:line="360" w:lineRule="auto"/>
        <w:ind w:firstLineChars="200" w:firstLine="420"/>
        <w:rPr>
          <w:rFonts w:ascii="Times" w:hAnsi="Times"/>
          <w:color w:val="000000"/>
          <w:szCs w:val="21"/>
        </w:rPr>
      </w:pPr>
      <w:r>
        <w:rPr>
          <w:rFonts w:ascii="Times" w:hAnsi="Times" w:hint="eastAsia"/>
          <w:color w:val="000000"/>
          <w:szCs w:val="21"/>
        </w:rPr>
        <w:t>客户服务热线：</w:t>
      </w:r>
      <w:r>
        <w:rPr>
          <w:rFonts w:ascii="Times" w:hAnsi="Times" w:hint="eastAsia"/>
          <w:color w:val="000000"/>
          <w:szCs w:val="21"/>
        </w:rPr>
        <w:t>95357</w:t>
      </w:r>
    </w:p>
    <w:p w:rsidR="00D649A8" w:rsidRDefault="008F45C5">
      <w:pPr>
        <w:spacing w:line="360" w:lineRule="auto"/>
        <w:ind w:firstLineChars="200" w:firstLine="420"/>
        <w:rPr>
          <w:rFonts w:ascii="Times" w:hAnsi="Times"/>
          <w:color w:val="000000"/>
          <w:szCs w:val="21"/>
        </w:rPr>
      </w:pPr>
      <w:r>
        <w:rPr>
          <w:rFonts w:ascii="Times" w:hAnsi="Times" w:hint="eastAsia"/>
          <w:color w:val="000000"/>
          <w:szCs w:val="21"/>
        </w:rPr>
        <w:t>网址：</w:t>
      </w:r>
      <w:r>
        <w:rPr>
          <w:rFonts w:ascii="Times" w:hAnsi="Times" w:hint="eastAsia"/>
          <w:color w:val="000000"/>
          <w:szCs w:val="21"/>
        </w:rPr>
        <w:t>www.18.cn</w:t>
      </w:r>
    </w:p>
    <w:p w:rsidR="00D649A8" w:rsidRDefault="008F45C5">
      <w:pPr>
        <w:spacing w:line="360" w:lineRule="auto"/>
        <w:ind w:firstLineChars="200" w:firstLine="420"/>
        <w:rPr>
          <w:rFonts w:ascii="Times" w:hAnsi="Times"/>
          <w:color w:val="000000"/>
          <w:szCs w:val="21"/>
        </w:rPr>
      </w:pPr>
      <w:r>
        <w:rPr>
          <w:rFonts w:ascii="Times" w:hAnsi="Times"/>
          <w:color w:val="000000"/>
          <w:szCs w:val="21"/>
        </w:rPr>
        <w:t>2</w:t>
      </w:r>
      <w:r>
        <w:rPr>
          <w:rFonts w:ascii="Times" w:hAnsi="Times" w:hint="eastAsia"/>
          <w:color w:val="000000"/>
          <w:szCs w:val="21"/>
        </w:rPr>
        <w:t>、农银汇理基金管理有</w:t>
      </w:r>
      <w:r>
        <w:rPr>
          <w:rFonts w:ascii="Times" w:hAnsi="Times" w:hint="eastAsia"/>
          <w:color w:val="000000"/>
          <w:szCs w:val="21"/>
        </w:rPr>
        <w:t>限公司</w:t>
      </w:r>
    </w:p>
    <w:p w:rsidR="00D649A8" w:rsidRDefault="008F45C5">
      <w:pPr>
        <w:spacing w:line="360" w:lineRule="auto"/>
        <w:ind w:firstLineChars="200" w:firstLine="420"/>
        <w:rPr>
          <w:rFonts w:ascii="Times" w:hAnsi="Times"/>
          <w:color w:val="000000"/>
          <w:szCs w:val="21"/>
        </w:rPr>
      </w:pPr>
      <w:r>
        <w:rPr>
          <w:rFonts w:ascii="Times" w:hAnsi="Times" w:hint="eastAsia"/>
          <w:color w:val="000000"/>
          <w:szCs w:val="21"/>
        </w:rPr>
        <w:t>客户服务中心电话：</w:t>
      </w:r>
      <w:r>
        <w:rPr>
          <w:rFonts w:ascii="Times" w:hAnsi="Times"/>
          <w:color w:val="000000"/>
          <w:szCs w:val="21"/>
        </w:rPr>
        <w:t>40068-95599</w:t>
      </w:r>
    </w:p>
    <w:p w:rsidR="00D649A8" w:rsidRDefault="008F45C5">
      <w:pPr>
        <w:spacing w:line="360" w:lineRule="auto"/>
        <w:ind w:firstLineChars="200" w:firstLine="420"/>
        <w:rPr>
          <w:rFonts w:ascii="Times" w:hAnsi="Times"/>
          <w:color w:val="000000"/>
          <w:szCs w:val="21"/>
        </w:rPr>
      </w:pPr>
      <w:r>
        <w:rPr>
          <w:rFonts w:ascii="Times" w:hAnsi="Times" w:hint="eastAsia"/>
          <w:color w:val="000000"/>
          <w:szCs w:val="21"/>
        </w:rPr>
        <w:t>网址：</w:t>
      </w:r>
      <w:hyperlink r:id="rId7" w:history="1">
        <w:r>
          <w:rPr>
            <w:rStyle w:val="a9"/>
            <w:rFonts w:ascii="Times" w:hAnsi="Times"/>
            <w:szCs w:val="21"/>
          </w:rPr>
          <w:t>www.abc-ca.com</w:t>
        </w:r>
      </w:hyperlink>
    </w:p>
    <w:p w:rsidR="00D649A8" w:rsidRDefault="008F45C5">
      <w:pPr>
        <w:spacing w:line="360" w:lineRule="auto"/>
        <w:ind w:firstLineChars="200" w:firstLine="420"/>
        <w:rPr>
          <w:rFonts w:ascii="Times" w:hAnsi="Times"/>
          <w:color w:val="000000"/>
          <w:szCs w:val="21"/>
        </w:rPr>
      </w:pPr>
      <w:r>
        <w:rPr>
          <w:rFonts w:ascii="Times" w:hAnsi="Times" w:hint="eastAsia"/>
          <w:color w:val="000000"/>
          <w:szCs w:val="21"/>
        </w:rPr>
        <w:t>本公告仅对本公司旗下部分基金增加东方财富证券股份有限公司为代销机构的有关事项予以说明。投资者欲了解基金的详细情况，请仔细阅读基金的《基金合同》、《招募说明书</w:t>
      </w:r>
      <w:r>
        <w:rPr>
          <w:rFonts w:ascii="Times" w:hAnsi="Times" w:hint="eastAsia"/>
          <w:color w:val="000000"/>
          <w:szCs w:val="21"/>
        </w:rPr>
        <w:lastRenderedPageBreak/>
        <w:t>（更新）》、《基金产品资料概要（更新）》及相关法律文件。</w:t>
      </w:r>
    </w:p>
    <w:p w:rsidR="00D649A8" w:rsidRDefault="00D649A8">
      <w:pPr>
        <w:spacing w:line="360" w:lineRule="auto"/>
        <w:rPr>
          <w:rFonts w:ascii="Times" w:hAnsi="Times"/>
          <w:sz w:val="24"/>
        </w:rPr>
      </w:pPr>
    </w:p>
    <w:p w:rsidR="00D649A8" w:rsidRDefault="008F45C5">
      <w:pPr>
        <w:spacing w:line="360" w:lineRule="auto"/>
        <w:ind w:firstLineChars="236" w:firstLine="498"/>
        <w:rPr>
          <w:rFonts w:ascii="Times" w:hAnsi="Times"/>
          <w:b/>
          <w:szCs w:val="21"/>
        </w:rPr>
      </w:pPr>
      <w:r>
        <w:rPr>
          <w:rFonts w:ascii="Times" w:hAnsi="Times" w:hint="eastAsia"/>
          <w:b/>
          <w:szCs w:val="21"/>
        </w:rPr>
        <w:t>风险提示：</w:t>
      </w:r>
    </w:p>
    <w:p w:rsidR="00D649A8" w:rsidRDefault="008F45C5">
      <w:pPr>
        <w:spacing w:line="360" w:lineRule="auto"/>
        <w:ind w:firstLineChars="200" w:firstLine="420"/>
        <w:rPr>
          <w:rFonts w:ascii="Times" w:hAnsi="Times"/>
          <w:color w:val="000000"/>
          <w:szCs w:val="21"/>
        </w:rPr>
      </w:pPr>
      <w:r>
        <w:rPr>
          <w:rFonts w:ascii="Times" w:hAnsi="Times" w:hint="eastAsia"/>
          <w:color w:val="000000"/>
          <w:szCs w:val="21"/>
        </w:rPr>
        <w:t>本公司承诺以诚实信用、勤勉尽责的原则管理和运用基金资产，但不保证基金一定盈利，也不保证最低收益。基金的过往业绩不预示其未来业绩表现，基金管理人管理的其他基金的业绩也不构成对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敬请投资者于投资前认真阅读基金的《基金合同》、《招募说明书（更新）》及《基金产品资料概要（更新）</w:t>
      </w:r>
      <w:r>
        <w:rPr>
          <w:rFonts w:ascii="Times" w:hAnsi="Times" w:hint="eastAsia"/>
          <w:color w:val="000000"/>
          <w:szCs w:val="21"/>
        </w:rPr>
        <w:t>》等法律文件，了解基金的风险收益特征，并根据自身的投资目的、投资期限、投资经验、资产状况等判断基金是否和投资人的风险承受能力相适应。敬请投资人注意投资风险。</w:t>
      </w:r>
    </w:p>
    <w:p w:rsidR="00D649A8" w:rsidRDefault="008F45C5" w:rsidP="008F45C5">
      <w:pPr>
        <w:spacing w:line="360" w:lineRule="auto"/>
        <w:ind w:firstLineChars="236" w:firstLine="496"/>
        <w:rPr>
          <w:rFonts w:ascii="Times" w:hAnsi="Times"/>
          <w:szCs w:val="21"/>
        </w:rPr>
      </w:pPr>
      <w:r>
        <w:rPr>
          <w:rFonts w:ascii="Times" w:hAnsi="Times"/>
          <w:szCs w:val="21"/>
        </w:rPr>
        <w:t>特此公告。</w:t>
      </w:r>
      <w:r>
        <w:rPr>
          <w:rFonts w:ascii="Times" w:hAnsi="Times"/>
          <w:szCs w:val="21"/>
        </w:rPr>
        <w:t xml:space="preserve"> </w:t>
      </w:r>
    </w:p>
    <w:p w:rsidR="00D649A8" w:rsidRDefault="008F45C5">
      <w:pPr>
        <w:spacing w:line="360" w:lineRule="auto"/>
        <w:ind w:firstLine="420"/>
        <w:jc w:val="right"/>
        <w:rPr>
          <w:rFonts w:ascii="Times" w:hAnsi="Times"/>
          <w:szCs w:val="21"/>
        </w:rPr>
      </w:pPr>
      <w:r>
        <w:rPr>
          <w:rFonts w:ascii="Times" w:hAnsi="Times"/>
        </w:rPr>
        <w:t xml:space="preserve">                                              </w:t>
      </w:r>
      <w:r>
        <w:rPr>
          <w:rFonts w:ascii="Times" w:hAnsi="Times" w:hint="eastAsia"/>
          <w:szCs w:val="21"/>
        </w:rPr>
        <w:t>农银汇理基金管理有限公司</w:t>
      </w:r>
    </w:p>
    <w:p w:rsidR="00D649A8" w:rsidRDefault="008F45C5">
      <w:pPr>
        <w:wordWrap w:val="0"/>
        <w:spacing w:line="360" w:lineRule="auto"/>
        <w:ind w:right="120" w:firstLine="420"/>
        <w:jc w:val="right"/>
        <w:rPr>
          <w:rFonts w:ascii="Times" w:hAnsi="Times"/>
        </w:rPr>
      </w:pPr>
      <w:r>
        <w:rPr>
          <w:rFonts w:ascii="Times" w:hAnsi="Times"/>
          <w:szCs w:val="21"/>
        </w:rPr>
        <w:t>2023</w:t>
      </w:r>
      <w:r>
        <w:rPr>
          <w:rFonts w:ascii="Times" w:hAnsi="Times" w:hint="eastAsia"/>
          <w:szCs w:val="21"/>
        </w:rPr>
        <w:t>年</w:t>
      </w:r>
      <w:r>
        <w:rPr>
          <w:rFonts w:ascii="Times" w:hAnsi="Times" w:hint="eastAsia"/>
          <w:szCs w:val="21"/>
        </w:rPr>
        <w:t>1</w:t>
      </w:r>
      <w:r>
        <w:rPr>
          <w:rFonts w:ascii="Times" w:hAnsi="Times" w:hint="eastAsia"/>
          <w:szCs w:val="21"/>
        </w:rPr>
        <w:t>月</w:t>
      </w:r>
      <w:r>
        <w:rPr>
          <w:rFonts w:ascii="Times" w:hAnsi="Times" w:hint="eastAsia"/>
          <w:szCs w:val="21"/>
        </w:rPr>
        <w:t>18</w:t>
      </w:r>
      <w:r>
        <w:rPr>
          <w:rFonts w:ascii="Times" w:hAnsi="Times" w:hint="eastAsia"/>
          <w:szCs w:val="21"/>
        </w:rPr>
        <w:t>日</w:t>
      </w:r>
    </w:p>
    <w:sectPr w:rsidR="00D649A8" w:rsidSect="00D649A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A8" w:rsidRDefault="00D649A8"/>
  </w:endnote>
  <w:endnote w:type="continuationSeparator" w:id="0">
    <w:p w:rsidR="00D649A8" w:rsidRDefault="00D649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Times">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A8" w:rsidRDefault="00D649A8"/>
  </w:footnote>
  <w:footnote w:type="continuationSeparator" w:id="0">
    <w:p w:rsidR="00D649A8" w:rsidRDefault="00D649A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372"/>
    <w:rsid w:val="000027FF"/>
    <w:rsid w:val="000036CD"/>
    <w:rsid w:val="0000785F"/>
    <w:rsid w:val="00014E83"/>
    <w:rsid w:val="00024885"/>
    <w:rsid w:val="000256CF"/>
    <w:rsid w:val="0003039A"/>
    <w:rsid w:val="0003433D"/>
    <w:rsid w:val="0003522C"/>
    <w:rsid w:val="00037996"/>
    <w:rsid w:val="0005692D"/>
    <w:rsid w:val="00066264"/>
    <w:rsid w:val="000830C8"/>
    <w:rsid w:val="00096B16"/>
    <w:rsid w:val="000A3517"/>
    <w:rsid w:val="000A6C16"/>
    <w:rsid w:val="000B592F"/>
    <w:rsid w:val="000B6FEB"/>
    <w:rsid w:val="000E28B4"/>
    <w:rsid w:val="001013F2"/>
    <w:rsid w:val="00115CF9"/>
    <w:rsid w:val="0012020B"/>
    <w:rsid w:val="00134548"/>
    <w:rsid w:val="001545BF"/>
    <w:rsid w:val="00166D75"/>
    <w:rsid w:val="00171B94"/>
    <w:rsid w:val="001746B4"/>
    <w:rsid w:val="00175748"/>
    <w:rsid w:val="0019563C"/>
    <w:rsid w:val="001A0DAD"/>
    <w:rsid w:val="001A3F22"/>
    <w:rsid w:val="001A6513"/>
    <w:rsid w:val="001B0357"/>
    <w:rsid w:val="001B10D2"/>
    <w:rsid w:val="001D17B5"/>
    <w:rsid w:val="001E2592"/>
    <w:rsid w:val="001E43D0"/>
    <w:rsid w:val="001E4542"/>
    <w:rsid w:val="001E6C50"/>
    <w:rsid w:val="00203BAF"/>
    <w:rsid w:val="00205FEE"/>
    <w:rsid w:val="00207C55"/>
    <w:rsid w:val="00215560"/>
    <w:rsid w:val="00216D17"/>
    <w:rsid w:val="002214EE"/>
    <w:rsid w:val="002415F3"/>
    <w:rsid w:val="00241E2F"/>
    <w:rsid w:val="00253CB7"/>
    <w:rsid w:val="00254D1D"/>
    <w:rsid w:val="00256C18"/>
    <w:rsid w:val="002602ED"/>
    <w:rsid w:val="0026434E"/>
    <w:rsid w:val="00275870"/>
    <w:rsid w:val="00281E4B"/>
    <w:rsid w:val="0029605D"/>
    <w:rsid w:val="00296498"/>
    <w:rsid w:val="002B1CD0"/>
    <w:rsid w:val="002B2FCC"/>
    <w:rsid w:val="002B6F53"/>
    <w:rsid w:val="002C5531"/>
    <w:rsid w:val="002D2816"/>
    <w:rsid w:val="002D45BC"/>
    <w:rsid w:val="002D4FA2"/>
    <w:rsid w:val="002D50B5"/>
    <w:rsid w:val="003149DE"/>
    <w:rsid w:val="00322C5F"/>
    <w:rsid w:val="00331C68"/>
    <w:rsid w:val="0033305E"/>
    <w:rsid w:val="00341C00"/>
    <w:rsid w:val="003506F9"/>
    <w:rsid w:val="00351ABB"/>
    <w:rsid w:val="00363147"/>
    <w:rsid w:val="00366BF5"/>
    <w:rsid w:val="0036780A"/>
    <w:rsid w:val="00372C37"/>
    <w:rsid w:val="0039003D"/>
    <w:rsid w:val="00396330"/>
    <w:rsid w:val="003A4161"/>
    <w:rsid w:val="003A54EA"/>
    <w:rsid w:val="003A581B"/>
    <w:rsid w:val="003B15A2"/>
    <w:rsid w:val="003B4CE9"/>
    <w:rsid w:val="003B5C24"/>
    <w:rsid w:val="003C23BA"/>
    <w:rsid w:val="003C6021"/>
    <w:rsid w:val="003C60A6"/>
    <w:rsid w:val="003C6493"/>
    <w:rsid w:val="003D23C5"/>
    <w:rsid w:val="003D549A"/>
    <w:rsid w:val="003E0390"/>
    <w:rsid w:val="003E36B7"/>
    <w:rsid w:val="003E5522"/>
    <w:rsid w:val="003F734D"/>
    <w:rsid w:val="00421AE5"/>
    <w:rsid w:val="0042208A"/>
    <w:rsid w:val="00436B26"/>
    <w:rsid w:val="00441F56"/>
    <w:rsid w:val="004444F7"/>
    <w:rsid w:val="00445403"/>
    <w:rsid w:val="00461249"/>
    <w:rsid w:val="0046363A"/>
    <w:rsid w:val="00464253"/>
    <w:rsid w:val="00484FC5"/>
    <w:rsid w:val="004968A3"/>
    <w:rsid w:val="004A220A"/>
    <w:rsid w:val="004C6F2E"/>
    <w:rsid w:val="004D2C67"/>
    <w:rsid w:val="004D4767"/>
    <w:rsid w:val="004F5093"/>
    <w:rsid w:val="004F5A28"/>
    <w:rsid w:val="005114C5"/>
    <w:rsid w:val="0051436A"/>
    <w:rsid w:val="00517EB9"/>
    <w:rsid w:val="00522B39"/>
    <w:rsid w:val="005247E0"/>
    <w:rsid w:val="00530219"/>
    <w:rsid w:val="00547DD1"/>
    <w:rsid w:val="0055277F"/>
    <w:rsid w:val="00561C92"/>
    <w:rsid w:val="005748C8"/>
    <w:rsid w:val="00580E6F"/>
    <w:rsid w:val="00587501"/>
    <w:rsid w:val="00590F70"/>
    <w:rsid w:val="00591424"/>
    <w:rsid w:val="00593DA5"/>
    <w:rsid w:val="005A7DF4"/>
    <w:rsid w:val="005B14B9"/>
    <w:rsid w:val="005D52E3"/>
    <w:rsid w:val="005F0997"/>
    <w:rsid w:val="005F482F"/>
    <w:rsid w:val="005F518D"/>
    <w:rsid w:val="006038EC"/>
    <w:rsid w:val="00604C20"/>
    <w:rsid w:val="00605AA5"/>
    <w:rsid w:val="006131B0"/>
    <w:rsid w:val="006131D3"/>
    <w:rsid w:val="006165B5"/>
    <w:rsid w:val="006220DA"/>
    <w:rsid w:val="00626277"/>
    <w:rsid w:val="006321A7"/>
    <w:rsid w:val="00635960"/>
    <w:rsid w:val="006366B1"/>
    <w:rsid w:val="00645A9D"/>
    <w:rsid w:val="006501D4"/>
    <w:rsid w:val="006569CE"/>
    <w:rsid w:val="0066517B"/>
    <w:rsid w:val="006776E4"/>
    <w:rsid w:val="00681691"/>
    <w:rsid w:val="00697993"/>
    <w:rsid w:val="006C19CB"/>
    <w:rsid w:val="006E03DB"/>
    <w:rsid w:val="006F1111"/>
    <w:rsid w:val="00724711"/>
    <w:rsid w:val="0072562E"/>
    <w:rsid w:val="007311E9"/>
    <w:rsid w:val="0073280C"/>
    <w:rsid w:val="00750484"/>
    <w:rsid w:val="00751BBA"/>
    <w:rsid w:val="0075200B"/>
    <w:rsid w:val="0076564A"/>
    <w:rsid w:val="007657D4"/>
    <w:rsid w:val="0076604E"/>
    <w:rsid w:val="00776891"/>
    <w:rsid w:val="00784A66"/>
    <w:rsid w:val="007A5B9D"/>
    <w:rsid w:val="007B144A"/>
    <w:rsid w:val="007C0884"/>
    <w:rsid w:val="007C1BA6"/>
    <w:rsid w:val="007C2893"/>
    <w:rsid w:val="007D4F28"/>
    <w:rsid w:val="007E0301"/>
    <w:rsid w:val="00804B55"/>
    <w:rsid w:val="0080645A"/>
    <w:rsid w:val="008201DE"/>
    <w:rsid w:val="008268F5"/>
    <w:rsid w:val="0083560B"/>
    <w:rsid w:val="008372F6"/>
    <w:rsid w:val="00852F21"/>
    <w:rsid w:val="00855FF6"/>
    <w:rsid w:val="00866583"/>
    <w:rsid w:val="00874B94"/>
    <w:rsid w:val="0087569C"/>
    <w:rsid w:val="00875EFA"/>
    <w:rsid w:val="00876FE3"/>
    <w:rsid w:val="00896A78"/>
    <w:rsid w:val="008A4BE3"/>
    <w:rsid w:val="008B01CC"/>
    <w:rsid w:val="008F087C"/>
    <w:rsid w:val="008F37B0"/>
    <w:rsid w:val="008F3A6F"/>
    <w:rsid w:val="008F456D"/>
    <w:rsid w:val="008F45C5"/>
    <w:rsid w:val="009044CE"/>
    <w:rsid w:val="009106A3"/>
    <w:rsid w:val="00920515"/>
    <w:rsid w:val="009238EA"/>
    <w:rsid w:val="00962C6B"/>
    <w:rsid w:val="0096660D"/>
    <w:rsid w:val="00972699"/>
    <w:rsid w:val="0097764B"/>
    <w:rsid w:val="0099752E"/>
    <w:rsid w:val="009B6CA5"/>
    <w:rsid w:val="009D6991"/>
    <w:rsid w:val="009E40FA"/>
    <w:rsid w:val="009F0C41"/>
    <w:rsid w:val="00A21733"/>
    <w:rsid w:val="00A261EB"/>
    <w:rsid w:val="00A301D7"/>
    <w:rsid w:val="00A359ED"/>
    <w:rsid w:val="00A3684D"/>
    <w:rsid w:val="00A422D8"/>
    <w:rsid w:val="00A56B1A"/>
    <w:rsid w:val="00A72D7A"/>
    <w:rsid w:val="00A74760"/>
    <w:rsid w:val="00A74964"/>
    <w:rsid w:val="00A813DD"/>
    <w:rsid w:val="00A83C59"/>
    <w:rsid w:val="00A83E58"/>
    <w:rsid w:val="00A97DC7"/>
    <w:rsid w:val="00AA09E7"/>
    <w:rsid w:val="00AA690E"/>
    <w:rsid w:val="00AB042C"/>
    <w:rsid w:val="00AB3093"/>
    <w:rsid w:val="00AC20AC"/>
    <w:rsid w:val="00AC3568"/>
    <w:rsid w:val="00AC55BA"/>
    <w:rsid w:val="00AD17E7"/>
    <w:rsid w:val="00AD34DE"/>
    <w:rsid w:val="00AF1715"/>
    <w:rsid w:val="00AF31EF"/>
    <w:rsid w:val="00B06F64"/>
    <w:rsid w:val="00B13AB1"/>
    <w:rsid w:val="00B14DE6"/>
    <w:rsid w:val="00B2308A"/>
    <w:rsid w:val="00B41257"/>
    <w:rsid w:val="00B422AA"/>
    <w:rsid w:val="00B440B7"/>
    <w:rsid w:val="00B449B8"/>
    <w:rsid w:val="00B53044"/>
    <w:rsid w:val="00B54551"/>
    <w:rsid w:val="00B54596"/>
    <w:rsid w:val="00B63206"/>
    <w:rsid w:val="00B654E2"/>
    <w:rsid w:val="00B66D1A"/>
    <w:rsid w:val="00B73AA9"/>
    <w:rsid w:val="00B7746F"/>
    <w:rsid w:val="00B85FA9"/>
    <w:rsid w:val="00B97B5C"/>
    <w:rsid w:val="00B97DA3"/>
    <w:rsid w:val="00BA06E7"/>
    <w:rsid w:val="00BA2F85"/>
    <w:rsid w:val="00BB5E03"/>
    <w:rsid w:val="00BC5D97"/>
    <w:rsid w:val="00BD639E"/>
    <w:rsid w:val="00BE7D54"/>
    <w:rsid w:val="00BF149D"/>
    <w:rsid w:val="00C20593"/>
    <w:rsid w:val="00C21478"/>
    <w:rsid w:val="00C21878"/>
    <w:rsid w:val="00C25697"/>
    <w:rsid w:val="00C311B4"/>
    <w:rsid w:val="00C352A2"/>
    <w:rsid w:val="00C36F6B"/>
    <w:rsid w:val="00C40D11"/>
    <w:rsid w:val="00C40E26"/>
    <w:rsid w:val="00C53F1D"/>
    <w:rsid w:val="00C54D8A"/>
    <w:rsid w:val="00C724C8"/>
    <w:rsid w:val="00C73DAA"/>
    <w:rsid w:val="00C80260"/>
    <w:rsid w:val="00C8172D"/>
    <w:rsid w:val="00C96699"/>
    <w:rsid w:val="00CA381C"/>
    <w:rsid w:val="00CA7766"/>
    <w:rsid w:val="00CB7A34"/>
    <w:rsid w:val="00CD2BD5"/>
    <w:rsid w:val="00CE6AB4"/>
    <w:rsid w:val="00CF71CA"/>
    <w:rsid w:val="00D00098"/>
    <w:rsid w:val="00D132AC"/>
    <w:rsid w:val="00D15A06"/>
    <w:rsid w:val="00D20709"/>
    <w:rsid w:val="00D26078"/>
    <w:rsid w:val="00D37984"/>
    <w:rsid w:val="00D44000"/>
    <w:rsid w:val="00D50445"/>
    <w:rsid w:val="00D50E88"/>
    <w:rsid w:val="00D5119C"/>
    <w:rsid w:val="00D649A8"/>
    <w:rsid w:val="00D75A33"/>
    <w:rsid w:val="00D811E8"/>
    <w:rsid w:val="00D9106C"/>
    <w:rsid w:val="00DA34AD"/>
    <w:rsid w:val="00DB0E82"/>
    <w:rsid w:val="00DB2056"/>
    <w:rsid w:val="00DB21E8"/>
    <w:rsid w:val="00DB7390"/>
    <w:rsid w:val="00DC56A6"/>
    <w:rsid w:val="00DC7292"/>
    <w:rsid w:val="00DD1405"/>
    <w:rsid w:val="00DD4DF7"/>
    <w:rsid w:val="00DD4E71"/>
    <w:rsid w:val="00DD672B"/>
    <w:rsid w:val="00DE72A7"/>
    <w:rsid w:val="00DF1DBF"/>
    <w:rsid w:val="00DF4B9C"/>
    <w:rsid w:val="00E13FC4"/>
    <w:rsid w:val="00E16A3B"/>
    <w:rsid w:val="00E465F8"/>
    <w:rsid w:val="00E57B07"/>
    <w:rsid w:val="00E65489"/>
    <w:rsid w:val="00E671F1"/>
    <w:rsid w:val="00E75B0C"/>
    <w:rsid w:val="00E83FB6"/>
    <w:rsid w:val="00E87677"/>
    <w:rsid w:val="00E90954"/>
    <w:rsid w:val="00E93D64"/>
    <w:rsid w:val="00E94C22"/>
    <w:rsid w:val="00E9522D"/>
    <w:rsid w:val="00EA0AC8"/>
    <w:rsid w:val="00EA2C3C"/>
    <w:rsid w:val="00EA7236"/>
    <w:rsid w:val="00EB6449"/>
    <w:rsid w:val="00EB6D49"/>
    <w:rsid w:val="00EC1E19"/>
    <w:rsid w:val="00ED7809"/>
    <w:rsid w:val="00EE04BE"/>
    <w:rsid w:val="00EE5514"/>
    <w:rsid w:val="00EE6EA9"/>
    <w:rsid w:val="00EF3162"/>
    <w:rsid w:val="00F1502B"/>
    <w:rsid w:val="00F15372"/>
    <w:rsid w:val="00F26037"/>
    <w:rsid w:val="00F31D67"/>
    <w:rsid w:val="00F31E85"/>
    <w:rsid w:val="00F514A0"/>
    <w:rsid w:val="00F53138"/>
    <w:rsid w:val="00F54C02"/>
    <w:rsid w:val="00F67A8B"/>
    <w:rsid w:val="00F73BA0"/>
    <w:rsid w:val="00F76AA0"/>
    <w:rsid w:val="00F770DD"/>
    <w:rsid w:val="00F81098"/>
    <w:rsid w:val="00F90319"/>
    <w:rsid w:val="00F9306B"/>
    <w:rsid w:val="00FB13C4"/>
    <w:rsid w:val="00FB1FA2"/>
    <w:rsid w:val="00FB3E80"/>
    <w:rsid w:val="00FC2CD9"/>
    <w:rsid w:val="00FE4E47"/>
    <w:rsid w:val="00FE5009"/>
    <w:rsid w:val="00FE6FC0"/>
    <w:rsid w:val="00FF441E"/>
    <w:rsid w:val="03114FC3"/>
    <w:rsid w:val="0BBD1B53"/>
    <w:rsid w:val="0DAD04D1"/>
    <w:rsid w:val="11EE62D6"/>
    <w:rsid w:val="13584DCD"/>
    <w:rsid w:val="13D34678"/>
    <w:rsid w:val="204500CB"/>
    <w:rsid w:val="221B6805"/>
    <w:rsid w:val="23B76226"/>
    <w:rsid w:val="261A1293"/>
    <w:rsid w:val="2676612A"/>
    <w:rsid w:val="29496ECC"/>
    <w:rsid w:val="2AD82E5B"/>
    <w:rsid w:val="314224E0"/>
    <w:rsid w:val="3ED34AA0"/>
    <w:rsid w:val="45FC6AE1"/>
    <w:rsid w:val="55F0410E"/>
    <w:rsid w:val="5F1F779F"/>
    <w:rsid w:val="64496497"/>
    <w:rsid w:val="690E546B"/>
    <w:rsid w:val="789F07F6"/>
    <w:rsid w:val="7FD37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A8"/>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D649A8"/>
    <w:pPr>
      <w:jc w:val="left"/>
    </w:pPr>
  </w:style>
  <w:style w:type="paragraph" w:styleId="a4">
    <w:name w:val="Balloon Text"/>
    <w:basedOn w:val="a"/>
    <w:link w:val="Char0"/>
    <w:rsid w:val="00D649A8"/>
    <w:rPr>
      <w:sz w:val="18"/>
      <w:szCs w:val="18"/>
    </w:rPr>
  </w:style>
  <w:style w:type="paragraph" w:styleId="a5">
    <w:name w:val="footer"/>
    <w:basedOn w:val="a"/>
    <w:link w:val="Char1"/>
    <w:rsid w:val="00D649A8"/>
    <w:pPr>
      <w:tabs>
        <w:tab w:val="center" w:pos="4153"/>
        <w:tab w:val="right" w:pos="8306"/>
      </w:tabs>
      <w:snapToGrid w:val="0"/>
      <w:jc w:val="left"/>
    </w:pPr>
    <w:rPr>
      <w:sz w:val="18"/>
      <w:szCs w:val="18"/>
    </w:rPr>
  </w:style>
  <w:style w:type="paragraph" w:styleId="a6">
    <w:name w:val="header"/>
    <w:basedOn w:val="a"/>
    <w:link w:val="Char2"/>
    <w:rsid w:val="00D649A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sid w:val="00D649A8"/>
    <w:rPr>
      <w:b/>
      <w:bCs/>
    </w:rPr>
  </w:style>
  <w:style w:type="table" w:styleId="a8">
    <w:name w:val="Table Grid"/>
    <w:basedOn w:val="a1"/>
    <w:uiPriority w:val="99"/>
    <w:unhideWhenUsed/>
    <w:rsid w:val="00D64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D649A8"/>
    <w:rPr>
      <w:color w:val="0000FF"/>
      <w:u w:val="single"/>
    </w:rPr>
  </w:style>
  <w:style w:type="character" w:styleId="aa">
    <w:name w:val="annotation reference"/>
    <w:basedOn w:val="a0"/>
    <w:semiHidden/>
    <w:unhideWhenUsed/>
    <w:rsid w:val="00D649A8"/>
    <w:rPr>
      <w:sz w:val="21"/>
      <w:szCs w:val="21"/>
    </w:rPr>
  </w:style>
  <w:style w:type="character" w:customStyle="1" w:styleId="Char2">
    <w:name w:val="页眉 Char"/>
    <w:link w:val="a6"/>
    <w:rsid w:val="00D649A8"/>
    <w:rPr>
      <w:kern w:val="2"/>
      <w:sz w:val="18"/>
      <w:szCs w:val="18"/>
    </w:rPr>
  </w:style>
  <w:style w:type="character" w:customStyle="1" w:styleId="Char1">
    <w:name w:val="页脚 Char"/>
    <w:link w:val="a5"/>
    <w:rsid w:val="00D649A8"/>
    <w:rPr>
      <w:kern w:val="2"/>
      <w:sz w:val="18"/>
      <w:szCs w:val="18"/>
    </w:rPr>
  </w:style>
  <w:style w:type="character" w:customStyle="1" w:styleId="hui14-x1">
    <w:name w:val="hui14-x1"/>
    <w:rsid w:val="00D649A8"/>
    <w:rPr>
      <w:rFonts w:ascii="ˎ̥" w:hAnsi="ˎ̥" w:hint="default"/>
      <w:color w:val="333333"/>
      <w:sz w:val="21"/>
      <w:szCs w:val="21"/>
      <w:u w:val="none"/>
    </w:rPr>
  </w:style>
  <w:style w:type="character" w:customStyle="1" w:styleId="Char0">
    <w:name w:val="批注框文本 Char"/>
    <w:link w:val="a4"/>
    <w:rsid w:val="00D649A8"/>
    <w:rPr>
      <w:kern w:val="2"/>
      <w:sz w:val="18"/>
      <w:szCs w:val="18"/>
    </w:rPr>
  </w:style>
  <w:style w:type="paragraph" w:customStyle="1" w:styleId="1">
    <w:name w:val="修订1"/>
    <w:hidden/>
    <w:uiPriority w:val="99"/>
    <w:unhideWhenUsed/>
    <w:rsid w:val="00D649A8"/>
    <w:rPr>
      <w:rFonts w:eastAsia="宋体"/>
      <w:kern w:val="2"/>
      <w:sz w:val="21"/>
      <w:szCs w:val="24"/>
    </w:rPr>
  </w:style>
  <w:style w:type="character" w:customStyle="1" w:styleId="Char">
    <w:name w:val="批注文字 Char"/>
    <w:basedOn w:val="a0"/>
    <w:link w:val="a3"/>
    <w:semiHidden/>
    <w:rsid w:val="00D649A8"/>
    <w:rPr>
      <w:kern w:val="2"/>
      <w:sz w:val="21"/>
      <w:szCs w:val="24"/>
    </w:rPr>
  </w:style>
  <w:style w:type="character" w:customStyle="1" w:styleId="Char3">
    <w:name w:val="批注主题 Char"/>
    <w:basedOn w:val="Char"/>
    <w:link w:val="a7"/>
    <w:semiHidden/>
    <w:rsid w:val="00D649A8"/>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c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9F26-A9FF-468E-AB27-BBF1F218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4</DocSecurity>
  <Lines>8</Lines>
  <Paragraphs>2</Paragraphs>
  <ScaleCrop>false</ScaleCrop>
  <Company>csjj</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关于长盛同祥泛资源主题股票型证券投资基金开通部分银行</dc:title>
  <dc:creator>sunjing</dc:creator>
  <cp:lastModifiedBy>ZHONGM</cp:lastModifiedBy>
  <cp:revision>2</cp:revision>
  <cp:lastPrinted>2023-07-18T02:42:00Z</cp:lastPrinted>
  <dcterms:created xsi:type="dcterms:W3CDTF">2024-01-17T16:00:00Z</dcterms:created>
  <dcterms:modified xsi:type="dcterms:W3CDTF">2024-01-17T16:00:00Z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1EC1432C9EE04368A09F71E060F8984F</vt:lpwstr>
  </property>
</Properties>
</file>