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A4" w:rsidRDefault="005528A4">
      <w:pPr>
        <w:adjustRightInd w:val="0"/>
        <w:snapToGrid w:val="0"/>
        <w:spacing w:line="360" w:lineRule="auto"/>
        <w:jc w:val="center"/>
        <w:rPr>
          <w:rFonts w:hint="eastAsia"/>
          <w:b/>
          <w:sz w:val="28"/>
          <w:szCs w:val="28"/>
        </w:rPr>
      </w:pPr>
    </w:p>
    <w:p w:rsidR="005528A4" w:rsidRDefault="005528A4">
      <w:pPr>
        <w:adjustRightInd w:val="0"/>
        <w:snapToGrid w:val="0"/>
        <w:spacing w:line="360" w:lineRule="auto"/>
        <w:jc w:val="center"/>
        <w:rPr>
          <w:b/>
          <w:sz w:val="28"/>
          <w:szCs w:val="28"/>
        </w:rPr>
      </w:pPr>
      <w:r>
        <w:rPr>
          <w:rFonts w:hint="eastAsia"/>
          <w:b/>
          <w:sz w:val="28"/>
          <w:szCs w:val="28"/>
        </w:rPr>
        <w:t>银华基金管理股份有限公司</w:t>
      </w:r>
    </w:p>
    <w:p w:rsidR="005528A4" w:rsidRDefault="005528A4">
      <w:pPr>
        <w:adjustRightInd w:val="0"/>
        <w:snapToGrid w:val="0"/>
        <w:spacing w:line="360" w:lineRule="auto"/>
        <w:jc w:val="center"/>
        <w:rPr>
          <w:b/>
          <w:sz w:val="28"/>
          <w:szCs w:val="28"/>
        </w:rPr>
      </w:pPr>
      <w:r>
        <w:rPr>
          <w:rFonts w:hint="eastAsia"/>
          <w:b/>
          <w:sz w:val="28"/>
          <w:szCs w:val="28"/>
        </w:rPr>
        <w:t>关于旗下银华添益定期开放债券型证券投资基金增设</w:t>
      </w:r>
      <w:r>
        <w:rPr>
          <w:b/>
          <w:sz w:val="28"/>
          <w:szCs w:val="28"/>
        </w:rPr>
        <w:t>D</w:t>
      </w:r>
      <w:r>
        <w:rPr>
          <w:rFonts w:hint="eastAsia"/>
          <w:b/>
          <w:sz w:val="28"/>
          <w:szCs w:val="28"/>
        </w:rPr>
        <w:t>类基金份额并修改基金合同及托管协议的公告</w:t>
      </w:r>
    </w:p>
    <w:p w:rsidR="005528A4" w:rsidRDefault="005528A4">
      <w:pPr>
        <w:adjustRightInd w:val="0"/>
        <w:snapToGrid w:val="0"/>
        <w:spacing w:beforeLines="50" w:afterLines="50" w:line="360" w:lineRule="auto"/>
        <w:outlineLvl w:val="0"/>
        <w:rPr>
          <w:b/>
        </w:rPr>
      </w:pPr>
    </w:p>
    <w:p w:rsidR="005528A4"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根据《中华人民共和国证券投资基金法》、《公开募集证券投资基金运作管理办法》、《公开募集证券投资基金信息披露管理办法》等法律法规的规定和《银华添益定期开放债券型证券投资基金基金合同》（以下简称“基金合同”）的有关约定，为更好地满足广大投资人的理财需求，银华基金管理股份有限公司（以下简称“本基金管理人”或“本公司”）经与基金托管人</w:t>
      </w:r>
      <w:r>
        <w:rPr>
          <w:rFonts w:ascii="宋体" w:hAnsi="宋体" w:cs="宋体"/>
          <w:sz w:val="24"/>
          <w:szCs w:val="24"/>
        </w:rPr>
        <w:t>中国</w:t>
      </w:r>
      <w:r>
        <w:rPr>
          <w:rFonts w:ascii="宋体" w:hAnsi="宋体" w:cs="宋体" w:hint="eastAsia"/>
          <w:sz w:val="24"/>
          <w:szCs w:val="24"/>
        </w:rPr>
        <w:t>光大</w:t>
      </w:r>
      <w:r>
        <w:rPr>
          <w:rFonts w:ascii="宋体" w:hAnsi="宋体" w:cs="宋体"/>
          <w:sz w:val="24"/>
          <w:szCs w:val="24"/>
        </w:rPr>
        <w:t>银行股份有限公司</w:t>
      </w:r>
      <w:r>
        <w:rPr>
          <w:rFonts w:ascii="宋体" w:hAnsi="宋体" w:cs="宋体" w:hint="eastAsia"/>
          <w:sz w:val="24"/>
          <w:szCs w:val="24"/>
        </w:rPr>
        <w:t>协商一致，决定</w:t>
      </w:r>
      <w:r>
        <w:rPr>
          <w:rFonts w:ascii="宋体" w:hAnsi="宋体" w:cs="宋体"/>
          <w:sz w:val="24"/>
          <w:szCs w:val="24"/>
        </w:rPr>
        <w:t>自2024</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22</w:t>
      </w:r>
      <w:r>
        <w:rPr>
          <w:rFonts w:ascii="宋体" w:hAnsi="宋体" w:cs="宋体" w:hint="eastAsia"/>
          <w:sz w:val="24"/>
          <w:szCs w:val="24"/>
        </w:rPr>
        <w:t>日起对旗下银华添益定期开放债券型证券投资基金（以下简称“本基金”）增设</w:t>
      </w:r>
      <w:r>
        <w:rPr>
          <w:rFonts w:ascii="宋体" w:hAnsi="宋体" w:cs="宋体"/>
          <w:sz w:val="24"/>
          <w:szCs w:val="24"/>
        </w:rPr>
        <w:t>D</w:t>
      </w:r>
      <w:r>
        <w:rPr>
          <w:rFonts w:ascii="宋体" w:hAnsi="宋体" w:cs="宋体" w:hint="eastAsia"/>
          <w:sz w:val="24"/>
          <w:szCs w:val="24"/>
        </w:rPr>
        <w:t>类基金份额，据此</w:t>
      </w:r>
      <w:r w:rsidR="00AE15CF">
        <w:rPr>
          <w:rFonts w:ascii="宋体" w:hAnsi="宋体" w:cs="宋体" w:hint="eastAsia"/>
          <w:sz w:val="24"/>
          <w:szCs w:val="24"/>
        </w:rPr>
        <w:t>及相关法律法规的更新</w:t>
      </w:r>
      <w:r>
        <w:rPr>
          <w:rFonts w:ascii="宋体" w:hAnsi="宋体" w:cs="宋体" w:hint="eastAsia"/>
          <w:sz w:val="24"/>
          <w:szCs w:val="24"/>
        </w:rPr>
        <w:t>对</w:t>
      </w:r>
      <w:bookmarkStart w:id="0" w:name="_Hlk80909651"/>
      <w:r>
        <w:rPr>
          <w:rFonts w:ascii="宋体" w:hAnsi="宋体" w:cs="宋体" w:hint="eastAsia"/>
          <w:sz w:val="24"/>
          <w:szCs w:val="24"/>
        </w:rPr>
        <w:t>本基金的</w:t>
      </w:r>
      <w:bookmarkEnd w:id="0"/>
      <w:r>
        <w:rPr>
          <w:rFonts w:ascii="宋体" w:hAnsi="宋体" w:cs="宋体" w:hint="eastAsia"/>
          <w:sz w:val="24"/>
          <w:szCs w:val="24"/>
        </w:rPr>
        <w:t>基金合同、《银华添益定期开放债券型证券投资基金托管协议》（以下简称“托管协议”）做相应修改，并根据法律法规的规定更新</w:t>
      </w:r>
      <w:bookmarkStart w:id="1" w:name="_Hlk80909718"/>
      <w:r>
        <w:rPr>
          <w:rFonts w:ascii="宋体" w:hAnsi="宋体" w:cs="宋体" w:hint="eastAsia"/>
          <w:sz w:val="24"/>
          <w:szCs w:val="24"/>
        </w:rPr>
        <w:t>本基金的</w:t>
      </w:r>
      <w:bookmarkEnd w:id="1"/>
      <w:r>
        <w:rPr>
          <w:rFonts w:ascii="宋体" w:hAnsi="宋体" w:cs="宋体" w:hint="eastAsia"/>
          <w:sz w:val="24"/>
          <w:szCs w:val="24"/>
        </w:rPr>
        <w:t>招募说明书及基金产品资料概要。现将具体事宜公告如下：</w:t>
      </w:r>
    </w:p>
    <w:p w:rsidR="005528A4" w:rsidRDefault="005528A4">
      <w:pPr>
        <w:tabs>
          <w:tab w:val="left" w:pos="3694"/>
        </w:tabs>
        <w:adjustRightInd w:val="0"/>
        <w:snapToGrid w:val="0"/>
        <w:spacing w:line="360" w:lineRule="auto"/>
        <w:ind w:firstLineChars="200" w:firstLine="480"/>
        <w:rPr>
          <w:rFonts w:ascii="宋体" w:hAnsi="宋体" w:cs="宋体" w:hint="eastAsia"/>
          <w:sz w:val="24"/>
          <w:szCs w:val="24"/>
        </w:rPr>
      </w:pPr>
      <w:r>
        <w:rPr>
          <w:rFonts w:ascii="宋体" w:hAnsi="宋体" w:cs="宋体" w:hint="eastAsia"/>
          <w:sz w:val="24"/>
          <w:szCs w:val="24"/>
        </w:rPr>
        <w:t>一、新增</w:t>
      </w:r>
      <w:r>
        <w:rPr>
          <w:rFonts w:ascii="宋体" w:hAnsi="宋体" w:cs="宋体"/>
          <w:sz w:val="24"/>
          <w:szCs w:val="24"/>
        </w:rPr>
        <w:t>D</w:t>
      </w:r>
      <w:r>
        <w:rPr>
          <w:rFonts w:ascii="宋体" w:hAnsi="宋体" w:cs="宋体" w:hint="eastAsia"/>
          <w:sz w:val="24"/>
          <w:szCs w:val="24"/>
        </w:rPr>
        <w:t>类基金份额的概况</w:t>
      </w:r>
    </w:p>
    <w:p w:rsidR="005528A4"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（一）增设基金份额类别</w:t>
      </w:r>
    </w:p>
    <w:p w:rsidR="00077781"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自</w:t>
      </w:r>
      <w:r>
        <w:rPr>
          <w:rFonts w:ascii="宋体" w:hAnsi="宋体" w:cs="宋体"/>
          <w:sz w:val="24"/>
          <w:szCs w:val="24"/>
        </w:rPr>
        <w:t>2024</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22</w:t>
      </w:r>
      <w:r>
        <w:rPr>
          <w:rFonts w:ascii="宋体" w:hAnsi="宋体" w:cs="宋体" w:hint="eastAsia"/>
          <w:sz w:val="24"/>
          <w:szCs w:val="24"/>
        </w:rPr>
        <w:t>日（含</w:t>
      </w:r>
      <w:r>
        <w:rPr>
          <w:rFonts w:ascii="宋体" w:hAnsi="宋体" w:cs="宋体"/>
          <w:sz w:val="24"/>
          <w:szCs w:val="24"/>
        </w:rPr>
        <w:t>2024</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22</w:t>
      </w:r>
      <w:r>
        <w:rPr>
          <w:rFonts w:ascii="宋体" w:hAnsi="宋体" w:cs="宋体" w:hint="eastAsia"/>
          <w:sz w:val="24"/>
          <w:szCs w:val="24"/>
        </w:rPr>
        <w:t>日）起，本基金在现有基金份额的基础上增设</w:t>
      </w:r>
      <w:r>
        <w:rPr>
          <w:rFonts w:ascii="宋体" w:hAnsi="宋体" w:cs="宋体"/>
          <w:sz w:val="24"/>
          <w:szCs w:val="24"/>
        </w:rPr>
        <w:t>D</w:t>
      </w:r>
      <w:r>
        <w:rPr>
          <w:rFonts w:ascii="宋体" w:hAnsi="宋体" w:cs="宋体" w:hint="eastAsia"/>
          <w:sz w:val="24"/>
          <w:szCs w:val="24"/>
        </w:rPr>
        <w:t>类基金份额，</w:t>
      </w:r>
      <w:r>
        <w:rPr>
          <w:rFonts w:ascii="宋体" w:hAnsi="宋体" w:cs="宋体"/>
          <w:sz w:val="24"/>
          <w:szCs w:val="24"/>
        </w:rPr>
        <w:t>D</w:t>
      </w:r>
      <w:r>
        <w:rPr>
          <w:rFonts w:ascii="宋体" w:hAnsi="宋体" w:cs="宋体" w:hint="eastAsia"/>
          <w:sz w:val="24"/>
          <w:szCs w:val="24"/>
        </w:rPr>
        <w:t>类基金份额基金代码</w:t>
      </w:r>
      <w:r>
        <w:rPr>
          <w:rFonts w:ascii="宋体" w:hAnsi="宋体" w:cs="宋体"/>
          <w:sz w:val="24"/>
          <w:szCs w:val="24"/>
        </w:rPr>
        <w:t>为</w:t>
      </w:r>
      <w:r w:rsidR="001A026C">
        <w:rPr>
          <w:rFonts w:ascii="宋体" w:hAnsi="宋体" w:cs="宋体"/>
          <w:sz w:val="24"/>
          <w:szCs w:val="24"/>
        </w:rPr>
        <w:t>020604</w:t>
      </w:r>
      <w:r>
        <w:rPr>
          <w:rFonts w:ascii="宋体" w:hAnsi="宋体" w:cs="宋体" w:hint="eastAsia"/>
          <w:sz w:val="24"/>
          <w:szCs w:val="24"/>
        </w:rPr>
        <w:t>。</w:t>
      </w:r>
    </w:p>
    <w:p w:rsidR="005528A4"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投资人在202</w:t>
      </w:r>
      <w:r>
        <w:rPr>
          <w:rFonts w:ascii="宋体" w:hAnsi="宋体" w:cs="宋体"/>
          <w:sz w:val="24"/>
          <w:szCs w:val="24"/>
        </w:rPr>
        <w:t>4</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22</w:t>
      </w:r>
      <w:r>
        <w:rPr>
          <w:rFonts w:ascii="宋体" w:hAnsi="宋体" w:cs="宋体" w:hint="eastAsia"/>
          <w:sz w:val="24"/>
          <w:szCs w:val="24"/>
        </w:rPr>
        <w:t>日前（含202</w:t>
      </w:r>
      <w:r>
        <w:rPr>
          <w:rFonts w:ascii="宋体" w:hAnsi="宋体" w:cs="宋体"/>
          <w:sz w:val="24"/>
          <w:szCs w:val="24"/>
        </w:rPr>
        <w:t>4</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22</w:t>
      </w:r>
      <w:r>
        <w:rPr>
          <w:rFonts w:ascii="宋体" w:hAnsi="宋体" w:cs="宋体" w:hint="eastAsia"/>
          <w:sz w:val="24"/>
          <w:szCs w:val="24"/>
        </w:rPr>
        <w:t>日）已经持有的本基金原有基金份额，将全部转为A类基金份额（A类基金份额基金代码：</w:t>
      </w:r>
      <w:r>
        <w:rPr>
          <w:rFonts w:ascii="宋体" w:hAnsi="宋体" w:cs="宋体"/>
          <w:sz w:val="24"/>
          <w:szCs w:val="24"/>
        </w:rPr>
        <w:t>002491</w:t>
      </w:r>
      <w:r>
        <w:rPr>
          <w:rFonts w:ascii="宋体" w:hAnsi="宋体" w:cs="宋体" w:hint="eastAsia"/>
          <w:sz w:val="24"/>
          <w:szCs w:val="24"/>
        </w:rPr>
        <w:t>），本基金A类基金份额的申购赎回业务规则以及费率结构均保持不变。</w:t>
      </w:r>
    </w:p>
    <w:p w:rsidR="005528A4" w:rsidRDefault="005528A4">
      <w:pPr>
        <w:adjustRightInd w:val="0"/>
        <w:snapToGrid w:val="0"/>
        <w:spacing w:line="360" w:lineRule="auto"/>
        <w:ind w:firstLineChars="200" w:firstLine="480"/>
        <w:rPr>
          <w:rFonts w:ascii="宋体" w:hAnsi="宋体" w:cs="宋体" w:hint="eastAsia"/>
          <w:sz w:val="24"/>
          <w:szCs w:val="24"/>
        </w:rPr>
      </w:pPr>
      <w:r>
        <w:rPr>
          <w:rFonts w:ascii="宋体" w:hAnsi="宋体" w:cs="宋体" w:hint="eastAsia"/>
          <w:sz w:val="24"/>
          <w:szCs w:val="24"/>
        </w:rPr>
        <w:t>新增设的D类基金份额在投资人申购基金份额时收取申购费用，在赎回时根据持有期限收取赎回费用，但不从本类别基金资产中计提销售服务费。投资人申购本</w:t>
      </w:r>
      <w:r>
        <w:rPr>
          <w:rFonts w:ascii="宋体" w:hAnsi="宋体" w:cs="宋体"/>
          <w:sz w:val="24"/>
          <w:szCs w:val="24"/>
        </w:rPr>
        <w:t>基金</w:t>
      </w:r>
      <w:r>
        <w:rPr>
          <w:rFonts w:ascii="宋体" w:hAnsi="宋体" w:cs="宋体" w:hint="eastAsia"/>
          <w:sz w:val="24"/>
          <w:szCs w:val="24"/>
        </w:rPr>
        <w:t>时可以自行选择本基金A类或D类基金份额对应的基金代码进行申购。由于基金费用的不同，本基金各类基金份额将分别计算并公告基金份额净值。</w:t>
      </w:r>
    </w:p>
    <w:p w:rsidR="005528A4"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（二）基金份额的登记</w:t>
      </w:r>
    </w:p>
    <w:p w:rsidR="005528A4"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本基金A类基金份额及</w:t>
      </w:r>
      <w:r>
        <w:rPr>
          <w:rFonts w:ascii="宋体" w:hAnsi="宋体" w:cs="宋体"/>
          <w:sz w:val="24"/>
          <w:szCs w:val="24"/>
        </w:rPr>
        <w:t>D</w:t>
      </w:r>
      <w:r>
        <w:rPr>
          <w:rFonts w:ascii="宋体" w:hAnsi="宋体" w:cs="宋体" w:hint="eastAsia"/>
          <w:sz w:val="24"/>
          <w:szCs w:val="24"/>
        </w:rPr>
        <w:t>类基金份额均由银华基金管理股份有限公司担任登记机构。</w:t>
      </w:r>
    </w:p>
    <w:p w:rsidR="005528A4"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（三）本基金</w:t>
      </w:r>
      <w:r>
        <w:rPr>
          <w:rFonts w:ascii="宋体" w:hAnsi="宋体" w:cs="宋体"/>
          <w:sz w:val="24"/>
          <w:szCs w:val="24"/>
        </w:rPr>
        <w:t>D</w:t>
      </w:r>
      <w:r>
        <w:rPr>
          <w:rFonts w:ascii="宋体" w:hAnsi="宋体" w:cs="宋体" w:hint="eastAsia"/>
          <w:sz w:val="24"/>
          <w:szCs w:val="24"/>
        </w:rPr>
        <w:t>类基金份额的管理费率与托管费率</w:t>
      </w:r>
    </w:p>
    <w:p w:rsidR="005528A4" w:rsidRDefault="005528A4">
      <w:pPr>
        <w:adjustRightInd w:val="0"/>
        <w:snapToGrid w:val="0"/>
        <w:spacing w:line="360" w:lineRule="auto"/>
        <w:ind w:firstLineChars="200" w:firstLine="480"/>
        <w:rPr>
          <w:rFonts w:ascii="宋体" w:hAnsi="宋体" w:cs="宋体" w:hint="eastAsia"/>
          <w:sz w:val="24"/>
          <w:szCs w:val="24"/>
        </w:rPr>
      </w:pPr>
      <w:r>
        <w:rPr>
          <w:rFonts w:ascii="宋体" w:hAnsi="宋体" w:cs="宋体"/>
          <w:sz w:val="24"/>
          <w:szCs w:val="24"/>
        </w:rPr>
        <w:t>本基金</w:t>
      </w:r>
      <w:r>
        <w:rPr>
          <w:rFonts w:ascii="宋体" w:hAnsi="宋体" w:cs="宋体" w:hint="eastAsia"/>
          <w:sz w:val="24"/>
          <w:szCs w:val="24"/>
        </w:rPr>
        <w:t>D类基金份额和现有的A类基金份额适用相同的管理费率、托管费率；本</w:t>
      </w:r>
      <w:r>
        <w:rPr>
          <w:rFonts w:ascii="宋体" w:hAnsi="宋体" w:cs="宋体"/>
          <w:sz w:val="24"/>
          <w:szCs w:val="24"/>
        </w:rPr>
        <w:t>基金</w:t>
      </w:r>
      <w:r>
        <w:rPr>
          <w:rFonts w:ascii="宋体" w:hAnsi="宋体" w:cs="宋体" w:hint="eastAsia"/>
          <w:sz w:val="24"/>
          <w:szCs w:val="24"/>
        </w:rPr>
        <w:t>D类基金份额不收取销售服务费。</w:t>
      </w:r>
    </w:p>
    <w:p w:rsidR="005528A4"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（四）</w:t>
      </w:r>
      <w:r>
        <w:rPr>
          <w:rFonts w:ascii="宋体" w:hAnsi="宋体" w:cs="宋体"/>
          <w:sz w:val="24"/>
          <w:szCs w:val="24"/>
        </w:rPr>
        <w:t>D</w:t>
      </w:r>
      <w:r>
        <w:rPr>
          <w:rFonts w:ascii="宋体" w:hAnsi="宋体" w:cs="宋体" w:hint="eastAsia"/>
          <w:sz w:val="24"/>
          <w:szCs w:val="24"/>
        </w:rPr>
        <w:t>类基金份额的申购与赎回</w:t>
      </w:r>
    </w:p>
    <w:p w:rsidR="005528A4" w:rsidRDefault="005528A4">
      <w:pPr>
        <w:adjustRightInd w:val="0"/>
        <w:snapToGrid w:val="0"/>
        <w:spacing w:line="360" w:lineRule="auto"/>
        <w:ind w:firstLineChars="200" w:firstLine="480"/>
        <w:rPr>
          <w:rFonts w:ascii="宋体" w:hAnsi="宋体" w:cs="宋体" w:hint="eastAsia"/>
          <w:sz w:val="24"/>
          <w:szCs w:val="24"/>
        </w:rPr>
      </w:pPr>
      <w:r>
        <w:rPr>
          <w:rFonts w:ascii="宋体" w:hAnsi="宋体" w:cs="宋体" w:hint="eastAsia"/>
          <w:sz w:val="24"/>
          <w:szCs w:val="24"/>
        </w:rPr>
        <w:t>1、本基金</w:t>
      </w:r>
      <w:r>
        <w:rPr>
          <w:rFonts w:ascii="宋体" w:hAnsi="宋体" w:cs="宋体"/>
          <w:sz w:val="24"/>
          <w:szCs w:val="24"/>
        </w:rPr>
        <w:t>D</w:t>
      </w:r>
      <w:r>
        <w:rPr>
          <w:rFonts w:ascii="宋体" w:hAnsi="宋体" w:cs="宋体" w:hint="eastAsia"/>
          <w:sz w:val="24"/>
          <w:szCs w:val="24"/>
        </w:rPr>
        <w:t>类基金份额的申购与赎回将通过本基金管理人的直销中心、网上直销交易系统进行。本基金管理人可根据情况变更或者增减销售机构，并在本基金管理人网站公示。基金投资人应当在销售机构办理基金销售业务的营业场所或按销售机构提供的其他方式办理本基金</w:t>
      </w:r>
      <w:r>
        <w:rPr>
          <w:rFonts w:ascii="宋体" w:hAnsi="宋体" w:cs="宋体"/>
          <w:sz w:val="24"/>
          <w:szCs w:val="24"/>
        </w:rPr>
        <w:t>D</w:t>
      </w:r>
      <w:r>
        <w:rPr>
          <w:rFonts w:ascii="宋体" w:hAnsi="宋体" w:cs="宋体" w:hint="eastAsia"/>
          <w:sz w:val="24"/>
          <w:szCs w:val="24"/>
        </w:rPr>
        <w:t>类基金份额的申购与赎回。</w:t>
      </w:r>
    </w:p>
    <w:p w:rsidR="005528A4"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2、本基金D类基金份额的申购费率如下表所示：</w:t>
      </w:r>
    </w:p>
    <w:tbl>
      <w:tblPr>
        <w:tblW w:w="5000" w:type="pct"/>
        <w:tblInd w:w="0" w:type="dxa"/>
        <w:tblLayout w:type="fixed"/>
        <w:tblCellMar>
          <w:left w:w="0" w:type="dxa"/>
          <w:right w:w="0" w:type="dxa"/>
        </w:tblCellMar>
        <w:tblLook w:val="0000"/>
      </w:tblPr>
      <w:tblGrid>
        <w:gridCol w:w="2884"/>
        <w:gridCol w:w="2883"/>
        <w:gridCol w:w="2883"/>
      </w:tblGrid>
      <w:tr w:rsidR="005528A4">
        <w:trPr>
          <w:cantSplit/>
          <w:trHeight w:val="375"/>
        </w:trPr>
        <w:tc>
          <w:tcPr>
            <w:tcW w:w="2890" w:type="dxa"/>
            <w:vMerge w:val="restart"/>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b/>
                <w:color w:val="000000"/>
                <w:kern w:val="0"/>
                <w:sz w:val="25"/>
                <w:szCs w:val="24"/>
              </w:rPr>
            </w:pPr>
            <w:r>
              <w:rPr>
                <w:rFonts w:ascii="宋体" w:hAnsi="宋体"/>
                <w:b/>
                <w:color w:val="000000"/>
                <w:kern w:val="0"/>
                <w:sz w:val="25"/>
                <w:szCs w:val="24"/>
              </w:rPr>
              <w:t>D类基金份额申购费率</w:t>
            </w: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b/>
                <w:color w:val="000000"/>
                <w:kern w:val="0"/>
                <w:sz w:val="25"/>
                <w:szCs w:val="24"/>
              </w:rPr>
            </w:pPr>
            <w:r>
              <w:rPr>
                <w:rFonts w:ascii="宋体" w:hAnsi="宋体"/>
                <w:b/>
                <w:color w:val="000000"/>
                <w:kern w:val="0"/>
                <w:sz w:val="25"/>
                <w:szCs w:val="24"/>
              </w:rPr>
              <w:t>申购金额（M,含申购费）</w:t>
            </w: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b/>
                <w:color w:val="000000"/>
                <w:kern w:val="0"/>
                <w:sz w:val="25"/>
                <w:szCs w:val="24"/>
              </w:rPr>
            </w:pPr>
            <w:r>
              <w:rPr>
                <w:rFonts w:ascii="宋体" w:hAnsi="宋体"/>
                <w:b/>
                <w:color w:val="000000"/>
                <w:kern w:val="0"/>
                <w:sz w:val="25"/>
                <w:szCs w:val="24"/>
              </w:rPr>
              <w:t>申购费率</w:t>
            </w:r>
          </w:p>
        </w:tc>
      </w:tr>
      <w:tr w:rsidR="005528A4">
        <w:trPr>
          <w:cantSplit/>
          <w:trHeight w:val="375"/>
        </w:trPr>
        <w:tc>
          <w:tcPr>
            <w:tcW w:w="2890" w:type="dxa"/>
            <w:vMerge/>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r>
              <w:rPr>
                <w:rFonts w:ascii="宋体" w:hAnsi="宋体"/>
                <w:color w:val="000000"/>
                <w:kern w:val="0"/>
                <w:sz w:val="25"/>
                <w:szCs w:val="24"/>
              </w:rPr>
              <w:t>M＜50万元</w:t>
            </w: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r>
              <w:rPr>
                <w:rFonts w:ascii="宋体" w:hAnsi="宋体"/>
                <w:color w:val="000000"/>
                <w:kern w:val="0"/>
                <w:sz w:val="25"/>
                <w:szCs w:val="24"/>
              </w:rPr>
              <w:t>0.90%</w:t>
            </w:r>
          </w:p>
        </w:tc>
      </w:tr>
      <w:tr w:rsidR="005528A4">
        <w:trPr>
          <w:cantSplit/>
          <w:trHeight w:val="375"/>
        </w:trPr>
        <w:tc>
          <w:tcPr>
            <w:tcW w:w="2890" w:type="dxa"/>
            <w:vMerge/>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r>
              <w:rPr>
                <w:rFonts w:ascii="宋体" w:hAnsi="宋体"/>
                <w:color w:val="000000"/>
                <w:kern w:val="0"/>
                <w:sz w:val="25"/>
                <w:szCs w:val="24"/>
              </w:rPr>
              <w:t>50万元≤M＜100万元</w:t>
            </w: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r>
              <w:rPr>
                <w:rFonts w:ascii="宋体" w:hAnsi="宋体"/>
                <w:color w:val="000000"/>
                <w:kern w:val="0"/>
                <w:sz w:val="25"/>
                <w:szCs w:val="24"/>
              </w:rPr>
              <w:t>0.70%</w:t>
            </w:r>
          </w:p>
        </w:tc>
      </w:tr>
      <w:tr w:rsidR="005528A4">
        <w:trPr>
          <w:cantSplit/>
          <w:trHeight w:val="375"/>
        </w:trPr>
        <w:tc>
          <w:tcPr>
            <w:tcW w:w="2890" w:type="dxa"/>
            <w:vMerge/>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r>
              <w:rPr>
                <w:rFonts w:ascii="宋体" w:hAnsi="宋体"/>
                <w:color w:val="000000"/>
                <w:kern w:val="0"/>
                <w:sz w:val="25"/>
                <w:szCs w:val="24"/>
              </w:rPr>
              <w:t>100万元≤M＜200万元</w:t>
            </w: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r>
              <w:rPr>
                <w:rFonts w:ascii="宋体" w:hAnsi="宋体"/>
                <w:color w:val="000000"/>
                <w:kern w:val="0"/>
                <w:sz w:val="25"/>
                <w:szCs w:val="24"/>
              </w:rPr>
              <w:t>0.60%</w:t>
            </w:r>
          </w:p>
        </w:tc>
      </w:tr>
      <w:tr w:rsidR="005528A4">
        <w:trPr>
          <w:cantSplit/>
          <w:trHeight w:val="375"/>
        </w:trPr>
        <w:tc>
          <w:tcPr>
            <w:tcW w:w="2890" w:type="dxa"/>
            <w:vMerge/>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r>
              <w:rPr>
                <w:rFonts w:ascii="宋体" w:hAnsi="宋体"/>
                <w:color w:val="000000"/>
                <w:kern w:val="0"/>
                <w:sz w:val="25"/>
                <w:szCs w:val="24"/>
              </w:rPr>
              <w:t>200万元≤M＜500万元</w:t>
            </w: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r>
              <w:rPr>
                <w:rFonts w:ascii="宋体" w:hAnsi="宋体"/>
                <w:color w:val="000000"/>
                <w:kern w:val="0"/>
                <w:sz w:val="25"/>
                <w:szCs w:val="24"/>
              </w:rPr>
              <w:t>0.40%</w:t>
            </w:r>
          </w:p>
        </w:tc>
      </w:tr>
      <w:tr w:rsidR="005528A4">
        <w:trPr>
          <w:cantSplit/>
          <w:trHeight w:val="375"/>
        </w:trPr>
        <w:tc>
          <w:tcPr>
            <w:tcW w:w="2890" w:type="dxa"/>
            <w:vMerge/>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r>
              <w:rPr>
                <w:rFonts w:ascii="宋体" w:hAnsi="宋体"/>
                <w:color w:val="000000"/>
                <w:kern w:val="0"/>
                <w:sz w:val="25"/>
                <w:szCs w:val="24"/>
              </w:rPr>
              <w:t>M≥500万元</w:t>
            </w: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r>
              <w:rPr>
                <w:rFonts w:ascii="宋体" w:hAnsi="宋体"/>
                <w:color w:val="000000"/>
                <w:kern w:val="0"/>
                <w:sz w:val="25"/>
                <w:szCs w:val="24"/>
              </w:rPr>
              <w:t>按笔收取，1000元/笔</w:t>
            </w:r>
          </w:p>
        </w:tc>
      </w:tr>
    </w:tbl>
    <w:p w:rsidR="005528A4"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3、本</w:t>
      </w:r>
      <w:r>
        <w:rPr>
          <w:rFonts w:ascii="宋体" w:hAnsi="宋体" w:cs="宋体"/>
          <w:sz w:val="24"/>
          <w:szCs w:val="24"/>
        </w:rPr>
        <w:t>基金对</w:t>
      </w:r>
      <w:r>
        <w:rPr>
          <w:rFonts w:ascii="宋体" w:hAnsi="宋体" w:cs="宋体" w:hint="eastAsia"/>
          <w:sz w:val="24"/>
          <w:szCs w:val="24"/>
        </w:rPr>
        <w:t>持续</w:t>
      </w:r>
      <w:r>
        <w:rPr>
          <w:rFonts w:ascii="宋体" w:hAnsi="宋体" w:cs="宋体"/>
          <w:sz w:val="24"/>
          <w:szCs w:val="24"/>
        </w:rPr>
        <w:t>持有</w:t>
      </w:r>
      <w:r>
        <w:rPr>
          <w:rFonts w:ascii="宋体" w:hAnsi="宋体" w:cs="宋体" w:hint="eastAsia"/>
          <w:sz w:val="24"/>
          <w:szCs w:val="24"/>
        </w:rPr>
        <w:t>D类</w:t>
      </w:r>
      <w:r>
        <w:rPr>
          <w:rFonts w:ascii="宋体" w:hAnsi="宋体" w:cs="宋体"/>
          <w:sz w:val="24"/>
          <w:szCs w:val="24"/>
        </w:rPr>
        <w:t>基金份额少于</w:t>
      </w:r>
      <w:r>
        <w:rPr>
          <w:rFonts w:ascii="宋体" w:hAnsi="宋体" w:cs="宋体" w:hint="eastAsia"/>
          <w:sz w:val="24"/>
          <w:szCs w:val="24"/>
        </w:rPr>
        <w:t>7天</w:t>
      </w:r>
      <w:r>
        <w:rPr>
          <w:rFonts w:ascii="宋体" w:hAnsi="宋体" w:cs="宋体"/>
          <w:sz w:val="24"/>
          <w:szCs w:val="24"/>
        </w:rPr>
        <w:t>的投资者收取的赎回费率为</w:t>
      </w:r>
      <w:r>
        <w:rPr>
          <w:rFonts w:ascii="宋体" w:hAnsi="宋体" w:cs="宋体" w:hint="eastAsia"/>
          <w:sz w:val="24"/>
          <w:szCs w:val="24"/>
        </w:rPr>
        <w:t>1.5</w:t>
      </w:r>
      <w:r>
        <w:rPr>
          <w:rFonts w:ascii="宋体" w:hAnsi="宋体" w:cs="宋体"/>
          <w:sz w:val="24"/>
          <w:szCs w:val="24"/>
        </w:rPr>
        <w:t>0%</w:t>
      </w:r>
      <w:r>
        <w:rPr>
          <w:rFonts w:ascii="宋体" w:hAnsi="宋体" w:cs="宋体" w:hint="eastAsia"/>
          <w:sz w:val="24"/>
          <w:szCs w:val="24"/>
        </w:rPr>
        <w:t>，并将上述赎回费全额计入基金财产；</w:t>
      </w:r>
      <w:r>
        <w:rPr>
          <w:rFonts w:ascii="宋体" w:hAnsi="宋体" w:cs="宋体"/>
          <w:sz w:val="24"/>
          <w:szCs w:val="24"/>
        </w:rPr>
        <w:t>对</w:t>
      </w:r>
      <w:r>
        <w:rPr>
          <w:rFonts w:ascii="宋体" w:hAnsi="宋体" w:cs="宋体" w:hint="eastAsia"/>
          <w:sz w:val="24"/>
          <w:szCs w:val="24"/>
        </w:rPr>
        <w:t>持续</w:t>
      </w:r>
      <w:r>
        <w:rPr>
          <w:rFonts w:ascii="宋体" w:hAnsi="宋体" w:cs="宋体"/>
          <w:sz w:val="24"/>
          <w:szCs w:val="24"/>
        </w:rPr>
        <w:t>持有</w:t>
      </w:r>
      <w:r>
        <w:rPr>
          <w:rFonts w:ascii="宋体" w:hAnsi="宋体" w:cs="宋体" w:hint="eastAsia"/>
          <w:sz w:val="24"/>
          <w:szCs w:val="24"/>
        </w:rPr>
        <w:t>D类</w:t>
      </w:r>
      <w:r>
        <w:rPr>
          <w:rFonts w:ascii="宋体" w:hAnsi="宋体" w:cs="宋体"/>
          <w:sz w:val="24"/>
          <w:szCs w:val="24"/>
        </w:rPr>
        <w:t>基金份额</w:t>
      </w:r>
      <w:r>
        <w:rPr>
          <w:rFonts w:ascii="宋体" w:hAnsi="宋体" w:cs="宋体" w:hint="eastAsia"/>
          <w:sz w:val="24"/>
          <w:szCs w:val="24"/>
        </w:rPr>
        <w:t>不少</w:t>
      </w:r>
      <w:r>
        <w:rPr>
          <w:rFonts w:ascii="宋体" w:hAnsi="宋体" w:cs="宋体"/>
          <w:sz w:val="24"/>
          <w:szCs w:val="24"/>
        </w:rPr>
        <w:t>于</w:t>
      </w:r>
      <w:r>
        <w:rPr>
          <w:rFonts w:ascii="宋体" w:hAnsi="宋体" w:cs="宋体" w:hint="eastAsia"/>
          <w:sz w:val="24"/>
          <w:szCs w:val="24"/>
        </w:rPr>
        <w:t>7天</w:t>
      </w:r>
      <w:r>
        <w:rPr>
          <w:rFonts w:ascii="宋体" w:hAnsi="宋体" w:cs="宋体"/>
          <w:sz w:val="24"/>
          <w:szCs w:val="24"/>
        </w:rPr>
        <w:t>的投资者</w:t>
      </w:r>
      <w:r>
        <w:rPr>
          <w:rFonts w:ascii="宋体" w:hAnsi="宋体" w:cs="宋体" w:hint="eastAsia"/>
          <w:sz w:val="24"/>
          <w:szCs w:val="24"/>
        </w:rPr>
        <w:t>不收取</w:t>
      </w:r>
      <w:r>
        <w:rPr>
          <w:rFonts w:ascii="宋体" w:hAnsi="宋体" w:cs="宋体"/>
          <w:sz w:val="24"/>
          <w:szCs w:val="24"/>
        </w:rPr>
        <w:t>赎回费</w:t>
      </w:r>
      <w:r>
        <w:rPr>
          <w:rFonts w:ascii="宋体" w:hAnsi="宋体" w:cs="宋体" w:hint="eastAsia"/>
          <w:sz w:val="24"/>
          <w:szCs w:val="24"/>
        </w:rPr>
        <w:t>。赎回费率</w:t>
      </w:r>
      <w:r>
        <w:rPr>
          <w:rFonts w:ascii="宋体" w:hAnsi="宋体" w:cs="宋体"/>
          <w:sz w:val="24"/>
          <w:szCs w:val="24"/>
        </w:rPr>
        <w:t>具体如下表</w:t>
      </w:r>
      <w:r>
        <w:rPr>
          <w:rFonts w:ascii="宋体" w:hAnsi="宋体" w:cs="宋体" w:hint="eastAsia"/>
          <w:sz w:val="24"/>
          <w:szCs w:val="24"/>
        </w:rPr>
        <w:t>所</w:t>
      </w:r>
      <w:r>
        <w:rPr>
          <w:rFonts w:ascii="宋体" w:hAnsi="宋体" w:cs="宋体"/>
          <w:sz w:val="24"/>
          <w:szCs w:val="24"/>
        </w:rPr>
        <w:t>示：</w:t>
      </w:r>
    </w:p>
    <w:tbl>
      <w:tblPr>
        <w:tblW w:w="5000" w:type="pct"/>
        <w:tblInd w:w="0" w:type="dxa"/>
        <w:tblLayout w:type="fixed"/>
        <w:tblCellMar>
          <w:left w:w="0" w:type="dxa"/>
          <w:right w:w="0" w:type="dxa"/>
        </w:tblCellMar>
        <w:tblLook w:val="0000"/>
      </w:tblPr>
      <w:tblGrid>
        <w:gridCol w:w="2884"/>
        <w:gridCol w:w="2883"/>
        <w:gridCol w:w="2883"/>
      </w:tblGrid>
      <w:tr w:rsidR="005528A4">
        <w:trPr>
          <w:cantSplit/>
          <w:trHeight w:val="375"/>
        </w:trPr>
        <w:tc>
          <w:tcPr>
            <w:tcW w:w="2890" w:type="dxa"/>
            <w:vMerge w:val="restart"/>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b/>
                <w:color w:val="000000"/>
                <w:kern w:val="0"/>
                <w:sz w:val="25"/>
                <w:szCs w:val="24"/>
              </w:rPr>
            </w:pPr>
            <w:r>
              <w:rPr>
                <w:rFonts w:ascii="宋体" w:hAnsi="宋体"/>
                <w:b/>
                <w:color w:val="000000"/>
                <w:kern w:val="0"/>
                <w:sz w:val="25"/>
                <w:szCs w:val="24"/>
              </w:rPr>
              <w:t>D类基金份额赎回费率</w:t>
            </w: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b/>
                <w:color w:val="000000"/>
                <w:kern w:val="0"/>
                <w:sz w:val="25"/>
                <w:szCs w:val="24"/>
              </w:rPr>
            </w:pPr>
            <w:r>
              <w:rPr>
                <w:rFonts w:ascii="宋体" w:hAnsi="宋体"/>
                <w:b/>
                <w:color w:val="000000"/>
                <w:kern w:val="0"/>
                <w:sz w:val="25"/>
                <w:szCs w:val="24"/>
              </w:rPr>
              <w:t>持有期限（Y）</w:t>
            </w: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b/>
                <w:color w:val="000000"/>
                <w:kern w:val="0"/>
                <w:sz w:val="25"/>
                <w:szCs w:val="24"/>
              </w:rPr>
            </w:pPr>
            <w:r>
              <w:rPr>
                <w:rFonts w:ascii="宋体" w:hAnsi="宋体"/>
                <w:b/>
                <w:color w:val="000000"/>
                <w:kern w:val="0"/>
                <w:sz w:val="25"/>
                <w:szCs w:val="24"/>
              </w:rPr>
              <w:t>赎回费率</w:t>
            </w:r>
          </w:p>
        </w:tc>
      </w:tr>
      <w:tr w:rsidR="005528A4">
        <w:trPr>
          <w:cantSplit/>
          <w:trHeight w:val="375"/>
        </w:trPr>
        <w:tc>
          <w:tcPr>
            <w:tcW w:w="2890" w:type="dxa"/>
            <w:vMerge/>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r>
              <w:rPr>
                <w:rFonts w:ascii="宋体" w:hAnsi="宋体"/>
                <w:color w:val="000000"/>
                <w:kern w:val="0"/>
                <w:sz w:val="25"/>
                <w:szCs w:val="24"/>
              </w:rPr>
              <w:t>Y＜7天</w:t>
            </w: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r>
              <w:rPr>
                <w:rFonts w:ascii="宋体" w:hAnsi="宋体"/>
                <w:color w:val="000000"/>
                <w:kern w:val="0"/>
                <w:sz w:val="25"/>
                <w:szCs w:val="24"/>
              </w:rPr>
              <w:t>1.5%</w:t>
            </w:r>
          </w:p>
        </w:tc>
      </w:tr>
      <w:tr w:rsidR="005528A4">
        <w:trPr>
          <w:cantSplit/>
          <w:trHeight w:val="375"/>
        </w:trPr>
        <w:tc>
          <w:tcPr>
            <w:tcW w:w="2890" w:type="dxa"/>
            <w:vMerge/>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r>
              <w:rPr>
                <w:rFonts w:ascii="宋体" w:hAnsi="宋体"/>
                <w:color w:val="000000"/>
                <w:kern w:val="0"/>
                <w:sz w:val="25"/>
                <w:szCs w:val="24"/>
              </w:rPr>
              <w:t>Y≥7天</w:t>
            </w:r>
          </w:p>
        </w:tc>
        <w:tc>
          <w:tcPr>
            <w:tcW w:w="2890" w:type="dxa"/>
            <w:tcBorders>
              <w:top w:val="single" w:sz="4" w:space="0" w:color="auto"/>
              <w:left w:val="single" w:sz="4" w:space="0" w:color="auto"/>
              <w:bottom w:val="single" w:sz="4" w:space="0" w:color="auto"/>
              <w:right w:val="single" w:sz="4" w:space="0" w:color="auto"/>
            </w:tcBorders>
            <w:vAlign w:val="center"/>
          </w:tcPr>
          <w:p w:rsidR="005528A4" w:rsidRDefault="005528A4">
            <w:pPr>
              <w:widowControl/>
              <w:snapToGrid w:val="0"/>
              <w:jc w:val="center"/>
              <w:rPr>
                <w:rFonts w:ascii="宋体" w:hAnsi="宋体"/>
                <w:color w:val="000000"/>
                <w:kern w:val="0"/>
                <w:sz w:val="25"/>
                <w:szCs w:val="24"/>
              </w:rPr>
            </w:pPr>
            <w:r>
              <w:rPr>
                <w:rFonts w:ascii="宋体" w:hAnsi="宋体"/>
                <w:color w:val="000000"/>
                <w:kern w:val="0"/>
                <w:sz w:val="25"/>
                <w:szCs w:val="24"/>
              </w:rPr>
              <w:t>0</w:t>
            </w:r>
          </w:p>
        </w:tc>
      </w:tr>
    </w:tbl>
    <w:p w:rsidR="005528A4"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（五）</w:t>
      </w:r>
      <w:r>
        <w:rPr>
          <w:rFonts w:ascii="宋体" w:hAnsi="宋体" w:cs="宋体"/>
          <w:sz w:val="24"/>
          <w:szCs w:val="24"/>
        </w:rPr>
        <w:t>D</w:t>
      </w:r>
      <w:r>
        <w:rPr>
          <w:rFonts w:ascii="宋体" w:hAnsi="宋体" w:cs="宋体" w:hint="eastAsia"/>
          <w:sz w:val="24"/>
          <w:szCs w:val="24"/>
        </w:rPr>
        <w:t>类基金份额的基金份额净值公告</w:t>
      </w:r>
    </w:p>
    <w:p w:rsidR="005528A4"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本基金D类基金份额的基金份额净值将自首笔D类基金份额申购的确认日起（含当日）计算，并自确认日的次日起在规定网站、基金销售机构网站或者营业网点披露。增设D类基金份额后、首笔D类基金份额申购确认日前，D类基金份额的基金份额净值按照A类基金份额的基金份额净值披露。</w:t>
      </w:r>
    </w:p>
    <w:p w:rsidR="005528A4" w:rsidRDefault="005528A4">
      <w:pPr>
        <w:tabs>
          <w:tab w:val="left" w:pos="3694"/>
        </w:tabs>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二、</w:t>
      </w:r>
      <w:r>
        <w:rPr>
          <w:rFonts w:ascii="宋体" w:hAnsi="宋体" w:cs="宋体"/>
          <w:sz w:val="24"/>
          <w:szCs w:val="24"/>
        </w:rPr>
        <w:t>D</w:t>
      </w:r>
      <w:r>
        <w:rPr>
          <w:rFonts w:ascii="宋体" w:hAnsi="宋体" w:cs="宋体" w:hint="eastAsia"/>
          <w:sz w:val="24"/>
          <w:szCs w:val="24"/>
        </w:rPr>
        <w:t>类基金份额申购金额及赎回份额的限制</w:t>
      </w:r>
    </w:p>
    <w:p w:rsidR="005528A4" w:rsidRDefault="005528A4">
      <w:pPr>
        <w:tabs>
          <w:tab w:val="left" w:pos="3694"/>
        </w:tabs>
        <w:adjustRightInd w:val="0"/>
        <w:snapToGrid w:val="0"/>
        <w:spacing w:line="360" w:lineRule="auto"/>
        <w:ind w:firstLineChars="200" w:firstLine="480"/>
        <w:rPr>
          <w:rFonts w:ascii="宋体" w:hAnsi="宋体" w:cs="宋体"/>
          <w:bCs/>
          <w:sz w:val="24"/>
          <w:szCs w:val="24"/>
        </w:rPr>
      </w:pPr>
      <w:r>
        <w:rPr>
          <w:rFonts w:ascii="宋体" w:hAnsi="宋体" w:cs="宋体" w:hint="eastAsia"/>
          <w:sz w:val="24"/>
          <w:szCs w:val="24"/>
        </w:rPr>
        <w:lastRenderedPageBreak/>
        <w:t>（一）</w:t>
      </w:r>
      <w:r>
        <w:rPr>
          <w:rFonts w:ascii="宋体" w:hAnsi="宋体" w:cs="宋体" w:hint="eastAsia"/>
          <w:bCs/>
          <w:sz w:val="24"/>
          <w:szCs w:val="24"/>
        </w:rPr>
        <w:t>在本基金销售机构的销售网点及网上直销交易系统进行申购及赎回时，</w:t>
      </w:r>
      <w:r>
        <w:rPr>
          <w:rFonts w:ascii="宋体" w:hAnsi="宋体" w:cs="宋体"/>
          <w:bCs/>
          <w:sz w:val="24"/>
          <w:szCs w:val="24"/>
        </w:rPr>
        <w:t>D</w:t>
      </w:r>
      <w:r>
        <w:rPr>
          <w:rFonts w:ascii="宋体" w:hAnsi="宋体" w:cs="宋体" w:hint="eastAsia"/>
          <w:bCs/>
          <w:sz w:val="24"/>
          <w:szCs w:val="24"/>
        </w:rPr>
        <w:t>类基金份额申购金额和赎回份额的限制如下表所示：</w:t>
      </w:r>
    </w:p>
    <w:tbl>
      <w:tblPr>
        <w:tblW w:w="87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703"/>
        <w:gridCol w:w="1828"/>
        <w:gridCol w:w="1827"/>
        <w:gridCol w:w="1827"/>
      </w:tblGrid>
      <w:tr w:rsidR="005528A4">
        <w:trPr>
          <w:trHeight w:val="1724"/>
        </w:trPr>
        <w:tc>
          <w:tcPr>
            <w:tcW w:w="1590" w:type="dxa"/>
            <w:vAlign w:val="center"/>
          </w:tcPr>
          <w:p w:rsidR="005528A4" w:rsidRDefault="005528A4">
            <w:pPr>
              <w:widowControl/>
              <w:jc w:val="center"/>
              <w:rPr>
                <w:rFonts w:ascii="宋体" w:hAnsi="宋体" w:cs="宋体" w:hint="eastAsia"/>
                <w:b/>
                <w:bCs/>
                <w:color w:val="000000"/>
                <w:kern w:val="0"/>
                <w:sz w:val="24"/>
                <w:szCs w:val="24"/>
              </w:rPr>
            </w:pPr>
            <w:r>
              <w:rPr>
                <w:rFonts w:ascii="宋体" w:hAnsi="宋体" w:cs="宋体"/>
                <w:b/>
                <w:bCs/>
                <w:color w:val="000000"/>
                <w:kern w:val="0"/>
                <w:sz w:val="24"/>
                <w:szCs w:val="24"/>
              </w:rPr>
              <w:t>D</w:t>
            </w:r>
            <w:r>
              <w:rPr>
                <w:rFonts w:ascii="宋体" w:hAnsi="宋体" w:cs="宋体" w:hint="eastAsia"/>
                <w:b/>
                <w:bCs/>
                <w:color w:val="000000"/>
                <w:kern w:val="0"/>
                <w:sz w:val="24"/>
                <w:szCs w:val="24"/>
              </w:rPr>
              <w:t>类基金份额代码</w:t>
            </w:r>
          </w:p>
        </w:tc>
        <w:tc>
          <w:tcPr>
            <w:tcW w:w="1703" w:type="dxa"/>
            <w:vAlign w:val="center"/>
          </w:tcPr>
          <w:p w:rsidR="005528A4" w:rsidRDefault="005528A4">
            <w:pPr>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首笔申购的最低金额（元）</w:t>
            </w:r>
          </w:p>
        </w:tc>
        <w:tc>
          <w:tcPr>
            <w:tcW w:w="1828" w:type="dxa"/>
            <w:vAlign w:val="center"/>
          </w:tcPr>
          <w:p w:rsidR="005528A4" w:rsidRDefault="005528A4">
            <w:pPr>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每笔追加申购的最低金额（元）</w:t>
            </w:r>
          </w:p>
        </w:tc>
        <w:tc>
          <w:tcPr>
            <w:tcW w:w="1827" w:type="dxa"/>
            <w:vAlign w:val="center"/>
          </w:tcPr>
          <w:p w:rsidR="005528A4" w:rsidRDefault="005528A4">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每笔赎回申请的最低份额（份）</w:t>
            </w:r>
          </w:p>
        </w:tc>
        <w:tc>
          <w:tcPr>
            <w:tcW w:w="1827" w:type="dxa"/>
            <w:vAlign w:val="center"/>
          </w:tcPr>
          <w:p w:rsidR="005528A4" w:rsidRDefault="005528A4">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赎回后的最低保有份额（份）</w:t>
            </w:r>
          </w:p>
        </w:tc>
      </w:tr>
      <w:tr w:rsidR="005528A4">
        <w:trPr>
          <w:trHeight w:val="734"/>
        </w:trPr>
        <w:tc>
          <w:tcPr>
            <w:tcW w:w="1590" w:type="dxa"/>
            <w:vAlign w:val="center"/>
          </w:tcPr>
          <w:p w:rsidR="005528A4" w:rsidRDefault="004A4FD2">
            <w:pPr>
              <w:widowControl/>
              <w:jc w:val="center"/>
              <w:rPr>
                <w:rFonts w:ascii="宋体" w:hAnsi="宋体" w:cs="宋体" w:hint="eastAsia"/>
                <w:color w:val="000000"/>
                <w:kern w:val="0"/>
                <w:sz w:val="24"/>
                <w:szCs w:val="24"/>
              </w:rPr>
            </w:pPr>
            <w:r>
              <w:rPr>
                <w:rFonts w:ascii="宋体" w:hAnsi="宋体" w:cs="宋体"/>
                <w:color w:val="000000"/>
                <w:kern w:val="0"/>
                <w:sz w:val="24"/>
                <w:szCs w:val="24"/>
              </w:rPr>
              <w:t>020604</w:t>
            </w:r>
          </w:p>
        </w:tc>
        <w:tc>
          <w:tcPr>
            <w:tcW w:w="1703" w:type="dxa"/>
            <w:vAlign w:val="center"/>
          </w:tcPr>
          <w:p w:rsidR="005528A4" w:rsidRDefault="005528A4">
            <w:pPr>
              <w:widowControl/>
              <w:jc w:val="center"/>
              <w:rPr>
                <w:rFonts w:ascii="宋体" w:hAnsi="宋体" w:cs="宋体" w:hint="eastAsia"/>
                <w:color w:val="000000"/>
                <w:kern w:val="0"/>
                <w:sz w:val="24"/>
                <w:szCs w:val="24"/>
              </w:rPr>
            </w:pPr>
            <w:r>
              <w:rPr>
                <w:rFonts w:ascii="宋体" w:hAnsi="宋体" w:cs="宋体"/>
                <w:color w:val="000000"/>
                <w:kern w:val="0"/>
                <w:sz w:val="24"/>
                <w:szCs w:val="24"/>
              </w:rPr>
              <w:t>10</w:t>
            </w:r>
          </w:p>
        </w:tc>
        <w:tc>
          <w:tcPr>
            <w:tcW w:w="1828" w:type="dxa"/>
            <w:vAlign w:val="center"/>
          </w:tcPr>
          <w:p w:rsidR="005528A4" w:rsidRDefault="005528A4">
            <w:pPr>
              <w:widowControl/>
              <w:jc w:val="center"/>
              <w:rPr>
                <w:rFonts w:ascii="宋体" w:hAnsi="宋体" w:cs="宋体" w:hint="eastAsia"/>
                <w:color w:val="000000"/>
                <w:kern w:val="0"/>
                <w:sz w:val="24"/>
                <w:szCs w:val="24"/>
              </w:rPr>
            </w:pPr>
            <w:r>
              <w:rPr>
                <w:rFonts w:ascii="宋体" w:hAnsi="宋体" w:cs="宋体"/>
                <w:color w:val="000000"/>
                <w:kern w:val="0"/>
                <w:sz w:val="24"/>
                <w:szCs w:val="24"/>
              </w:rPr>
              <w:t>1</w:t>
            </w:r>
          </w:p>
        </w:tc>
        <w:tc>
          <w:tcPr>
            <w:tcW w:w="1827" w:type="dxa"/>
            <w:vAlign w:val="center"/>
          </w:tcPr>
          <w:p w:rsidR="005528A4" w:rsidRDefault="005528A4">
            <w:pPr>
              <w:widowControl/>
              <w:jc w:val="center"/>
              <w:rPr>
                <w:rFonts w:ascii="宋体" w:hAnsi="宋体" w:cs="宋体" w:hint="eastAsia"/>
                <w:color w:val="000000"/>
                <w:kern w:val="0"/>
                <w:sz w:val="24"/>
                <w:szCs w:val="24"/>
              </w:rPr>
            </w:pPr>
            <w:r>
              <w:rPr>
                <w:rFonts w:ascii="宋体" w:hAnsi="宋体" w:cs="宋体"/>
                <w:color w:val="000000"/>
                <w:kern w:val="0"/>
                <w:sz w:val="24"/>
                <w:szCs w:val="24"/>
              </w:rPr>
              <w:t>10</w:t>
            </w:r>
          </w:p>
        </w:tc>
        <w:tc>
          <w:tcPr>
            <w:tcW w:w="1827" w:type="dxa"/>
            <w:vAlign w:val="center"/>
          </w:tcPr>
          <w:p w:rsidR="005528A4" w:rsidRDefault="005528A4">
            <w:pPr>
              <w:widowControl/>
              <w:jc w:val="center"/>
              <w:rPr>
                <w:rFonts w:ascii="宋体" w:hAnsi="宋体" w:cs="宋体" w:hint="eastAsia"/>
                <w:color w:val="000000"/>
                <w:kern w:val="0"/>
                <w:sz w:val="24"/>
                <w:szCs w:val="24"/>
              </w:rPr>
            </w:pPr>
            <w:r>
              <w:rPr>
                <w:rFonts w:ascii="宋体" w:hAnsi="宋体" w:cs="宋体"/>
                <w:color w:val="000000"/>
                <w:kern w:val="0"/>
                <w:sz w:val="24"/>
                <w:szCs w:val="24"/>
              </w:rPr>
              <w:t>10</w:t>
            </w:r>
          </w:p>
        </w:tc>
      </w:tr>
    </w:tbl>
    <w:p w:rsidR="005528A4" w:rsidRDefault="005528A4">
      <w:pPr>
        <w:adjustRightInd w:val="0"/>
        <w:snapToGrid w:val="0"/>
        <w:spacing w:beforeLines="50" w:line="360" w:lineRule="auto"/>
        <w:ind w:firstLineChars="200" w:firstLine="480"/>
        <w:rPr>
          <w:rFonts w:ascii="宋体" w:hAnsi="宋体" w:cs="宋体"/>
          <w:bCs/>
          <w:sz w:val="24"/>
          <w:szCs w:val="24"/>
        </w:rPr>
      </w:pPr>
      <w:r>
        <w:rPr>
          <w:rFonts w:ascii="宋体" w:hAnsi="宋体" w:cs="宋体" w:hint="eastAsia"/>
          <w:bCs/>
          <w:sz w:val="24"/>
          <w:szCs w:val="24"/>
        </w:rPr>
        <w:t>（二）直销中心办理业务时以其相关规则为准。本基金销售机构对D类基金份额最低申购限额及交易级差有其他规定的，以其业务规定为准，但不得低于上述最低申购金额及赎回份额的限制。</w:t>
      </w:r>
    </w:p>
    <w:p w:rsidR="005528A4" w:rsidRDefault="005528A4">
      <w:pPr>
        <w:adjustRightInd w:val="0"/>
        <w:snapToGrid w:val="0"/>
        <w:spacing w:line="360" w:lineRule="auto"/>
        <w:ind w:firstLineChars="200" w:firstLine="480"/>
        <w:rPr>
          <w:rFonts w:ascii="宋体" w:hAnsi="宋体" w:cs="宋体" w:hint="eastAsia"/>
          <w:bCs/>
          <w:sz w:val="24"/>
          <w:szCs w:val="24"/>
        </w:rPr>
      </w:pPr>
      <w:r>
        <w:rPr>
          <w:rFonts w:ascii="宋体" w:hAnsi="宋体" w:cs="宋体" w:hint="eastAsia"/>
          <w:bCs/>
          <w:sz w:val="24"/>
          <w:szCs w:val="24"/>
        </w:rPr>
        <w:t>（三）投资人将所申购的D类基金份额当期分配的基金收益转为D类基金份额时，不受最低申购金额的限制。</w:t>
      </w:r>
    </w:p>
    <w:p w:rsidR="005528A4" w:rsidRDefault="005528A4">
      <w:pPr>
        <w:adjustRightInd w:val="0"/>
        <w:snapToGrid w:val="0"/>
        <w:spacing w:line="360" w:lineRule="auto"/>
        <w:ind w:firstLineChars="200" w:firstLine="480"/>
        <w:rPr>
          <w:rFonts w:ascii="宋体" w:hAnsi="宋体" w:cs="宋体"/>
          <w:bCs/>
          <w:sz w:val="24"/>
          <w:szCs w:val="24"/>
        </w:rPr>
      </w:pPr>
    </w:p>
    <w:p w:rsidR="005528A4" w:rsidRDefault="005528A4">
      <w:pPr>
        <w:tabs>
          <w:tab w:val="left" w:pos="3694"/>
        </w:tabs>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三、重要提示</w:t>
      </w:r>
    </w:p>
    <w:p w:rsidR="005528A4"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（一）本次本基金基金合同的修订对本基金的投资及基金份额持有人利益无实质性不利影响。此次修订已经履行了规定的程序，符合相关法律法规及基金合同的规定，无需召开持有人大会。</w:t>
      </w:r>
    </w:p>
    <w:p w:rsidR="005528A4"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（二）根据本基金基金合同修订内容，本基金管理人对本基金的托管协议的相关内容同步进行了修订，并将根据法律法规的规定更新本基金的招募说明书及基金产品资料概要。</w:t>
      </w:r>
    </w:p>
    <w:p w:rsidR="005528A4"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三）本基金管理人承诺以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本基金的过往业绩及其净值高低并不预示其未来业绩表现。本基金管理人所管理的其他基金的业绩并不构成对本基金业绩表现的保证。本基金管理人提醒投资人基金投资的“买者自负”原则，在做出投资决策后，基金运营状况与基金净值变化引致的投资风险，由投资人自行负担。</w:t>
      </w:r>
    </w:p>
    <w:p w:rsidR="005528A4"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四）本基金管理人可以在法律法规和本基金基金合同规定范围内调整上述有关内容。投资人可登录本公司网站（www.yhfund.com.cn）查阅修订后的本基金基金合同、托管协议全文或拨打客户服务电话（400-678-3333）咨询相关事宜。</w:t>
      </w:r>
    </w:p>
    <w:p w:rsidR="005528A4" w:rsidRDefault="005528A4">
      <w:pPr>
        <w:adjustRightInd w:val="0"/>
        <w:snapToGrid w:val="0"/>
        <w:spacing w:line="360" w:lineRule="auto"/>
        <w:rPr>
          <w:rFonts w:ascii="宋体" w:hAnsi="宋体" w:cs="宋体"/>
          <w:sz w:val="24"/>
          <w:szCs w:val="24"/>
        </w:rPr>
      </w:pPr>
    </w:p>
    <w:p w:rsidR="005528A4" w:rsidRDefault="005528A4">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特此公告。</w:t>
      </w:r>
    </w:p>
    <w:p w:rsidR="005528A4" w:rsidRDefault="005528A4">
      <w:pPr>
        <w:adjustRightInd w:val="0"/>
        <w:snapToGrid w:val="0"/>
        <w:spacing w:line="360" w:lineRule="auto"/>
        <w:ind w:firstLineChars="200" w:firstLine="480"/>
        <w:jc w:val="right"/>
        <w:rPr>
          <w:sz w:val="24"/>
          <w:szCs w:val="24"/>
        </w:rPr>
      </w:pPr>
    </w:p>
    <w:p w:rsidR="005528A4" w:rsidRDefault="005528A4">
      <w:pPr>
        <w:adjustRightInd w:val="0"/>
        <w:snapToGrid w:val="0"/>
        <w:spacing w:line="360" w:lineRule="auto"/>
        <w:ind w:firstLineChars="200" w:firstLine="480"/>
        <w:jc w:val="right"/>
        <w:rPr>
          <w:sz w:val="24"/>
          <w:szCs w:val="24"/>
        </w:rPr>
      </w:pPr>
      <w:r>
        <w:rPr>
          <w:rFonts w:hint="eastAsia"/>
          <w:sz w:val="24"/>
          <w:szCs w:val="24"/>
        </w:rPr>
        <w:t>银华基金管理股份有限公司</w:t>
      </w:r>
    </w:p>
    <w:p w:rsidR="005528A4" w:rsidRDefault="005528A4">
      <w:pPr>
        <w:adjustRightInd w:val="0"/>
        <w:snapToGrid w:val="0"/>
        <w:spacing w:line="360" w:lineRule="auto"/>
        <w:ind w:firstLineChars="200" w:firstLine="480"/>
        <w:jc w:val="right"/>
        <w:rPr>
          <w:sz w:val="24"/>
          <w:szCs w:val="24"/>
        </w:rPr>
      </w:pPr>
      <w:r>
        <w:rPr>
          <w:sz w:val="24"/>
          <w:szCs w:val="24"/>
        </w:rPr>
        <w:t>2024</w:t>
      </w:r>
      <w:r>
        <w:rPr>
          <w:rFonts w:hint="eastAsia"/>
          <w:sz w:val="24"/>
          <w:szCs w:val="24"/>
        </w:rPr>
        <w:t>年</w:t>
      </w:r>
      <w:r>
        <w:rPr>
          <w:sz w:val="24"/>
          <w:szCs w:val="24"/>
        </w:rPr>
        <w:t>1</w:t>
      </w:r>
      <w:r>
        <w:rPr>
          <w:rFonts w:hint="eastAsia"/>
          <w:sz w:val="24"/>
          <w:szCs w:val="24"/>
        </w:rPr>
        <w:t>月</w:t>
      </w:r>
      <w:r w:rsidR="00465230">
        <w:rPr>
          <w:sz w:val="24"/>
          <w:szCs w:val="24"/>
        </w:rPr>
        <w:t>18</w:t>
      </w:r>
      <w:r>
        <w:rPr>
          <w:rFonts w:hint="eastAsia"/>
          <w:sz w:val="24"/>
          <w:szCs w:val="24"/>
        </w:rPr>
        <w:t>日</w:t>
      </w:r>
    </w:p>
    <w:sectPr w:rsidR="005528A4">
      <w:footerReference w:type="default" r:id="rId6"/>
      <w:pgSz w:w="12240" w:h="15840"/>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8DF" w:rsidRDefault="004768DF">
      <w:r>
        <w:separator/>
      </w:r>
    </w:p>
  </w:endnote>
  <w:endnote w:type="continuationSeparator" w:id="0">
    <w:p w:rsidR="004768DF" w:rsidRDefault="004768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icrosoft YaHei UI">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8A4" w:rsidRDefault="005528A4">
    <w:pPr>
      <w:pStyle w:val="a5"/>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5528A4" w:rsidRDefault="005528A4">
                <w:pPr>
                  <w:pStyle w:val="a5"/>
                  <w:rPr>
                    <w:rFonts w:hint="eastAsia"/>
                  </w:rPr>
                </w:pPr>
                <w:fldSimple w:instr=" PAGE  \* MERGEFORMAT ">
                  <w:r w:rsidR="00D30C57" w:rsidRPr="00D30C57">
                    <w:rPr>
                      <w:noProof/>
                      <w:lang w:val="en-US" w:eastAsia="zh-CN"/>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8DF" w:rsidRDefault="004768DF">
      <w:r>
        <w:separator/>
      </w:r>
    </w:p>
  </w:footnote>
  <w:footnote w:type="continuationSeparator" w:id="0">
    <w:p w:rsidR="004768DF" w:rsidRDefault="004768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isplayBackgroundShape/>
  <w:bordersDoNotSurroundHeader/>
  <w:bordersDoNotSurroundFooter/>
  <w:doNotTrackMoves/>
  <w:defaultTabStop w:val="720"/>
  <w:characterSpacingControl w:val="doNotCompress"/>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DJjYjA3ZTQ2MTM1MDE2Njk1YjQxMTc0YTg5ODhiMTAifQ=="/>
  </w:docVars>
  <w:rsids>
    <w:rsidRoot w:val="00155B4E"/>
    <w:rsid w:val="00001C44"/>
    <w:rsid w:val="00016C24"/>
    <w:rsid w:val="00017B29"/>
    <w:rsid w:val="00027C5F"/>
    <w:rsid w:val="000455C8"/>
    <w:rsid w:val="000470AD"/>
    <w:rsid w:val="0005594A"/>
    <w:rsid w:val="000652BA"/>
    <w:rsid w:val="00067550"/>
    <w:rsid w:val="00067A1A"/>
    <w:rsid w:val="000749C7"/>
    <w:rsid w:val="00077781"/>
    <w:rsid w:val="00091CC5"/>
    <w:rsid w:val="00091E74"/>
    <w:rsid w:val="000A4BBF"/>
    <w:rsid w:val="000A4F65"/>
    <w:rsid w:val="000A5E19"/>
    <w:rsid w:val="000A6F89"/>
    <w:rsid w:val="000B05C2"/>
    <w:rsid w:val="000B0923"/>
    <w:rsid w:val="000B1B42"/>
    <w:rsid w:val="000B278E"/>
    <w:rsid w:val="000B63B6"/>
    <w:rsid w:val="000B73AB"/>
    <w:rsid w:val="000C0DFE"/>
    <w:rsid w:val="000C0ED4"/>
    <w:rsid w:val="000C2566"/>
    <w:rsid w:val="000C74B1"/>
    <w:rsid w:val="000D01B3"/>
    <w:rsid w:val="000E0927"/>
    <w:rsid w:val="000E7DFF"/>
    <w:rsid w:val="000F446E"/>
    <w:rsid w:val="000F4490"/>
    <w:rsid w:val="000F5275"/>
    <w:rsid w:val="000F6304"/>
    <w:rsid w:val="00103E09"/>
    <w:rsid w:val="0010476D"/>
    <w:rsid w:val="00104EE5"/>
    <w:rsid w:val="0010616F"/>
    <w:rsid w:val="00115DA9"/>
    <w:rsid w:val="00117F62"/>
    <w:rsid w:val="00121CA6"/>
    <w:rsid w:val="0012621C"/>
    <w:rsid w:val="0012691B"/>
    <w:rsid w:val="00126F89"/>
    <w:rsid w:val="00132730"/>
    <w:rsid w:val="00133F9B"/>
    <w:rsid w:val="00144B8A"/>
    <w:rsid w:val="0014504F"/>
    <w:rsid w:val="00154579"/>
    <w:rsid w:val="00155B4E"/>
    <w:rsid w:val="001567B0"/>
    <w:rsid w:val="00167A9B"/>
    <w:rsid w:val="00167CD7"/>
    <w:rsid w:val="00170A36"/>
    <w:rsid w:val="00173C59"/>
    <w:rsid w:val="00185554"/>
    <w:rsid w:val="001A026C"/>
    <w:rsid w:val="001A036D"/>
    <w:rsid w:val="001A5AC0"/>
    <w:rsid w:val="001B0B5E"/>
    <w:rsid w:val="001B1130"/>
    <w:rsid w:val="001C0D76"/>
    <w:rsid w:val="001C2E90"/>
    <w:rsid w:val="001D528A"/>
    <w:rsid w:val="001E0410"/>
    <w:rsid w:val="001E37A7"/>
    <w:rsid w:val="001E52D7"/>
    <w:rsid w:val="001E7241"/>
    <w:rsid w:val="001F2836"/>
    <w:rsid w:val="001F5B6F"/>
    <w:rsid w:val="00204F60"/>
    <w:rsid w:val="00216FA2"/>
    <w:rsid w:val="002251C8"/>
    <w:rsid w:val="0022583C"/>
    <w:rsid w:val="00234A2B"/>
    <w:rsid w:val="0024290F"/>
    <w:rsid w:val="002570F0"/>
    <w:rsid w:val="0026406F"/>
    <w:rsid w:val="00267FE4"/>
    <w:rsid w:val="00284D03"/>
    <w:rsid w:val="0029503F"/>
    <w:rsid w:val="00296229"/>
    <w:rsid w:val="002A2C45"/>
    <w:rsid w:val="002A461A"/>
    <w:rsid w:val="002B160D"/>
    <w:rsid w:val="002B371B"/>
    <w:rsid w:val="002B3D42"/>
    <w:rsid w:val="002B7387"/>
    <w:rsid w:val="002C0CC5"/>
    <w:rsid w:val="002D190C"/>
    <w:rsid w:val="002D4FD6"/>
    <w:rsid w:val="002D5F53"/>
    <w:rsid w:val="00305A98"/>
    <w:rsid w:val="003111CE"/>
    <w:rsid w:val="003158DD"/>
    <w:rsid w:val="00317816"/>
    <w:rsid w:val="003227A8"/>
    <w:rsid w:val="00330C23"/>
    <w:rsid w:val="00331949"/>
    <w:rsid w:val="00332537"/>
    <w:rsid w:val="00341802"/>
    <w:rsid w:val="00342400"/>
    <w:rsid w:val="00345468"/>
    <w:rsid w:val="00351940"/>
    <w:rsid w:val="00353400"/>
    <w:rsid w:val="0035671F"/>
    <w:rsid w:val="00365B33"/>
    <w:rsid w:val="00365E9F"/>
    <w:rsid w:val="00367586"/>
    <w:rsid w:val="003758AC"/>
    <w:rsid w:val="003810EC"/>
    <w:rsid w:val="00390746"/>
    <w:rsid w:val="003B76C2"/>
    <w:rsid w:val="003B7A19"/>
    <w:rsid w:val="003C2AD3"/>
    <w:rsid w:val="003D1062"/>
    <w:rsid w:val="003D1064"/>
    <w:rsid w:val="003D29D7"/>
    <w:rsid w:val="003D5FAC"/>
    <w:rsid w:val="003D6CDC"/>
    <w:rsid w:val="003E2B20"/>
    <w:rsid w:val="003F47EA"/>
    <w:rsid w:val="003F4DC1"/>
    <w:rsid w:val="003F5843"/>
    <w:rsid w:val="00400005"/>
    <w:rsid w:val="00400AC7"/>
    <w:rsid w:val="00411A56"/>
    <w:rsid w:val="00412647"/>
    <w:rsid w:val="00415067"/>
    <w:rsid w:val="004150B9"/>
    <w:rsid w:val="00417360"/>
    <w:rsid w:val="00423B1F"/>
    <w:rsid w:val="00424C2A"/>
    <w:rsid w:val="0044579B"/>
    <w:rsid w:val="0045045D"/>
    <w:rsid w:val="0045455B"/>
    <w:rsid w:val="004545CD"/>
    <w:rsid w:val="00457760"/>
    <w:rsid w:val="004621AE"/>
    <w:rsid w:val="004626DB"/>
    <w:rsid w:val="00465230"/>
    <w:rsid w:val="00466930"/>
    <w:rsid w:val="00466F77"/>
    <w:rsid w:val="004761E3"/>
    <w:rsid w:val="004768DF"/>
    <w:rsid w:val="00477842"/>
    <w:rsid w:val="00480D9C"/>
    <w:rsid w:val="00481260"/>
    <w:rsid w:val="00481D08"/>
    <w:rsid w:val="0048276E"/>
    <w:rsid w:val="004848CF"/>
    <w:rsid w:val="004976EC"/>
    <w:rsid w:val="004A00B9"/>
    <w:rsid w:val="004A4E4C"/>
    <w:rsid w:val="004A4FD2"/>
    <w:rsid w:val="004A7857"/>
    <w:rsid w:val="004A7EA7"/>
    <w:rsid w:val="004B558D"/>
    <w:rsid w:val="004C0745"/>
    <w:rsid w:val="004C4E6D"/>
    <w:rsid w:val="004C5F16"/>
    <w:rsid w:val="004C7262"/>
    <w:rsid w:val="004D254B"/>
    <w:rsid w:val="004D3023"/>
    <w:rsid w:val="004E523C"/>
    <w:rsid w:val="004E6832"/>
    <w:rsid w:val="00500B2A"/>
    <w:rsid w:val="00502854"/>
    <w:rsid w:val="0050427F"/>
    <w:rsid w:val="00506DDA"/>
    <w:rsid w:val="00524364"/>
    <w:rsid w:val="00536314"/>
    <w:rsid w:val="0053746C"/>
    <w:rsid w:val="00537D3D"/>
    <w:rsid w:val="0054201E"/>
    <w:rsid w:val="005450CC"/>
    <w:rsid w:val="00547EBD"/>
    <w:rsid w:val="005528A4"/>
    <w:rsid w:val="00555F2B"/>
    <w:rsid w:val="00556FA3"/>
    <w:rsid w:val="00562D25"/>
    <w:rsid w:val="00562D54"/>
    <w:rsid w:val="005659BB"/>
    <w:rsid w:val="00566CB6"/>
    <w:rsid w:val="0058204C"/>
    <w:rsid w:val="00584EAE"/>
    <w:rsid w:val="00585C08"/>
    <w:rsid w:val="00585C6D"/>
    <w:rsid w:val="0058739A"/>
    <w:rsid w:val="00593D6B"/>
    <w:rsid w:val="00595549"/>
    <w:rsid w:val="005A12B2"/>
    <w:rsid w:val="005B31E5"/>
    <w:rsid w:val="005C6140"/>
    <w:rsid w:val="005D2821"/>
    <w:rsid w:val="005E337C"/>
    <w:rsid w:val="005E465D"/>
    <w:rsid w:val="005E4E3B"/>
    <w:rsid w:val="005E56A5"/>
    <w:rsid w:val="005F33BF"/>
    <w:rsid w:val="00605A0F"/>
    <w:rsid w:val="00612954"/>
    <w:rsid w:val="00624D6D"/>
    <w:rsid w:val="00641B55"/>
    <w:rsid w:val="00651CE9"/>
    <w:rsid w:val="0066414E"/>
    <w:rsid w:val="006659D2"/>
    <w:rsid w:val="00665F0D"/>
    <w:rsid w:val="00670E73"/>
    <w:rsid w:val="006823E1"/>
    <w:rsid w:val="00682530"/>
    <w:rsid w:val="00693F2E"/>
    <w:rsid w:val="00695ED2"/>
    <w:rsid w:val="006A2839"/>
    <w:rsid w:val="006A6222"/>
    <w:rsid w:val="006B4BAF"/>
    <w:rsid w:val="006C47C2"/>
    <w:rsid w:val="006C5563"/>
    <w:rsid w:val="006C7710"/>
    <w:rsid w:val="006D6E50"/>
    <w:rsid w:val="006D78E6"/>
    <w:rsid w:val="006E0EB3"/>
    <w:rsid w:val="006F24E0"/>
    <w:rsid w:val="006F775B"/>
    <w:rsid w:val="00702BFF"/>
    <w:rsid w:val="00710F06"/>
    <w:rsid w:val="00710F52"/>
    <w:rsid w:val="00712E61"/>
    <w:rsid w:val="00724C65"/>
    <w:rsid w:val="00725399"/>
    <w:rsid w:val="00732206"/>
    <w:rsid w:val="00732A6B"/>
    <w:rsid w:val="007341AE"/>
    <w:rsid w:val="00741F26"/>
    <w:rsid w:val="007504AB"/>
    <w:rsid w:val="00750AA6"/>
    <w:rsid w:val="007533B0"/>
    <w:rsid w:val="0076569A"/>
    <w:rsid w:val="007662CE"/>
    <w:rsid w:val="00771121"/>
    <w:rsid w:val="00781B1C"/>
    <w:rsid w:val="00783846"/>
    <w:rsid w:val="00785B12"/>
    <w:rsid w:val="0078610A"/>
    <w:rsid w:val="00791585"/>
    <w:rsid w:val="00791D78"/>
    <w:rsid w:val="00795342"/>
    <w:rsid w:val="007A1F16"/>
    <w:rsid w:val="007C15A3"/>
    <w:rsid w:val="007C4738"/>
    <w:rsid w:val="007D0D45"/>
    <w:rsid w:val="007E3A58"/>
    <w:rsid w:val="007F1A94"/>
    <w:rsid w:val="007F2CE5"/>
    <w:rsid w:val="007F3C84"/>
    <w:rsid w:val="007F508C"/>
    <w:rsid w:val="007F5FF0"/>
    <w:rsid w:val="00802B85"/>
    <w:rsid w:val="008059AF"/>
    <w:rsid w:val="00821856"/>
    <w:rsid w:val="008228F3"/>
    <w:rsid w:val="00833021"/>
    <w:rsid w:val="00833928"/>
    <w:rsid w:val="00835FB7"/>
    <w:rsid w:val="00851FAA"/>
    <w:rsid w:val="00856617"/>
    <w:rsid w:val="008647C5"/>
    <w:rsid w:val="0086697A"/>
    <w:rsid w:val="00875061"/>
    <w:rsid w:val="00885341"/>
    <w:rsid w:val="00886DDC"/>
    <w:rsid w:val="008944F9"/>
    <w:rsid w:val="0089623E"/>
    <w:rsid w:val="00896F2C"/>
    <w:rsid w:val="008B4763"/>
    <w:rsid w:val="008C1F81"/>
    <w:rsid w:val="008C7480"/>
    <w:rsid w:val="008D1235"/>
    <w:rsid w:val="008D44F7"/>
    <w:rsid w:val="008D6592"/>
    <w:rsid w:val="008E3197"/>
    <w:rsid w:val="008F2975"/>
    <w:rsid w:val="00901439"/>
    <w:rsid w:val="00903076"/>
    <w:rsid w:val="009045F8"/>
    <w:rsid w:val="009060A9"/>
    <w:rsid w:val="009063B2"/>
    <w:rsid w:val="0091473D"/>
    <w:rsid w:val="009211D8"/>
    <w:rsid w:val="0092714C"/>
    <w:rsid w:val="00927785"/>
    <w:rsid w:val="0093324E"/>
    <w:rsid w:val="0093509F"/>
    <w:rsid w:val="009366AA"/>
    <w:rsid w:val="00936DB0"/>
    <w:rsid w:val="00937457"/>
    <w:rsid w:val="009415AA"/>
    <w:rsid w:val="00950ED7"/>
    <w:rsid w:val="00957550"/>
    <w:rsid w:val="00957568"/>
    <w:rsid w:val="0096387A"/>
    <w:rsid w:val="0096757D"/>
    <w:rsid w:val="0097114B"/>
    <w:rsid w:val="009725A5"/>
    <w:rsid w:val="00983A14"/>
    <w:rsid w:val="00985AE6"/>
    <w:rsid w:val="00991B86"/>
    <w:rsid w:val="00995070"/>
    <w:rsid w:val="009C295C"/>
    <w:rsid w:val="009C4591"/>
    <w:rsid w:val="009C5ED2"/>
    <w:rsid w:val="009D0E9B"/>
    <w:rsid w:val="009D1FB7"/>
    <w:rsid w:val="009D4376"/>
    <w:rsid w:val="009D5E2B"/>
    <w:rsid w:val="009F1B7C"/>
    <w:rsid w:val="00A0588B"/>
    <w:rsid w:val="00A06117"/>
    <w:rsid w:val="00A107D1"/>
    <w:rsid w:val="00A11333"/>
    <w:rsid w:val="00A12323"/>
    <w:rsid w:val="00A261E2"/>
    <w:rsid w:val="00A26219"/>
    <w:rsid w:val="00A26946"/>
    <w:rsid w:val="00A35D37"/>
    <w:rsid w:val="00A37F24"/>
    <w:rsid w:val="00A426CC"/>
    <w:rsid w:val="00A44D48"/>
    <w:rsid w:val="00A53522"/>
    <w:rsid w:val="00A70417"/>
    <w:rsid w:val="00A72425"/>
    <w:rsid w:val="00A73183"/>
    <w:rsid w:val="00A7526A"/>
    <w:rsid w:val="00A77285"/>
    <w:rsid w:val="00A8147B"/>
    <w:rsid w:val="00A81C21"/>
    <w:rsid w:val="00A85065"/>
    <w:rsid w:val="00A86C2F"/>
    <w:rsid w:val="00A934DA"/>
    <w:rsid w:val="00A96F93"/>
    <w:rsid w:val="00AA3443"/>
    <w:rsid w:val="00AB41D2"/>
    <w:rsid w:val="00AB4B2F"/>
    <w:rsid w:val="00AC02A4"/>
    <w:rsid w:val="00AC5D6A"/>
    <w:rsid w:val="00AD55D3"/>
    <w:rsid w:val="00AE15CF"/>
    <w:rsid w:val="00AE3831"/>
    <w:rsid w:val="00AF2B48"/>
    <w:rsid w:val="00AF32CC"/>
    <w:rsid w:val="00AF6D71"/>
    <w:rsid w:val="00B03B9C"/>
    <w:rsid w:val="00B03D88"/>
    <w:rsid w:val="00B1099D"/>
    <w:rsid w:val="00B212E6"/>
    <w:rsid w:val="00B21AE6"/>
    <w:rsid w:val="00B240E1"/>
    <w:rsid w:val="00B46218"/>
    <w:rsid w:val="00B4664B"/>
    <w:rsid w:val="00B51D5D"/>
    <w:rsid w:val="00B539D7"/>
    <w:rsid w:val="00B557DB"/>
    <w:rsid w:val="00B57795"/>
    <w:rsid w:val="00B60D38"/>
    <w:rsid w:val="00B6526A"/>
    <w:rsid w:val="00B6658B"/>
    <w:rsid w:val="00B66920"/>
    <w:rsid w:val="00B818B1"/>
    <w:rsid w:val="00BA23A8"/>
    <w:rsid w:val="00BC2FA2"/>
    <w:rsid w:val="00BD1EAE"/>
    <w:rsid w:val="00BD3AE8"/>
    <w:rsid w:val="00BE13A4"/>
    <w:rsid w:val="00BE1577"/>
    <w:rsid w:val="00BE30DF"/>
    <w:rsid w:val="00BE6CA8"/>
    <w:rsid w:val="00BF368B"/>
    <w:rsid w:val="00C06DB1"/>
    <w:rsid w:val="00C14E10"/>
    <w:rsid w:val="00C25902"/>
    <w:rsid w:val="00C35161"/>
    <w:rsid w:val="00C367D5"/>
    <w:rsid w:val="00C40AF0"/>
    <w:rsid w:val="00C43B4D"/>
    <w:rsid w:val="00C67781"/>
    <w:rsid w:val="00C678E3"/>
    <w:rsid w:val="00C67D17"/>
    <w:rsid w:val="00C67EAC"/>
    <w:rsid w:val="00C825B5"/>
    <w:rsid w:val="00C8590A"/>
    <w:rsid w:val="00C86470"/>
    <w:rsid w:val="00C90AFB"/>
    <w:rsid w:val="00C932FD"/>
    <w:rsid w:val="00C94CA4"/>
    <w:rsid w:val="00C96D4E"/>
    <w:rsid w:val="00C97914"/>
    <w:rsid w:val="00C97A47"/>
    <w:rsid w:val="00CA0012"/>
    <w:rsid w:val="00CA21EA"/>
    <w:rsid w:val="00CA732C"/>
    <w:rsid w:val="00CB3A30"/>
    <w:rsid w:val="00CB78BA"/>
    <w:rsid w:val="00CC7B0E"/>
    <w:rsid w:val="00CD605C"/>
    <w:rsid w:val="00CD7974"/>
    <w:rsid w:val="00CE2AC7"/>
    <w:rsid w:val="00CE2B47"/>
    <w:rsid w:val="00CE6086"/>
    <w:rsid w:val="00CF623B"/>
    <w:rsid w:val="00CF7F69"/>
    <w:rsid w:val="00D031B8"/>
    <w:rsid w:val="00D14583"/>
    <w:rsid w:val="00D20DDA"/>
    <w:rsid w:val="00D262F5"/>
    <w:rsid w:val="00D30C57"/>
    <w:rsid w:val="00D34A79"/>
    <w:rsid w:val="00D34CA4"/>
    <w:rsid w:val="00D41FE2"/>
    <w:rsid w:val="00D501C3"/>
    <w:rsid w:val="00D528DF"/>
    <w:rsid w:val="00D841E6"/>
    <w:rsid w:val="00D916C0"/>
    <w:rsid w:val="00D91A62"/>
    <w:rsid w:val="00D92777"/>
    <w:rsid w:val="00D95ECC"/>
    <w:rsid w:val="00DA2052"/>
    <w:rsid w:val="00DA4E6E"/>
    <w:rsid w:val="00DA6868"/>
    <w:rsid w:val="00DB207D"/>
    <w:rsid w:val="00DB4462"/>
    <w:rsid w:val="00DB702C"/>
    <w:rsid w:val="00DB73A7"/>
    <w:rsid w:val="00DC178A"/>
    <w:rsid w:val="00DC7DCC"/>
    <w:rsid w:val="00DD63B4"/>
    <w:rsid w:val="00DD7316"/>
    <w:rsid w:val="00DF3A9E"/>
    <w:rsid w:val="00DF582D"/>
    <w:rsid w:val="00DF673E"/>
    <w:rsid w:val="00DF714A"/>
    <w:rsid w:val="00E017BD"/>
    <w:rsid w:val="00E12E3E"/>
    <w:rsid w:val="00E14492"/>
    <w:rsid w:val="00E271E0"/>
    <w:rsid w:val="00E32A47"/>
    <w:rsid w:val="00E37137"/>
    <w:rsid w:val="00E377BC"/>
    <w:rsid w:val="00E40C95"/>
    <w:rsid w:val="00E40DCD"/>
    <w:rsid w:val="00E412A3"/>
    <w:rsid w:val="00E42244"/>
    <w:rsid w:val="00E4235E"/>
    <w:rsid w:val="00E423E2"/>
    <w:rsid w:val="00E53874"/>
    <w:rsid w:val="00E57EF1"/>
    <w:rsid w:val="00E64DE9"/>
    <w:rsid w:val="00E7239F"/>
    <w:rsid w:val="00E728B0"/>
    <w:rsid w:val="00E74573"/>
    <w:rsid w:val="00E8431A"/>
    <w:rsid w:val="00E8653F"/>
    <w:rsid w:val="00EA08B7"/>
    <w:rsid w:val="00EA44FD"/>
    <w:rsid w:val="00EB1059"/>
    <w:rsid w:val="00EC0B53"/>
    <w:rsid w:val="00EC22FC"/>
    <w:rsid w:val="00EC3705"/>
    <w:rsid w:val="00EC78B9"/>
    <w:rsid w:val="00ED1AA5"/>
    <w:rsid w:val="00EE14B4"/>
    <w:rsid w:val="00EE644D"/>
    <w:rsid w:val="00EF0558"/>
    <w:rsid w:val="00EF0C53"/>
    <w:rsid w:val="00EF212E"/>
    <w:rsid w:val="00EF5AF4"/>
    <w:rsid w:val="00EF64CA"/>
    <w:rsid w:val="00EF66E3"/>
    <w:rsid w:val="00EF6B44"/>
    <w:rsid w:val="00EF75A3"/>
    <w:rsid w:val="00F04B8E"/>
    <w:rsid w:val="00F14586"/>
    <w:rsid w:val="00F236B4"/>
    <w:rsid w:val="00F36E28"/>
    <w:rsid w:val="00F37EC8"/>
    <w:rsid w:val="00F402ED"/>
    <w:rsid w:val="00F40BCC"/>
    <w:rsid w:val="00F53E8A"/>
    <w:rsid w:val="00F60736"/>
    <w:rsid w:val="00F619B5"/>
    <w:rsid w:val="00F632F7"/>
    <w:rsid w:val="00F63FCE"/>
    <w:rsid w:val="00F669D5"/>
    <w:rsid w:val="00F67D7B"/>
    <w:rsid w:val="00F713B9"/>
    <w:rsid w:val="00F82343"/>
    <w:rsid w:val="00F86074"/>
    <w:rsid w:val="00F86741"/>
    <w:rsid w:val="00F92A57"/>
    <w:rsid w:val="00FA1C93"/>
    <w:rsid w:val="00FA28C9"/>
    <w:rsid w:val="00FA2BEC"/>
    <w:rsid w:val="00FA4E33"/>
    <w:rsid w:val="00FB5D10"/>
    <w:rsid w:val="00FB6207"/>
    <w:rsid w:val="00FC1A37"/>
    <w:rsid w:val="00FC4EDC"/>
    <w:rsid w:val="00FC684F"/>
    <w:rsid w:val="00FD368B"/>
    <w:rsid w:val="00FE45C0"/>
    <w:rsid w:val="00FE5A6B"/>
    <w:rsid w:val="00FF4C4D"/>
    <w:rsid w:val="038A739F"/>
    <w:rsid w:val="04077B2C"/>
    <w:rsid w:val="05620307"/>
    <w:rsid w:val="063B4749"/>
    <w:rsid w:val="086C33C5"/>
    <w:rsid w:val="08A970A3"/>
    <w:rsid w:val="09A9622F"/>
    <w:rsid w:val="0B460813"/>
    <w:rsid w:val="0E136DED"/>
    <w:rsid w:val="0E2B7C36"/>
    <w:rsid w:val="137C3345"/>
    <w:rsid w:val="146843C1"/>
    <w:rsid w:val="1738396A"/>
    <w:rsid w:val="17DF56D3"/>
    <w:rsid w:val="17F71908"/>
    <w:rsid w:val="18990C36"/>
    <w:rsid w:val="1A924222"/>
    <w:rsid w:val="1B917C12"/>
    <w:rsid w:val="23C9540A"/>
    <w:rsid w:val="24764A27"/>
    <w:rsid w:val="2885327D"/>
    <w:rsid w:val="28A10F0A"/>
    <w:rsid w:val="2D7F518A"/>
    <w:rsid w:val="2E175D6F"/>
    <w:rsid w:val="32156F11"/>
    <w:rsid w:val="343640F0"/>
    <w:rsid w:val="39BA286F"/>
    <w:rsid w:val="3D386038"/>
    <w:rsid w:val="3DC20355"/>
    <w:rsid w:val="3DD90F8D"/>
    <w:rsid w:val="40D51873"/>
    <w:rsid w:val="41934B28"/>
    <w:rsid w:val="48137EDD"/>
    <w:rsid w:val="4BCD1D07"/>
    <w:rsid w:val="4CF458BA"/>
    <w:rsid w:val="503073FD"/>
    <w:rsid w:val="585F0ED4"/>
    <w:rsid w:val="671F33C4"/>
    <w:rsid w:val="67E82309"/>
    <w:rsid w:val="695E4C23"/>
    <w:rsid w:val="6ABC7E5F"/>
    <w:rsid w:val="6C720F67"/>
    <w:rsid w:val="6F04600A"/>
    <w:rsid w:val="6FC16EDE"/>
    <w:rsid w:val="70643C60"/>
    <w:rsid w:val="7199704D"/>
    <w:rsid w:val="73271D24"/>
    <w:rsid w:val="74107581"/>
    <w:rsid w:val="77C011B9"/>
    <w:rsid w:val="79B2093D"/>
    <w:rsid w:val="79B26766"/>
    <w:rsid w:val="7D6972A1"/>
    <w:rsid w:val="7DE27D32"/>
    <w:rsid w:val="7E5E77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39" w:unhideWhenUsed="0" w:qFormat="1"/>
    <w:lsdException w:name="No Spacing" w:semiHidden="0" w:unhideWhenUsed="0" w:qFormat="1"/>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21"/>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character" w:customStyle="1" w:styleId="Char">
    <w:name w:val="批注文字 Char"/>
    <w:link w:val="a3"/>
    <w:uiPriority w:val="99"/>
    <w:semiHidden/>
    <w:rPr>
      <w:rFonts w:ascii="Times New Roman" w:eastAsia="宋体" w:hAnsi="Times New Roman" w:cs="Times New Roman"/>
      <w:kern w:val="2"/>
      <w:sz w:val="21"/>
      <w:szCs w:val="20"/>
    </w:rPr>
  </w:style>
  <w:style w:type="paragraph" w:styleId="a4">
    <w:name w:val="Balloon Text"/>
    <w:basedOn w:val="a"/>
    <w:link w:val="Char0"/>
    <w:uiPriority w:val="99"/>
    <w:unhideWhenUsed/>
    <w:rPr>
      <w:rFonts w:ascii="Microsoft YaHei UI" w:eastAsia="Microsoft YaHei UI"/>
      <w:sz w:val="18"/>
      <w:szCs w:val="18"/>
    </w:rPr>
  </w:style>
  <w:style w:type="character" w:customStyle="1" w:styleId="Char0">
    <w:name w:val="批注框文本 Char"/>
    <w:link w:val="a4"/>
    <w:uiPriority w:val="99"/>
    <w:semiHidden/>
    <w:rPr>
      <w:rFonts w:ascii="Microsoft YaHei UI" w:eastAsia="Microsoft YaHei UI" w:hAnsi="Times New Roman" w:cs="Times New Roman"/>
      <w:kern w:val="2"/>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character" w:customStyle="1" w:styleId="Char1">
    <w:name w:val="页脚 Char"/>
    <w:link w:val="a5"/>
    <w:uiPriority w:val="99"/>
    <w:qFormat/>
    <w:rPr>
      <w:rFonts w:ascii="Times New Roman" w:eastAsia="宋体" w:hAnsi="Times New Roman" w:cs="Times New Roman"/>
      <w:kern w:val="2"/>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qFormat/>
    <w:rPr>
      <w:rFonts w:ascii="Times New Roman" w:eastAsia="宋体" w:hAnsi="Times New Roman" w:cs="Times New Roman"/>
      <w:kern w:val="2"/>
      <w:sz w:val="18"/>
      <w:szCs w:val="18"/>
    </w:rPr>
  </w:style>
  <w:style w:type="paragraph" w:styleId="a7">
    <w:name w:val="annotation subject"/>
    <w:basedOn w:val="a3"/>
    <w:next w:val="a3"/>
    <w:link w:val="Char3"/>
    <w:uiPriority w:val="99"/>
    <w:unhideWhenUsed/>
    <w:rPr>
      <w:b/>
      <w:bCs/>
    </w:rPr>
  </w:style>
  <w:style w:type="character" w:customStyle="1" w:styleId="Char3">
    <w:name w:val="批注主题 Char"/>
    <w:link w:val="a7"/>
    <w:uiPriority w:val="99"/>
    <w:semiHidden/>
    <w:qFormat/>
    <w:rPr>
      <w:rFonts w:ascii="Times New Roman" w:eastAsia="宋体" w:hAnsi="Times New Roman" w:cs="Times New Roman"/>
      <w:b/>
      <w:bCs/>
      <w:kern w:val="2"/>
      <w:sz w:val="21"/>
      <w:szCs w:val="20"/>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nhideWhenUsed/>
    <w:rPr>
      <w:sz w:val="21"/>
      <w:szCs w:val="21"/>
    </w:rPr>
  </w:style>
  <w:style w:type="character" w:customStyle="1" w:styleId="aa">
    <w:name w:val="批注文字 字符"/>
    <w:uiPriority w:val="99"/>
    <w:semiHidden/>
    <w:rPr>
      <w:rFonts w:ascii="Times New Roman" w:eastAsia="宋体" w:hAnsi="Times New Roman" w:cs="Times New Roman"/>
      <w:kern w:val="2"/>
      <w:sz w:val="20"/>
      <w:szCs w:val="20"/>
    </w:rPr>
  </w:style>
  <w:style w:type="paragraph" w:customStyle="1" w:styleId="TableParagraph">
    <w:name w:val="Table Paragraph"/>
    <w:basedOn w:val="a"/>
    <w:pPr>
      <w:autoSpaceDE w:val="0"/>
      <w:autoSpaceDN w:val="0"/>
      <w:spacing w:before="91"/>
      <w:ind w:left="320"/>
      <w:jc w:val="center"/>
    </w:pPr>
    <w:rPr>
      <w:rFonts w:ascii="宋体" w:hAnsi="宋体" w:cs="宋体"/>
      <w:kern w:val="0"/>
      <w:sz w:val="22"/>
      <w:szCs w:val="22"/>
    </w:rPr>
  </w:style>
  <w:style w:type="paragraph" w:customStyle="1" w:styleId="Revision">
    <w:name w:val="Revision"/>
    <w:uiPriority w:val="99"/>
    <w:semiHidden/>
    <w:rPr>
      <w:rFonts w:ascii="Times New Roman" w:eastAsia="宋体" w:hAnsi="Times New Roman"/>
      <w:kern w:val="2"/>
      <w:sz w:val="21"/>
    </w:rPr>
  </w:style>
  <w:style w:type="paragraph" w:customStyle="1" w:styleId="-11">
    <w:name w:val="彩色底纹 - 着色 11"/>
    <w:uiPriority w:val="99"/>
    <w:unhideWhenUsed/>
    <w:rPr>
      <w:rFonts w:ascii="Times New Roman" w:eastAsia="宋体" w:hAnsi="Times New Roman"/>
      <w:kern w:val="2"/>
      <w:sz w:val="21"/>
    </w:rPr>
  </w:style>
  <w:style w:type="paragraph" w:styleId="ab">
    <w:name w:val="Revision"/>
    <w:uiPriority w:val="71"/>
    <w:rPr>
      <w:rFonts w:ascii="Times New Roman" w:eastAsia="宋体" w:hAnsi="Times New Roman"/>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1976</Characters>
  <Application>Microsoft Office Word</Application>
  <DocSecurity>4</DocSecurity>
  <Lines>16</Lines>
  <Paragraphs>4</Paragraphs>
  <ScaleCrop>false</ScaleCrop>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吴怡萌</dc:creator>
  <cp:keywords/>
  <cp:lastModifiedBy>ZHONGM</cp:lastModifiedBy>
  <cp:revision>2</cp:revision>
  <cp:lastPrinted>2022-03-18T02:28:00Z</cp:lastPrinted>
  <dcterms:created xsi:type="dcterms:W3CDTF">2024-01-17T16:01:00Z</dcterms:created>
  <dcterms:modified xsi:type="dcterms:W3CDTF">2024-01-17T16:01:00Z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51AC7D37F3E641EE8DFE17D0EFA18AFF_13</vt:lpwstr>
  </property>
</Properties>
</file>