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22" w:rsidRDefault="004B5922" w:rsidP="004B5922">
      <w:pPr>
        <w:tabs>
          <w:tab w:val="left" w:pos="2268"/>
        </w:tabs>
        <w:overflowPunct w:val="0"/>
        <w:autoSpaceDE w:val="0"/>
        <w:autoSpaceDN w:val="0"/>
        <w:snapToGrid w:val="0"/>
        <w:spacing w:line="360" w:lineRule="auto"/>
        <w:jc w:val="center"/>
        <w:rPr>
          <w:rFonts w:ascii="宋体" w:hAnsi="宋体" w:hint="eastAsia"/>
          <w:sz w:val="28"/>
          <w:szCs w:val="28"/>
        </w:rPr>
      </w:pPr>
    </w:p>
    <w:p w:rsidR="004B5922" w:rsidRDefault="004B5922" w:rsidP="004B5922">
      <w:pPr>
        <w:tabs>
          <w:tab w:val="left" w:pos="2268"/>
        </w:tabs>
        <w:overflowPunct w:val="0"/>
        <w:autoSpaceDE w:val="0"/>
        <w:autoSpaceDN w:val="0"/>
        <w:snapToGrid w:val="0"/>
        <w:spacing w:line="360" w:lineRule="auto"/>
        <w:jc w:val="center"/>
        <w:rPr>
          <w:rFonts w:ascii="宋体" w:hAnsi="宋体" w:hint="eastAsia"/>
          <w:sz w:val="28"/>
          <w:szCs w:val="28"/>
        </w:rPr>
      </w:pPr>
    </w:p>
    <w:p w:rsidR="003E6510" w:rsidRDefault="003E6510" w:rsidP="004B5922">
      <w:pPr>
        <w:tabs>
          <w:tab w:val="left" w:pos="2268"/>
        </w:tabs>
        <w:overflowPunct w:val="0"/>
        <w:autoSpaceDE w:val="0"/>
        <w:autoSpaceDN w:val="0"/>
        <w:snapToGrid w:val="0"/>
        <w:spacing w:line="360" w:lineRule="auto"/>
        <w:jc w:val="center"/>
        <w:rPr>
          <w:rFonts w:ascii="宋体" w:hAnsi="宋体" w:hint="eastAsia"/>
          <w:sz w:val="28"/>
          <w:szCs w:val="28"/>
        </w:rPr>
      </w:pPr>
    </w:p>
    <w:p w:rsidR="003E6510" w:rsidRDefault="003E6510" w:rsidP="004B5922">
      <w:pPr>
        <w:tabs>
          <w:tab w:val="left" w:pos="2268"/>
        </w:tabs>
        <w:overflowPunct w:val="0"/>
        <w:autoSpaceDE w:val="0"/>
        <w:autoSpaceDN w:val="0"/>
        <w:snapToGrid w:val="0"/>
        <w:spacing w:line="360" w:lineRule="auto"/>
        <w:jc w:val="center"/>
        <w:rPr>
          <w:rFonts w:ascii="宋体" w:hAnsi="宋体" w:hint="eastAsia"/>
          <w:sz w:val="28"/>
          <w:szCs w:val="28"/>
        </w:rPr>
      </w:pPr>
    </w:p>
    <w:p w:rsidR="003E6510" w:rsidRDefault="003E6510" w:rsidP="004B5922">
      <w:pPr>
        <w:tabs>
          <w:tab w:val="left" w:pos="2268"/>
        </w:tabs>
        <w:overflowPunct w:val="0"/>
        <w:autoSpaceDE w:val="0"/>
        <w:autoSpaceDN w:val="0"/>
        <w:snapToGrid w:val="0"/>
        <w:spacing w:line="360" w:lineRule="auto"/>
        <w:jc w:val="center"/>
        <w:rPr>
          <w:rFonts w:ascii="宋体" w:hAnsi="宋体" w:hint="eastAsia"/>
          <w:sz w:val="28"/>
          <w:szCs w:val="28"/>
        </w:rPr>
      </w:pPr>
    </w:p>
    <w:p w:rsidR="000B1016" w:rsidRDefault="0040404B" w:rsidP="000B1016">
      <w:pPr>
        <w:spacing w:line="360" w:lineRule="auto"/>
        <w:jc w:val="center"/>
        <w:rPr>
          <w:rFonts w:hAnsi="宋体"/>
          <w:b/>
          <w:color w:val="000000"/>
          <w:sz w:val="32"/>
          <w:szCs w:val="32"/>
        </w:rPr>
      </w:pPr>
      <w:r>
        <w:rPr>
          <w:rFonts w:hAnsi="宋体"/>
          <w:b/>
          <w:color w:val="000000"/>
          <w:sz w:val="32"/>
          <w:szCs w:val="32"/>
        </w:rPr>
        <w:t>华夏粤港澳大湾区创新</w:t>
      </w:r>
      <w:r>
        <w:rPr>
          <w:rFonts w:hAnsi="宋体"/>
          <w:b/>
          <w:color w:val="000000"/>
          <w:sz w:val="32"/>
          <w:szCs w:val="32"/>
        </w:rPr>
        <w:t>100</w:t>
      </w:r>
      <w:r>
        <w:rPr>
          <w:rFonts w:hAnsi="宋体"/>
          <w:b/>
          <w:color w:val="000000"/>
          <w:sz w:val="32"/>
          <w:szCs w:val="32"/>
        </w:rPr>
        <w:t>交易型开放式指数证券投资基金</w:t>
      </w:r>
    </w:p>
    <w:p w:rsidR="002E2E3D" w:rsidRPr="00672048" w:rsidRDefault="002E2E3D" w:rsidP="000B1016">
      <w:pPr>
        <w:spacing w:line="360" w:lineRule="auto"/>
        <w:jc w:val="center"/>
        <w:rPr>
          <w:rFonts w:hAnsi="宋体" w:hint="eastAsia"/>
          <w:b/>
          <w:color w:val="000000"/>
          <w:sz w:val="32"/>
          <w:szCs w:val="32"/>
        </w:rPr>
      </w:pPr>
      <w:r w:rsidRPr="00672048">
        <w:rPr>
          <w:rFonts w:hAnsi="宋体" w:hint="eastAsia"/>
          <w:b/>
          <w:color w:val="000000"/>
          <w:sz w:val="32"/>
          <w:szCs w:val="32"/>
        </w:rPr>
        <w:t>清算报告</w:t>
      </w:r>
    </w:p>
    <w:p w:rsidR="002E2E3D" w:rsidRPr="00602244" w:rsidRDefault="002E2E3D">
      <w:pPr>
        <w:rPr>
          <w:rFonts w:ascii="黑体" w:eastAsia="黑体" w:hAnsi="黑体" w:cs="Arial"/>
          <w:sz w:val="28"/>
          <w:szCs w:val="28"/>
        </w:rPr>
      </w:pPr>
    </w:p>
    <w:p w:rsidR="002E2E3D" w:rsidRPr="00602244" w:rsidRDefault="002E2E3D">
      <w:pPr>
        <w:rPr>
          <w:rFonts w:ascii="黑体" w:eastAsia="黑体" w:hAnsi="黑体" w:cs="Arial"/>
          <w:sz w:val="28"/>
          <w:szCs w:val="28"/>
        </w:rPr>
      </w:pPr>
    </w:p>
    <w:p w:rsidR="002E2E3D" w:rsidRPr="00602244" w:rsidRDefault="002E2E3D">
      <w:pPr>
        <w:rPr>
          <w:rFonts w:ascii="黑体" w:eastAsia="黑体" w:hAnsi="黑体" w:cs="Arial"/>
          <w:sz w:val="28"/>
          <w:szCs w:val="28"/>
        </w:rPr>
      </w:pPr>
    </w:p>
    <w:p w:rsidR="00D21EC6" w:rsidRDefault="00D21EC6" w:rsidP="00D21EC6">
      <w:pPr>
        <w:pStyle w:val="Default"/>
        <w:rPr>
          <w:rFonts w:hint="eastAsia"/>
        </w:rPr>
      </w:pPr>
    </w:p>
    <w:p w:rsidR="004B5922" w:rsidRDefault="004B5922" w:rsidP="00D21EC6">
      <w:pPr>
        <w:pStyle w:val="Default"/>
        <w:rPr>
          <w:rFonts w:hint="eastAsia"/>
        </w:rPr>
      </w:pPr>
    </w:p>
    <w:p w:rsidR="004B5922" w:rsidRDefault="004B5922" w:rsidP="00D21EC6">
      <w:pPr>
        <w:pStyle w:val="Default"/>
        <w:rPr>
          <w:rFonts w:hint="eastAsia"/>
        </w:rPr>
      </w:pPr>
    </w:p>
    <w:p w:rsidR="004B5922" w:rsidRDefault="004B5922" w:rsidP="00D21EC6">
      <w:pPr>
        <w:pStyle w:val="Default"/>
        <w:rPr>
          <w:rFonts w:hint="eastAsia"/>
        </w:rPr>
      </w:pPr>
    </w:p>
    <w:p w:rsidR="004B5922" w:rsidRDefault="004B5922" w:rsidP="00D21EC6">
      <w:pPr>
        <w:pStyle w:val="Default"/>
        <w:rPr>
          <w:rFonts w:hint="eastAsia"/>
        </w:rPr>
      </w:pPr>
    </w:p>
    <w:p w:rsidR="004B5922" w:rsidRDefault="004B5922" w:rsidP="00D21EC6">
      <w:pPr>
        <w:pStyle w:val="Default"/>
        <w:rPr>
          <w:rFonts w:hint="eastAsia"/>
        </w:rPr>
      </w:pPr>
    </w:p>
    <w:p w:rsidR="004B5922" w:rsidRDefault="004B5922" w:rsidP="00D21EC6">
      <w:pPr>
        <w:pStyle w:val="Default"/>
      </w:pPr>
    </w:p>
    <w:p w:rsidR="00D21EC6" w:rsidRDefault="00D21EC6" w:rsidP="00D21EC6">
      <w:pPr>
        <w:pStyle w:val="Default"/>
        <w:rPr>
          <w:rFonts w:cs="Angsana New"/>
          <w:color w:val="auto"/>
        </w:rPr>
      </w:pPr>
    </w:p>
    <w:p w:rsidR="00D21EC6" w:rsidRDefault="00D21EC6" w:rsidP="003D4D89">
      <w:pPr>
        <w:pStyle w:val="Default"/>
        <w:spacing w:line="360" w:lineRule="auto"/>
        <w:ind w:leftChars="946" w:left="1987"/>
        <w:rPr>
          <w:rFonts w:cs="Angsana New"/>
          <w:color w:val="auto"/>
          <w:sz w:val="28"/>
          <w:szCs w:val="28"/>
        </w:rPr>
      </w:pPr>
      <w:r>
        <w:rPr>
          <w:rFonts w:cs="Angsana New"/>
          <w:color w:val="auto"/>
          <w:sz w:val="28"/>
          <w:szCs w:val="28"/>
        </w:rPr>
        <w:t>基金管理人：</w:t>
      </w:r>
      <w:r>
        <w:rPr>
          <w:rFonts w:cs="Angsana New" w:hint="eastAsia"/>
          <w:color w:val="auto"/>
          <w:sz w:val="28"/>
          <w:szCs w:val="28"/>
        </w:rPr>
        <w:t>华夏</w:t>
      </w:r>
      <w:r>
        <w:rPr>
          <w:rFonts w:cs="Angsana New"/>
          <w:color w:val="auto"/>
          <w:sz w:val="28"/>
          <w:szCs w:val="28"/>
        </w:rPr>
        <w:t>基金管理有限公司</w:t>
      </w:r>
    </w:p>
    <w:p w:rsidR="00D21EC6" w:rsidRDefault="00D21EC6" w:rsidP="003D4D89">
      <w:pPr>
        <w:pStyle w:val="Default"/>
        <w:spacing w:line="360" w:lineRule="auto"/>
        <w:ind w:leftChars="946" w:left="1987"/>
        <w:rPr>
          <w:rFonts w:cs="Angsana New" w:hint="eastAsia"/>
          <w:color w:val="auto"/>
          <w:sz w:val="28"/>
          <w:szCs w:val="28"/>
        </w:rPr>
      </w:pPr>
      <w:r w:rsidRPr="00903847">
        <w:rPr>
          <w:rFonts w:cs="Angsana New"/>
          <w:color w:val="auto"/>
          <w:sz w:val="28"/>
          <w:szCs w:val="28"/>
        </w:rPr>
        <w:t>基金托管人：</w:t>
      </w:r>
      <w:r w:rsidR="0040404B" w:rsidRPr="0040404B">
        <w:rPr>
          <w:rFonts w:cs="Angsana New" w:hint="eastAsia"/>
          <w:color w:val="auto"/>
          <w:sz w:val="28"/>
          <w:szCs w:val="28"/>
        </w:rPr>
        <w:t>招商银行股份有限公司</w:t>
      </w:r>
    </w:p>
    <w:p w:rsidR="00BF61C7" w:rsidRDefault="00BF61C7" w:rsidP="003D4D89">
      <w:pPr>
        <w:pStyle w:val="Default"/>
        <w:spacing w:line="360" w:lineRule="auto"/>
        <w:ind w:leftChars="946" w:left="1987"/>
        <w:rPr>
          <w:rFonts w:cs="Angsana New" w:hint="eastAsia"/>
          <w:color w:val="auto"/>
          <w:sz w:val="28"/>
          <w:szCs w:val="28"/>
        </w:rPr>
      </w:pPr>
      <w:r>
        <w:rPr>
          <w:rFonts w:cs="Angsana New" w:hint="eastAsia"/>
          <w:color w:val="auto"/>
          <w:sz w:val="28"/>
          <w:szCs w:val="28"/>
        </w:rPr>
        <w:t>清算报告出具日：</w:t>
      </w:r>
      <w:r w:rsidR="00B8434D">
        <w:rPr>
          <w:rFonts w:ascii="Times New Roman" w:cs="Times New Roman"/>
          <w:spacing w:val="20"/>
          <w:sz w:val="28"/>
          <w:szCs w:val="28"/>
        </w:rPr>
        <w:t>202</w:t>
      </w:r>
      <w:r w:rsidR="0040404B">
        <w:rPr>
          <w:rFonts w:ascii="Times New Roman" w:cs="Times New Roman"/>
          <w:spacing w:val="20"/>
          <w:sz w:val="28"/>
          <w:szCs w:val="28"/>
        </w:rPr>
        <w:t>4</w:t>
      </w:r>
      <w:r w:rsidR="00B8434D">
        <w:rPr>
          <w:rFonts w:ascii="Times New Roman" w:cs="Times New Roman"/>
          <w:spacing w:val="20"/>
          <w:sz w:val="28"/>
          <w:szCs w:val="28"/>
        </w:rPr>
        <w:t>年</w:t>
      </w:r>
      <w:r w:rsidR="00B8434D">
        <w:rPr>
          <w:rFonts w:ascii="Times New Roman" w:cs="Times New Roman"/>
          <w:spacing w:val="20"/>
          <w:sz w:val="28"/>
          <w:szCs w:val="28"/>
        </w:rPr>
        <w:t>1</w:t>
      </w:r>
      <w:r w:rsidR="00B8434D">
        <w:rPr>
          <w:rFonts w:ascii="Times New Roman" w:cs="Times New Roman"/>
          <w:spacing w:val="20"/>
          <w:sz w:val="28"/>
          <w:szCs w:val="28"/>
        </w:rPr>
        <w:t>月</w:t>
      </w:r>
      <w:r w:rsidR="00D062CE">
        <w:rPr>
          <w:rFonts w:ascii="Times New Roman" w:cs="Times New Roman"/>
          <w:spacing w:val="20"/>
          <w:sz w:val="28"/>
          <w:szCs w:val="28"/>
        </w:rPr>
        <w:t>16</w:t>
      </w:r>
      <w:r w:rsidR="00B8434D">
        <w:rPr>
          <w:rFonts w:ascii="Times New Roman" w:cs="Times New Roman"/>
          <w:spacing w:val="20"/>
          <w:sz w:val="28"/>
          <w:szCs w:val="28"/>
        </w:rPr>
        <w:t>日</w:t>
      </w:r>
    </w:p>
    <w:p w:rsidR="007E6093" w:rsidRPr="00C01AB1" w:rsidRDefault="00BF61C7" w:rsidP="003D4D89">
      <w:pPr>
        <w:pStyle w:val="Default"/>
        <w:spacing w:line="360" w:lineRule="auto"/>
        <w:ind w:leftChars="946" w:left="1987"/>
        <w:rPr>
          <w:rFonts w:ascii="Times New Roman" w:cs="Times New Roman"/>
          <w:spacing w:val="20"/>
          <w:sz w:val="28"/>
          <w:szCs w:val="28"/>
        </w:rPr>
      </w:pPr>
      <w:r>
        <w:rPr>
          <w:rFonts w:cs="Angsana New" w:hint="eastAsia"/>
          <w:color w:val="auto"/>
          <w:sz w:val="28"/>
          <w:szCs w:val="28"/>
        </w:rPr>
        <w:t>清算报告公告日：</w:t>
      </w:r>
      <w:r w:rsidR="00B8434D">
        <w:rPr>
          <w:rFonts w:ascii="Times New Roman" w:cs="Times New Roman"/>
          <w:spacing w:val="20"/>
          <w:sz w:val="28"/>
          <w:szCs w:val="28"/>
        </w:rPr>
        <w:t>202</w:t>
      </w:r>
      <w:r w:rsidR="0040404B">
        <w:rPr>
          <w:rFonts w:ascii="Times New Roman" w:cs="Times New Roman"/>
          <w:spacing w:val="20"/>
          <w:sz w:val="28"/>
          <w:szCs w:val="28"/>
        </w:rPr>
        <w:t>4</w:t>
      </w:r>
      <w:r w:rsidR="00B8434D">
        <w:rPr>
          <w:rFonts w:ascii="Times New Roman" w:cs="Times New Roman"/>
          <w:spacing w:val="20"/>
          <w:sz w:val="28"/>
          <w:szCs w:val="28"/>
        </w:rPr>
        <w:t>年</w:t>
      </w:r>
      <w:r w:rsidR="00B8434D">
        <w:rPr>
          <w:rFonts w:ascii="Times New Roman" w:cs="Times New Roman"/>
          <w:spacing w:val="20"/>
          <w:sz w:val="28"/>
          <w:szCs w:val="28"/>
        </w:rPr>
        <w:t>1</w:t>
      </w:r>
      <w:r w:rsidR="00B8434D">
        <w:rPr>
          <w:rFonts w:ascii="Times New Roman" w:cs="Times New Roman"/>
          <w:spacing w:val="20"/>
          <w:sz w:val="28"/>
          <w:szCs w:val="28"/>
        </w:rPr>
        <w:t>月</w:t>
      </w:r>
      <w:r w:rsidR="0040404B">
        <w:rPr>
          <w:rFonts w:ascii="Times New Roman" w:cs="Times New Roman"/>
          <w:spacing w:val="20"/>
          <w:sz w:val="28"/>
          <w:szCs w:val="28"/>
        </w:rPr>
        <w:t>18</w:t>
      </w:r>
      <w:r w:rsidR="00B8434D">
        <w:rPr>
          <w:rFonts w:ascii="Times New Roman" w:cs="Times New Roman"/>
          <w:spacing w:val="20"/>
          <w:sz w:val="28"/>
          <w:szCs w:val="28"/>
        </w:rPr>
        <w:t>日</w:t>
      </w:r>
    </w:p>
    <w:p w:rsidR="002E2E3D" w:rsidRPr="003E6510" w:rsidRDefault="000F6087" w:rsidP="003E6510">
      <w:pPr>
        <w:spacing w:before="100" w:beforeAutospacing="1" w:after="100" w:afterAutospacing="1" w:line="360" w:lineRule="auto"/>
        <w:jc w:val="center"/>
        <w:rPr>
          <w:rFonts w:ascii="宋体" w:hAnsi="宋体" w:cs="Arial"/>
          <w:b/>
          <w:bCs/>
          <w:sz w:val="28"/>
          <w:szCs w:val="28"/>
        </w:rPr>
      </w:pPr>
      <w:r>
        <w:rPr>
          <w:rFonts w:ascii="黑体" w:eastAsia="黑体" w:hAnsi="黑体" w:cs="Arial"/>
          <w:sz w:val="28"/>
          <w:szCs w:val="28"/>
        </w:rPr>
        <w:br w:type="page"/>
      </w:r>
      <w:r w:rsidR="0089481E" w:rsidRPr="003E6510">
        <w:rPr>
          <w:rFonts w:ascii="宋体" w:hAnsi="宋体" w:cs="Arial" w:hint="eastAsia"/>
          <w:b/>
          <w:bCs/>
          <w:sz w:val="28"/>
          <w:szCs w:val="28"/>
        </w:rPr>
        <w:lastRenderedPageBreak/>
        <w:t>目录</w:t>
      </w:r>
    </w:p>
    <w:p w:rsidR="00415716" w:rsidRDefault="000F6087">
      <w:pPr>
        <w:pStyle w:val="10"/>
        <w:rPr>
          <w:rFonts w:ascii="Calibri" w:hAnsi="Calibri" w:cs="Cordia New"/>
          <w:noProof/>
          <w:szCs w:val="28"/>
          <w:lang w:bidi="th-TH"/>
        </w:rPr>
      </w:pPr>
      <w:r>
        <w:rPr>
          <w:rFonts w:ascii="黑体" w:eastAsia="黑体" w:hAnsi="黑体" w:cs="Arial"/>
          <w:sz w:val="28"/>
          <w:szCs w:val="28"/>
        </w:rPr>
        <w:fldChar w:fldCharType="begin"/>
      </w:r>
      <w:r>
        <w:rPr>
          <w:rFonts w:ascii="黑体" w:eastAsia="黑体" w:hAnsi="黑体" w:cs="Arial"/>
          <w:sz w:val="28"/>
          <w:szCs w:val="28"/>
        </w:rPr>
        <w:instrText xml:space="preserve"> TOC \o "1-1" \h \z \u </w:instrText>
      </w:r>
      <w:r>
        <w:rPr>
          <w:rFonts w:ascii="黑体" w:eastAsia="黑体" w:hAnsi="黑体" w:cs="Arial"/>
          <w:sz w:val="28"/>
          <w:szCs w:val="28"/>
        </w:rPr>
        <w:fldChar w:fldCharType="separate"/>
      </w:r>
      <w:hyperlink w:anchor="_Toc447194467" w:history="1">
        <w:r w:rsidR="00415716" w:rsidRPr="007351A9">
          <w:rPr>
            <w:rStyle w:val="af"/>
            <w:rFonts w:hint="eastAsia"/>
            <w:noProof/>
          </w:rPr>
          <w:t>重要提示</w:t>
        </w:r>
        <w:r w:rsidR="00415716">
          <w:rPr>
            <w:noProof/>
            <w:webHidden/>
          </w:rPr>
          <w:tab/>
        </w:r>
        <w:r w:rsidR="00415716">
          <w:rPr>
            <w:noProof/>
            <w:webHidden/>
          </w:rPr>
          <w:fldChar w:fldCharType="begin"/>
        </w:r>
        <w:r w:rsidR="00415716">
          <w:rPr>
            <w:noProof/>
            <w:webHidden/>
          </w:rPr>
          <w:instrText xml:space="preserve"> PAGEREF _Toc447194467 \h </w:instrText>
        </w:r>
        <w:r w:rsidR="00415716">
          <w:rPr>
            <w:noProof/>
            <w:webHidden/>
          </w:rPr>
        </w:r>
        <w:r w:rsidR="00415716">
          <w:rPr>
            <w:noProof/>
            <w:webHidden/>
          </w:rPr>
          <w:fldChar w:fldCharType="separate"/>
        </w:r>
        <w:r w:rsidR="00D51FE5">
          <w:rPr>
            <w:noProof/>
            <w:webHidden/>
          </w:rPr>
          <w:t>3</w:t>
        </w:r>
        <w:r w:rsidR="00415716">
          <w:rPr>
            <w:noProof/>
            <w:webHidden/>
          </w:rPr>
          <w:fldChar w:fldCharType="end"/>
        </w:r>
      </w:hyperlink>
    </w:p>
    <w:p w:rsidR="00415716" w:rsidRDefault="00415716">
      <w:pPr>
        <w:pStyle w:val="10"/>
        <w:rPr>
          <w:rFonts w:ascii="Calibri" w:hAnsi="Calibri" w:cs="Cordia New"/>
          <w:noProof/>
          <w:szCs w:val="28"/>
          <w:lang w:bidi="th-TH"/>
        </w:rPr>
      </w:pPr>
      <w:hyperlink w:anchor="_Toc447194468" w:history="1">
        <w:r w:rsidRPr="007351A9">
          <w:rPr>
            <w:rStyle w:val="af"/>
            <w:rFonts w:hint="eastAsia"/>
            <w:noProof/>
          </w:rPr>
          <w:t>一、基金概况</w:t>
        </w:r>
        <w:r>
          <w:rPr>
            <w:noProof/>
            <w:webHidden/>
          </w:rPr>
          <w:tab/>
        </w:r>
        <w:r>
          <w:rPr>
            <w:noProof/>
            <w:webHidden/>
          </w:rPr>
          <w:fldChar w:fldCharType="begin"/>
        </w:r>
        <w:r>
          <w:rPr>
            <w:noProof/>
            <w:webHidden/>
          </w:rPr>
          <w:instrText xml:space="preserve"> PAGEREF _Toc447194468 \h </w:instrText>
        </w:r>
        <w:r>
          <w:rPr>
            <w:noProof/>
            <w:webHidden/>
          </w:rPr>
        </w:r>
        <w:r>
          <w:rPr>
            <w:noProof/>
            <w:webHidden/>
          </w:rPr>
          <w:fldChar w:fldCharType="separate"/>
        </w:r>
        <w:r w:rsidR="00D51FE5">
          <w:rPr>
            <w:noProof/>
            <w:webHidden/>
          </w:rPr>
          <w:t>3</w:t>
        </w:r>
        <w:r>
          <w:rPr>
            <w:noProof/>
            <w:webHidden/>
          </w:rPr>
          <w:fldChar w:fldCharType="end"/>
        </w:r>
      </w:hyperlink>
    </w:p>
    <w:p w:rsidR="00415716" w:rsidRDefault="00415716">
      <w:pPr>
        <w:pStyle w:val="10"/>
        <w:rPr>
          <w:rFonts w:ascii="Calibri" w:hAnsi="Calibri" w:cs="Cordia New"/>
          <w:noProof/>
          <w:szCs w:val="28"/>
          <w:lang w:bidi="th-TH"/>
        </w:rPr>
      </w:pPr>
      <w:hyperlink w:anchor="_Toc447194469" w:history="1">
        <w:r w:rsidRPr="007351A9">
          <w:rPr>
            <w:rStyle w:val="af"/>
            <w:rFonts w:ascii="宋体" w:hAnsi="宋体" w:cs="Arial" w:hint="eastAsia"/>
            <w:noProof/>
          </w:rPr>
          <w:t>二、基金运作情况</w:t>
        </w:r>
        <w:r>
          <w:rPr>
            <w:noProof/>
            <w:webHidden/>
          </w:rPr>
          <w:tab/>
        </w:r>
        <w:r>
          <w:rPr>
            <w:noProof/>
            <w:webHidden/>
          </w:rPr>
          <w:fldChar w:fldCharType="begin"/>
        </w:r>
        <w:r>
          <w:rPr>
            <w:noProof/>
            <w:webHidden/>
          </w:rPr>
          <w:instrText xml:space="preserve"> PAGEREF _Toc447194469 \h </w:instrText>
        </w:r>
        <w:r>
          <w:rPr>
            <w:noProof/>
            <w:webHidden/>
          </w:rPr>
        </w:r>
        <w:r>
          <w:rPr>
            <w:noProof/>
            <w:webHidden/>
          </w:rPr>
          <w:fldChar w:fldCharType="separate"/>
        </w:r>
        <w:r w:rsidR="00D51FE5">
          <w:rPr>
            <w:noProof/>
            <w:webHidden/>
          </w:rPr>
          <w:t>4</w:t>
        </w:r>
        <w:r>
          <w:rPr>
            <w:noProof/>
            <w:webHidden/>
          </w:rPr>
          <w:fldChar w:fldCharType="end"/>
        </w:r>
      </w:hyperlink>
    </w:p>
    <w:p w:rsidR="00415716" w:rsidRDefault="00415716">
      <w:pPr>
        <w:pStyle w:val="10"/>
        <w:rPr>
          <w:rFonts w:ascii="Calibri" w:hAnsi="Calibri" w:cs="Cordia New"/>
          <w:noProof/>
          <w:szCs w:val="28"/>
          <w:lang w:bidi="th-TH"/>
        </w:rPr>
      </w:pPr>
      <w:hyperlink w:anchor="_Toc447194470" w:history="1">
        <w:r w:rsidRPr="007351A9">
          <w:rPr>
            <w:rStyle w:val="af"/>
            <w:rFonts w:ascii="宋体" w:hAnsi="宋体" w:cs="Arial" w:hint="eastAsia"/>
            <w:noProof/>
          </w:rPr>
          <w:t>三、财务</w:t>
        </w:r>
        <w:r w:rsidRPr="007351A9">
          <w:rPr>
            <w:rStyle w:val="af"/>
            <w:rFonts w:ascii="宋体" w:hAnsi="宋体" w:cs="Arial" w:hint="eastAsia"/>
            <w:noProof/>
          </w:rPr>
          <w:t>会</w:t>
        </w:r>
        <w:r w:rsidRPr="007351A9">
          <w:rPr>
            <w:rStyle w:val="af"/>
            <w:rFonts w:ascii="宋体" w:hAnsi="宋体" w:cs="Arial" w:hint="eastAsia"/>
            <w:noProof/>
          </w:rPr>
          <w:t>计</w:t>
        </w:r>
        <w:r w:rsidRPr="007351A9">
          <w:rPr>
            <w:rStyle w:val="af"/>
            <w:rFonts w:ascii="宋体" w:hAnsi="宋体" w:cs="Arial" w:hint="eastAsia"/>
            <w:noProof/>
          </w:rPr>
          <w:t>报告</w:t>
        </w:r>
        <w:r>
          <w:rPr>
            <w:noProof/>
            <w:webHidden/>
          </w:rPr>
          <w:tab/>
        </w:r>
        <w:r>
          <w:rPr>
            <w:noProof/>
            <w:webHidden/>
          </w:rPr>
          <w:fldChar w:fldCharType="begin"/>
        </w:r>
        <w:r>
          <w:rPr>
            <w:noProof/>
            <w:webHidden/>
          </w:rPr>
          <w:instrText xml:space="preserve"> PAGEREF _Toc447194470 \h </w:instrText>
        </w:r>
        <w:r>
          <w:rPr>
            <w:noProof/>
            <w:webHidden/>
          </w:rPr>
        </w:r>
        <w:r>
          <w:rPr>
            <w:noProof/>
            <w:webHidden/>
          </w:rPr>
          <w:fldChar w:fldCharType="separate"/>
        </w:r>
        <w:r w:rsidR="00D51FE5">
          <w:rPr>
            <w:noProof/>
            <w:webHidden/>
          </w:rPr>
          <w:t>4</w:t>
        </w:r>
        <w:r>
          <w:rPr>
            <w:noProof/>
            <w:webHidden/>
          </w:rPr>
          <w:fldChar w:fldCharType="end"/>
        </w:r>
      </w:hyperlink>
    </w:p>
    <w:p w:rsidR="00415716" w:rsidRDefault="00415716">
      <w:pPr>
        <w:pStyle w:val="10"/>
        <w:rPr>
          <w:rFonts w:ascii="Calibri" w:hAnsi="Calibri" w:cs="Cordia New"/>
          <w:noProof/>
          <w:szCs w:val="28"/>
          <w:lang w:bidi="th-TH"/>
        </w:rPr>
      </w:pPr>
      <w:hyperlink w:anchor="_Toc447194471" w:history="1">
        <w:r w:rsidRPr="007351A9">
          <w:rPr>
            <w:rStyle w:val="af"/>
            <w:rFonts w:ascii="宋体" w:hAnsi="宋体" w:cs="Arial" w:hint="eastAsia"/>
            <w:noProof/>
          </w:rPr>
          <w:t>四、清</w:t>
        </w:r>
        <w:r w:rsidRPr="007351A9">
          <w:rPr>
            <w:rStyle w:val="af"/>
            <w:rFonts w:ascii="宋体" w:hAnsi="宋体" w:cs="Arial" w:hint="eastAsia"/>
            <w:noProof/>
          </w:rPr>
          <w:t>算</w:t>
        </w:r>
        <w:r w:rsidRPr="007351A9">
          <w:rPr>
            <w:rStyle w:val="af"/>
            <w:rFonts w:ascii="宋体" w:hAnsi="宋体" w:cs="Arial" w:hint="eastAsia"/>
            <w:noProof/>
          </w:rPr>
          <w:t>情</w:t>
        </w:r>
        <w:r w:rsidRPr="007351A9">
          <w:rPr>
            <w:rStyle w:val="af"/>
            <w:rFonts w:ascii="宋体" w:hAnsi="宋体" w:cs="Arial" w:hint="eastAsia"/>
            <w:noProof/>
          </w:rPr>
          <w:t>况</w:t>
        </w:r>
        <w:r>
          <w:rPr>
            <w:noProof/>
            <w:webHidden/>
          </w:rPr>
          <w:tab/>
        </w:r>
        <w:r>
          <w:rPr>
            <w:noProof/>
            <w:webHidden/>
          </w:rPr>
          <w:fldChar w:fldCharType="begin"/>
        </w:r>
        <w:r>
          <w:rPr>
            <w:noProof/>
            <w:webHidden/>
          </w:rPr>
          <w:instrText xml:space="preserve"> PAGEREF _Toc447194471 \h </w:instrText>
        </w:r>
        <w:r>
          <w:rPr>
            <w:noProof/>
            <w:webHidden/>
          </w:rPr>
        </w:r>
        <w:r>
          <w:rPr>
            <w:noProof/>
            <w:webHidden/>
          </w:rPr>
          <w:fldChar w:fldCharType="separate"/>
        </w:r>
        <w:r w:rsidR="00D51FE5">
          <w:rPr>
            <w:noProof/>
            <w:webHidden/>
          </w:rPr>
          <w:t>5</w:t>
        </w:r>
        <w:r>
          <w:rPr>
            <w:noProof/>
            <w:webHidden/>
          </w:rPr>
          <w:fldChar w:fldCharType="end"/>
        </w:r>
      </w:hyperlink>
    </w:p>
    <w:p w:rsidR="00415716" w:rsidRDefault="00415716">
      <w:pPr>
        <w:pStyle w:val="10"/>
        <w:rPr>
          <w:rFonts w:ascii="Calibri" w:hAnsi="Calibri" w:cs="Cordia New"/>
          <w:noProof/>
          <w:szCs w:val="28"/>
          <w:lang w:bidi="th-TH"/>
        </w:rPr>
      </w:pPr>
      <w:hyperlink w:anchor="_Toc447194472" w:history="1">
        <w:r w:rsidRPr="007351A9">
          <w:rPr>
            <w:rStyle w:val="af"/>
            <w:rFonts w:ascii="宋体" w:hAnsi="宋体" w:cs="Arial" w:hint="eastAsia"/>
            <w:noProof/>
          </w:rPr>
          <w:t>五、备查</w:t>
        </w:r>
        <w:r w:rsidRPr="007351A9">
          <w:rPr>
            <w:rStyle w:val="af"/>
            <w:rFonts w:ascii="宋体" w:hAnsi="宋体" w:cs="Arial" w:hint="eastAsia"/>
            <w:noProof/>
          </w:rPr>
          <w:t>文</w:t>
        </w:r>
        <w:r w:rsidRPr="007351A9">
          <w:rPr>
            <w:rStyle w:val="af"/>
            <w:rFonts w:ascii="宋体" w:hAnsi="宋体" w:cs="Arial" w:hint="eastAsia"/>
            <w:noProof/>
          </w:rPr>
          <w:t>件</w:t>
        </w:r>
        <w:r>
          <w:rPr>
            <w:noProof/>
            <w:webHidden/>
          </w:rPr>
          <w:tab/>
        </w:r>
        <w:r>
          <w:rPr>
            <w:noProof/>
            <w:webHidden/>
          </w:rPr>
          <w:fldChar w:fldCharType="begin"/>
        </w:r>
        <w:r>
          <w:rPr>
            <w:noProof/>
            <w:webHidden/>
          </w:rPr>
          <w:instrText xml:space="preserve"> PAGEREF _Toc447194472 \h </w:instrText>
        </w:r>
        <w:r>
          <w:rPr>
            <w:noProof/>
            <w:webHidden/>
          </w:rPr>
        </w:r>
        <w:r>
          <w:rPr>
            <w:noProof/>
            <w:webHidden/>
          </w:rPr>
          <w:fldChar w:fldCharType="separate"/>
        </w:r>
        <w:r w:rsidR="00D51FE5">
          <w:rPr>
            <w:noProof/>
            <w:webHidden/>
          </w:rPr>
          <w:t>8</w:t>
        </w:r>
        <w:r>
          <w:rPr>
            <w:noProof/>
            <w:webHidden/>
          </w:rPr>
          <w:fldChar w:fldCharType="end"/>
        </w:r>
      </w:hyperlink>
    </w:p>
    <w:p w:rsidR="002E2E3D" w:rsidRPr="00602244" w:rsidRDefault="000F6087">
      <w:pPr>
        <w:rPr>
          <w:rFonts w:ascii="黑体" w:eastAsia="黑体" w:hAnsi="黑体" w:cs="Arial"/>
          <w:sz w:val="28"/>
          <w:szCs w:val="28"/>
        </w:rPr>
      </w:pPr>
      <w:r>
        <w:rPr>
          <w:rFonts w:ascii="黑体" w:eastAsia="黑体" w:hAnsi="黑体" w:cs="Arial"/>
          <w:sz w:val="28"/>
          <w:szCs w:val="28"/>
        </w:rPr>
        <w:fldChar w:fldCharType="end"/>
      </w:r>
    </w:p>
    <w:p w:rsidR="002E2E3D" w:rsidRPr="00602244" w:rsidRDefault="002E2E3D">
      <w:pPr>
        <w:rPr>
          <w:rFonts w:ascii="黑体" w:eastAsia="黑体" w:hAnsi="黑体" w:cs="Arial"/>
          <w:sz w:val="28"/>
          <w:szCs w:val="28"/>
        </w:rPr>
      </w:pPr>
    </w:p>
    <w:p w:rsidR="002E2E3D" w:rsidRPr="00602244" w:rsidRDefault="002E2E3D">
      <w:pPr>
        <w:rPr>
          <w:rFonts w:ascii="黑体" w:eastAsia="黑体" w:hAnsi="黑体" w:cs="Arial"/>
          <w:sz w:val="28"/>
          <w:szCs w:val="28"/>
        </w:rPr>
      </w:pPr>
    </w:p>
    <w:p w:rsidR="002E2E3D" w:rsidRPr="00602244" w:rsidRDefault="002E2E3D">
      <w:pPr>
        <w:rPr>
          <w:rFonts w:ascii="黑体" w:eastAsia="黑体" w:hAnsi="黑体" w:cs="Arial"/>
          <w:sz w:val="28"/>
          <w:szCs w:val="28"/>
        </w:rPr>
      </w:pPr>
    </w:p>
    <w:p w:rsidR="002E2E3D" w:rsidRDefault="002E2E3D">
      <w:pPr>
        <w:rPr>
          <w:rFonts w:ascii="黑体" w:eastAsia="黑体" w:hAnsi="黑体" w:cs="Arial" w:hint="eastAsia"/>
          <w:sz w:val="28"/>
          <w:szCs w:val="28"/>
        </w:rPr>
      </w:pPr>
    </w:p>
    <w:p w:rsidR="0089481E" w:rsidRDefault="0089481E">
      <w:pPr>
        <w:rPr>
          <w:rFonts w:ascii="黑体" w:eastAsia="黑体" w:hAnsi="黑体" w:cs="Arial" w:hint="eastAsia"/>
          <w:sz w:val="28"/>
          <w:szCs w:val="28"/>
        </w:rPr>
      </w:pPr>
    </w:p>
    <w:p w:rsidR="00D21EC6" w:rsidRPr="00D21EC6" w:rsidRDefault="003E6510" w:rsidP="003E6510">
      <w:pPr>
        <w:pStyle w:val="1"/>
        <w:spacing w:before="100" w:beforeAutospacing="1" w:after="100" w:afterAutospacing="1" w:line="360" w:lineRule="auto"/>
        <w:jc w:val="center"/>
        <w:rPr>
          <w:rStyle w:val="2CharCharChar"/>
          <w:rFonts w:ascii="Times New Roman" w:hAnsi="Times New Roman" w:hint="eastAsia"/>
          <w:b/>
          <w:bCs w:val="0"/>
          <w:szCs w:val="24"/>
        </w:rPr>
      </w:pPr>
      <w:r>
        <w:rPr>
          <w:rFonts w:ascii="黑体" w:eastAsia="黑体" w:hAnsi="黑体" w:cs="Arial"/>
          <w:sz w:val="28"/>
          <w:szCs w:val="28"/>
        </w:rPr>
        <w:br w:type="page"/>
      </w:r>
      <w:bookmarkStart w:id="0" w:name="_Toc446416130"/>
      <w:bookmarkStart w:id="1" w:name="_Toc447180231"/>
      <w:bookmarkStart w:id="2" w:name="_Toc447194467"/>
      <w:r w:rsidR="00D21EC6" w:rsidRPr="00D21EC6">
        <w:rPr>
          <w:rStyle w:val="2CharCharChar"/>
          <w:rFonts w:ascii="Times New Roman" w:hAnsi="Times New Roman" w:hint="eastAsia"/>
          <w:b/>
          <w:bCs w:val="0"/>
          <w:szCs w:val="24"/>
        </w:rPr>
        <w:lastRenderedPageBreak/>
        <w:t>重要提示</w:t>
      </w:r>
      <w:bookmarkEnd w:id="0"/>
      <w:bookmarkEnd w:id="1"/>
      <w:bookmarkEnd w:id="2"/>
    </w:p>
    <w:p w:rsidR="00E95515" w:rsidRPr="005D17CF" w:rsidRDefault="0040404B" w:rsidP="000F6087">
      <w:pPr>
        <w:overflowPunct w:val="0"/>
        <w:autoSpaceDE w:val="0"/>
        <w:autoSpaceDN w:val="0"/>
        <w:snapToGrid w:val="0"/>
        <w:spacing w:line="360" w:lineRule="auto"/>
        <w:ind w:firstLineChars="200" w:firstLine="480"/>
        <w:rPr>
          <w:sz w:val="24"/>
        </w:rPr>
      </w:pPr>
      <w:r>
        <w:rPr>
          <w:rFonts w:hAnsi="宋体"/>
          <w:sz w:val="24"/>
        </w:rPr>
        <w:t>华夏粤港澳大湾区创新</w:t>
      </w:r>
      <w:r>
        <w:rPr>
          <w:rFonts w:hAnsi="宋体"/>
          <w:sz w:val="24"/>
        </w:rPr>
        <w:t>100</w:t>
      </w:r>
      <w:r>
        <w:rPr>
          <w:rFonts w:hAnsi="宋体"/>
          <w:sz w:val="24"/>
        </w:rPr>
        <w:t>交易型开放式指数证券投资基金</w:t>
      </w:r>
      <w:r w:rsidR="00E95515" w:rsidRPr="00E95515">
        <w:rPr>
          <w:rFonts w:hAnsi="宋体"/>
          <w:sz w:val="24"/>
        </w:rPr>
        <w:t>（以下简称</w:t>
      </w:r>
      <w:r w:rsidR="00E95515" w:rsidRPr="00E95515">
        <w:rPr>
          <w:rFonts w:ascii="宋体" w:hAnsi="宋体"/>
          <w:sz w:val="24"/>
        </w:rPr>
        <w:t>“</w:t>
      </w:r>
      <w:r w:rsidR="00FC2034">
        <w:rPr>
          <w:rFonts w:ascii="宋体" w:hAnsi="宋体" w:hint="eastAsia"/>
          <w:sz w:val="24"/>
        </w:rPr>
        <w:t>本基金</w:t>
      </w:r>
      <w:r w:rsidR="00E95515" w:rsidRPr="00E95515">
        <w:rPr>
          <w:rFonts w:ascii="宋体" w:hAnsi="宋体"/>
          <w:sz w:val="24"/>
        </w:rPr>
        <w:t>”</w:t>
      </w:r>
      <w:r w:rsidR="00E95515" w:rsidRPr="00E95515">
        <w:rPr>
          <w:rFonts w:hAnsi="宋体"/>
          <w:sz w:val="24"/>
        </w:rPr>
        <w:t>）经中国证券监督管理委员会</w:t>
      </w:r>
      <w:r w:rsidR="007532E6">
        <w:rPr>
          <w:rFonts w:hAnsi="宋体" w:hint="eastAsia"/>
          <w:sz w:val="24"/>
        </w:rPr>
        <w:t>（以下简称“中国证监会”）</w:t>
      </w:r>
      <w:r w:rsidRPr="0040404B">
        <w:rPr>
          <w:rFonts w:hAnsi="宋体" w:hint="eastAsia"/>
          <w:sz w:val="24"/>
        </w:rPr>
        <w:t>2019</w:t>
      </w:r>
      <w:r w:rsidRPr="0040404B">
        <w:rPr>
          <w:rFonts w:hAnsi="宋体" w:hint="eastAsia"/>
          <w:sz w:val="24"/>
        </w:rPr>
        <w:t>年</w:t>
      </w:r>
      <w:r w:rsidRPr="0040404B">
        <w:rPr>
          <w:rFonts w:hAnsi="宋体" w:hint="eastAsia"/>
          <w:sz w:val="24"/>
        </w:rPr>
        <w:t>8</w:t>
      </w:r>
      <w:r w:rsidRPr="0040404B">
        <w:rPr>
          <w:rFonts w:hAnsi="宋体" w:hint="eastAsia"/>
          <w:sz w:val="24"/>
        </w:rPr>
        <w:t>月</w:t>
      </w:r>
      <w:r w:rsidRPr="0040404B">
        <w:rPr>
          <w:rFonts w:hAnsi="宋体" w:hint="eastAsia"/>
          <w:sz w:val="24"/>
        </w:rPr>
        <w:t>22</w:t>
      </w:r>
      <w:r w:rsidRPr="0040404B">
        <w:rPr>
          <w:rFonts w:hAnsi="宋体" w:hint="eastAsia"/>
          <w:sz w:val="24"/>
        </w:rPr>
        <w:t>日证监许可</w:t>
      </w:r>
      <w:r w:rsidRPr="0040404B">
        <w:rPr>
          <w:rFonts w:hAnsi="宋体" w:hint="eastAsia"/>
          <w:sz w:val="24"/>
        </w:rPr>
        <w:t>[2019]1537</w:t>
      </w:r>
      <w:r w:rsidRPr="0040404B">
        <w:rPr>
          <w:rFonts w:hAnsi="宋体" w:hint="eastAsia"/>
          <w:sz w:val="24"/>
        </w:rPr>
        <w:t>号文</w:t>
      </w:r>
      <w:r w:rsidR="006411CC" w:rsidRPr="00016C36">
        <w:rPr>
          <w:rFonts w:hAnsi="宋体" w:hint="eastAsia"/>
          <w:sz w:val="24"/>
        </w:rPr>
        <w:t>准予注册</w:t>
      </w:r>
      <w:r w:rsidR="00E95515" w:rsidRPr="00E95515">
        <w:rPr>
          <w:rFonts w:hAnsi="宋体"/>
          <w:sz w:val="24"/>
        </w:rPr>
        <w:t>，自</w:t>
      </w:r>
      <w:r>
        <w:rPr>
          <w:rFonts w:hAnsi="宋体" w:hint="eastAsia"/>
          <w:sz w:val="24"/>
        </w:rPr>
        <w:t>2020</w:t>
      </w:r>
      <w:r w:rsidRPr="0040404B">
        <w:rPr>
          <w:rFonts w:hAnsi="宋体" w:hint="eastAsia"/>
          <w:sz w:val="24"/>
        </w:rPr>
        <w:t>年</w:t>
      </w:r>
      <w:r>
        <w:rPr>
          <w:rFonts w:hAnsi="宋体" w:hint="eastAsia"/>
          <w:sz w:val="24"/>
        </w:rPr>
        <w:t>2</w:t>
      </w:r>
      <w:r w:rsidRPr="0040404B">
        <w:rPr>
          <w:rFonts w:hAnsi="宋体" w:hint="eastAsia"/>
          <w:sz w:val="24"/>
        </w:rPr>
        <w:t>月</w:t>
      </w:r>
      <w:r>
        <w:rPr>
          <w:rFonts w:hAnsi="宋体" w:hint="eastAsia"/>
          <w:sz w:val="24"/>
        </w:rPr>
        <w:t>25</w:t>
      </w:r>
      <w:r w:rsidRPr="0040404B">
        <w:rPr>
          <w:rFonts w:hAnsi="宋体" w:hint="eastAsia"/>
          <w:sz w:val="24"/>
        </w:rPr>
        <w:t>日</w:t>
      </w:r>
      <w:r w:rsidR="00E95515" w:rsidRPr="00E95515">
        <w:rPr>
          <w:rFonts w:hAnsi="宋体"/>
          <w:sz w:val="24"/>
        </w:rPr>
        <w:t>起</w:t>
      </w:r>
      <w:r w:rsidR="00F3765E" w:rsidRPr="00E95515">
        <w:rPr>
          <w:rFonts w:hAnsi="宋体"/>
          <w:sz w:val="24"/>
        </w:rPr>
        <w:t>基金合同</w:t>
      </w:r>
      <w:r w:rsidR="00E95515" w:rsidRPr="00E95515">
        <w:rPr>
          <w:rFonts w:hAnsi="宋体"/>
          <w:sz w:val="24"/>
        </w:rPr>
        <w:t>生效，并于</w:t>
      </w:r>
      <w:r w:rsidR="00417D3B" w:rsidRPr="00417D3B">
        <w:rPr>
          <w:rFonts w:hAnsi="宋体" w:hint="eastAsia"/>
          <w:sz w:val="24"/>
        </w:rPr>
        <w:t>2020</w:t>
      </w:r>
      <w:r w:rsidR="00417D3B" w:rsidRPr="00417D3B">
        <w:rPr>
          <w:rFonts w:hAnsi="宋体" w:hint="eastAsia"/>
          <w:sz w:val="24"/>
        </w:rPr>
        <w:t>年</w:t>
      </w:r>
      <w:r w:rsidR="00417D3B" w:rsidRPr="00417D3B">
        <w:rPr>
          <w:rFonts w:hAnsi="宋体" w:hint="eastAsia"/>
          <w:sz w:val="24"/>
        </w:rPr>
        <w:t>4</w:t>
      </w:r>
      <w:r w:rsidR="00417D3B" w:rsidRPr="00417D3B">
        <w:rPr>
          <w:rFonts w:hAnsi="宋体" w:hint="eastAsia"/>
          <w:sz w:val="24"/>
        </w:rPr>
        <w:t>月</w:t>
      </w:r>
      <w:r w:rsidR="00417D3B" w:rsidRPr="00417D3B">
        <w:rPr>
          <w:rFonts w:hAnsi="宋体" w:hint="eastAsia"/>
          <w:sz w:val="24"/>
        </w:rPr>
        <w:t>23</w:t>
      </w:r>
      <w:r w:rsidR="00417D3B" w:rsidRPr="00417D3B">
        <w:rPr>
          <w:rFonts w:hAnsi="宋体" w:hint="eastAsia"/>
          <w:sz w:val="24"/>
        </w:rPr>
        <w:t>日</w:t>
      </w:r>
      <w:r w:rsidR="00D51FE5">
        <w:rPr>
          <w:rFonts w:hAnsi="宋体" w:hint="eastAsia"/>
          <w:sz w:val="24"/>
        </w:rPr>
        <w:t>起</w:t>
      </w:r>
      <w:r w:rsidR="00E95515" w:rsidRPr="00E95515">
        <w:rPr>
          <w:rFonts w:hAnsi="宋体"/>
          <w:sz w:val="24"/>
        </w:rPr>
        <w:t>在</w:t>
      </w:r>
      <w:r w:rsidR="005E08EC">
        <w:rPr>
          <w:rFonts w:hAnsi="宋体" w:hint="eastAsia"/>
          <w:sz w:val="24"/>
        </w:rPr>
        <w:t>深圳</w:t>
      </w:r>
      <w:r w:rsidR="00E95515" w:rsidRPr="00E95515">
        <w:rPr>
          <w:rFonts w:hAnsi="宋体"/>
          <w:sz w:val="24"/>
        </w:rPr>
        <w:t>证券交易所上市交易</w:t>
      </w:r>
      <w:r w:rsidR="007B03FD">
        <w:rPr>
          <w:rFonts w:hAnsi="宋体" w:hint="eastAsia"/>
          <w:sz w:val="24"/>
        </w:rPr>
        <w:t>，</w:t>
      </w:r>
      <w:r w:rsidR="00691D6E">
        <w:rPr>
          <w:rFonts w:hAnsi="宋体" w:hint="eastAsia"/>
          <w:sz w:val="24"/>
        </w:rPr>
        <w:t>基金管理人为</w:t>
      </w:r>
      <w:r w:rsidR="00691D6E" w:rsidRPr="00E95515">
        <w:rPr>
          <w:rFonts w:hAnsi="宋体"/>
          <w:sz w:val="24"/>
        </w:rPr>
        <w:t>华夏基金管理有限公司</w:t>
      </w:r>
      <w:r w:rsidR="00691D6E">
        <w:rPr>
          <w:rFonts w:hAnsi="宋体" w:hint="eastAsia"/>
          <w:sz w:val="24"/>
        </w:rPr>
        <w:t>，基金托管人为</w:t>
      </w:r>
      <w:r w:rsidR="00417D3B" w:rsidRPr="00417D3B">
        <w:rPr>
          <w:rFonts w:hAnsi="宋体" w:hint="eastAsia"/>
          <w:sz w:val="24"/>
        </w:rPr>
        <w:t>招商银行股份有限公司</w:t>
      </w:r>
      <w:r w:rsidR="00691D6E" w:rsidRPr="005D17CF">
        <w:rPr>
          <w:rFonts w:hAnsi="宋体" w:hint="eastAsia"/>
          <w:sz w:val="24"/>
        </w:rPr>
        <w:t>。</w:t>
      </w:r>
    </w:p>
    <w:p w:rsidR="00546A23" w:rsidRPr="00794F23" w:rsidRDefault="00E95515" w:rsidP="00546A23">
      <w:pPr>
        <w:overflowPunct w:val="0"/>
        <w:autoSpaceDE w:val="0"/>
        <w:autoSpaceDN w:val="0"/>
        <w:snapToGrid w:val="0"/>
        <w:spacing w:line="360" w:lineRule="auto"/>
        <w:ind w:firstLineChars="200" w:firstLine="480"/>
        <w:rPr>
          <w:rFonts w:hAnsi="宋体" w:hint="eastAsia"/>
          <w:sz w:val="24"/>
        </w:rPr>
      </w:pPr>
      <w:r w:rsidRPr="005D17CF">
        <w:rPr>
          <w:rFonts w:hAnsi="宋体"/>
          <w:sz w:val="24"/>
        </w:rPr>
        <w:t>根据《中华人民共和国证券投资基金法》《公</w:t>
      </w:r>
      <w:r w:rsidRPr="00E95515">
        <w:rPr>
          <w:rFonts w:hAnsi="宋体"/>
          <w:sz w:val="24"/>
        </w:rPr>
        <w:t>开募集证券投资基金运作管理办法》《</w:t>
      </w:r>
      <w:r w:rsidR="0040404B">
        <w:rPr>
          <w:rFonts w:hAnsi="宋体"/>
          <w:sz w:val="24"/>
        </w:rPr>
        <w:t>华夏粤港澳大湾区创新</w:t>
      </w:r>
      <w:r w:rsidR="0040404B">
        <w:rPr>
          <w:rFonts w:hAnsi="宋体"/>
          <w:sz w:val="24"/>
        </w:rPr>
        <w:t>100</w:t>
      </w:r>
      <w:r w:rsidR="0040404B">
        <w:rPr>
          <w:rFonts w:hAnsi="宋体"/>
          <w:sz w:val="24"/>
        </w:rPr>
        <w:t>交易型开放式指数证券投资基金</w:t>
      </w:r>
      <w:r w:rsidRPr="00E95515">
        <w:rPr>
          <w:rFonts w:hAnsi="宋体"/>
          <w:sz w:val="24"/>
        </w:rPr>
        <w:t>基金合同》</w:t>
      </w:r>
      <w:r w:rsidR="001733E9">
        <w:rPr>
          <w:rFonts w:hAnsi="宋体" w:hint="eastAsia"/>
          <w:sz w:val="24"/>
        </w:rPr>
        <w:t>（以下简称“《基金合同》”）</w:t>
      </w:r>
      <w:r w:rsidRPr="00E95515">
        <w:rPr>
          <w:rFonts w:hAnsi="宋体"/>
          <w:sz w:val="24"/>
        </w:rPr>
        <w:t>等有关规定，</w:t>
      </w:r>
      <w:r w:rsidR="00546A23" w:rsidRPr="00794F23">
        <w:rPr>
          <w:rFonts w:hAnsi="宋体" w:hint="eastAsia"/>
          <w:sz w:val="24"/>
        </w:rPr>
        <w:t>基金份额持有人大会决定终止</w:t>
      </w:r>
      <w:r w:rsidR="00CB5751">
        <w:rPr>
          <w:rFonts w:hAnsi="宋体" w:hint="eastAsia"/>
          <w:sz w:val="24"/>
        </w:rPr>
        <w:t>《</w:t>
      </w:r>
      <w:r w:rsidR="00546A23" w:rsidRPr="00794F23">
        <w:rPr>
          <w:rFonts w:hAnsi="宋体" w:hint="eastAsia"/>
          <w:sz w:val="24"/>
        </w:rPr>
        <w:t>基金合同</w:t>
      </w:r>
      <w:r w:rsidR="00CB5751">
        <w:rPr>
          <w:rFonts w:hAnsi="宋体" w:hint="eastAsia"/>
          <w:sz w:val="24"/>
        </w:rPr>
        <w:t>》</w:t>
      </w:r>
      <w:r w:rsidR="00546A23" w:rsidRPr="00794F23">
        <w:rPr>
          <w:rFonts w:hAnsi="宋体" w:hint="eastAsia"/>
          <w:sz w:val="24"/>
        </w:rPr>
        <w:t>的，《基金合同》应当终止。本基金管理人于</w:t>
      </w:r>
      <w:r w:rsidR="005E08EC" w:rsidRPr="00794F23">
        <w:rPr>
          <w:rFonts w:hAnsi="宋体"/>
          <w:sz w:val="24"/>
        </w:rPr>
        <w:t>20</w:t>
      </w:r>
      <w:r w:rsidR="005E08EC">
        <w:rPr>
          <w:rFonts w:hAnsi="宋体"/>
          <w:sz w:val="24"/>
        </w:rPr>
        <w:t>2</w:t>
      </w:r>
      <w:r w:rsidR="00417D3B">
        <w:rPr>
          <w:rFonts w:hAnsi="宋体"/>
          <w:sz w:val="24"/>
        </w:rPr>
        <w:t>3</w:t>
      </w:r>
      <w:r w:rsidR="00546A23" w:rsidRPr="00794F23">
        <w:rPr>
          <w:rFonts w:hAnsi="宋体"/>
          <w:sz w:val="24"/>
        </w:rPr>
        <w:t>年</w:t>
      </w:r>
      <w:r w:rsidR="00417D3B">
        <w:rPr>
          <w:rFonts w:hAnsi="宋体" w:hint="eastAsia"/>
          <w:sz w:val="24"/>
        </w:rPr>
        <w:t>1</w:t>
      </w:r>
      <w:r w:rsidR="00417D3B">
        <w:rPr>
          <w:rFonts w:hAnsi="宋体"/>
          <w:sz w:val="24"/>
        </w:rPr>
        <w:t>1</w:t>
      </w:r>
      <w:r w:rsidR="00546A23" w:rsidRPr="00794F23">
        <w:rPr>
          <w:rFonts w:hAnsi="宋体"/>
          <w:sz w:val="24"/>
        </w:rPr>
        <w:t>月</w:t>
      </w:r>
      <w:r w:rsidR="00546A23">
        <w:rPr>
          <w:rFonts w:hAnsi="宋体"/>
          <w:sz w:val="24"/>
        </w:rPr>
        <w:t>2</w:t>
      </w:r>
      <w:r w:rsidR="00417D3B">
        <w:rPr>
          <w:rFonts w:hAnsi="宋体"/>
          <w:sz w:val="24"/>
        </w:rPr>
        <w:t>4</w:t>
      </w:r>
      <w:r w:rsidR="00546A23" w:rsidRPr="00794F23">
        <w:rPr>
          <w:rFonts w:hAnsi="宋体"/>
          <w:sz w:val="24"/>
        </w:rPr>
        <w:t>日</w:t>
      </w:r>
      <w:r w:rsidR="00546A23" w:rsidRPr="00794F23">
        <w:rPr>
          <w:rFonts w:hAnsi="宋体" w:hint="eastAsia"/>
          <w:sz w:val="24"/>
        </w:rPr>
        <w:t>发布《</w:t>
      </w:r>
      <w:r w:rsidR="00417D3B" w:rsidRPr="00417D3B">
        <w:rPr>
          <w:rFonts w:hAnsi="宋体" w:hint="eastAsia"/>
          <w:sz w:val="24"/>
        </w:rPr>
        <w:t>华夏基金管理有限公司关于以通讯方式召开华夏粤港澳大湾区创新</w:t>
      </w:r>
      <w:r w:rsidR="00417D3B" w:rsidRPr="00417D3B">
        <w:rPr>
          <w:rFonts w:hAnsi="宋体" w:hint="eastAsia"/>
          <w:sz w:val="24"/>
        </w:rPr>
        <w:t>100</w:t>
      </w:r>
      <w:r w:rsidR="00417D3B" w:rsidRPr="00417D3B">
        <w:rPr>
          <w:rFonts w:hAnsi="宋体" w:hint="eastAsia"/>
          <w:sz w:val="24"/>
        </w:rPr>
        <w:t>交易型开放式指数证券投资基金基金份额持有人大会的公告</w:t>
      </w:r>
      <w:r w:rsidR="00546A23" w:rsidRPr="00794F23">
        <w:rPr>
          <w:rFonts w:hAnsi="宋体" w:hint="eastAsia"/>
          <w:sz w:val="24"/>
        </w:rPr>
        <w:t>》，审议本基金</w:t>
      </w:r>
      <w:r w:rsidR="005D1D0D">
        <w:rPr>
          <w:rFonts w:hAnsi="宋体" w:hint="eastAsia"/>
          <w:sz w:val="24"/>
        </w:rPr>
        <w:t>终止</w:t>
      </w:r>
      <w:r w:rsidR="00546A23" w:rsidRPr="00794F23">
        <w:rPr>
          <w:rFonts w:hAnsi="宋体" w:hint="eastAsia"/>
          <w:sz w:val="24"/>
        </w:rPr>
        <w:t>基金合同</w:t>
      </w:r>
      <w:r w:rsidR="005D1D0D">
        <w:rPr>
          <w:rFonts w:hAnsi="宋体" w:hint="eastAsia"/>
          <w:sz w:val="24"/>
        </w:rPr>
        <w:t>并终止上市</w:t>
      </w:r>
      <w:r w:rsidR="00546A23" w:rsidRPr="00794F23">
        <w:rPr>
          <w:rFonts w:hAnsi="宋体" w:hint="eastAsia"/>
          <w:sz w:val="24"/>
        </w:rPr>
        <w:t>有关事项，</w:t>
      </w:r>
      <w:r w:rsidR="004D1D8D">
        <w:rPr>
          <w:rFonts w:hAnsi="宋体" w:hint="eastAsia"/>
          <w:sz w:val="24"/>
        </w:rPr>
        <w:t>会议</w:t>
      </w:r>
      <w:r w:rsidR="00546A23" w:rsidRPr="00794F23">
        <w:rPr>
          <w:rFonts w:hAnsi="宋体" w:hint="eastAsia"/>
          <w:sz w:val="24"/>
        </w:rPr>
        <w:t>议案于</w:t>
      </w:r>
      <w:r w:rsidR="005E08EC" w:rsidRPr="00794F23">
        <w:rPr>
          <w:rFonts w:hAnsi="宋体" w:hint="eastAsia"/>
          <w:sz w:val="24"/>
        </w:rPr>
        <w:t>20</w:t>
      </w:r>
      <w:r w:rsidR="005E08EC">
        <w:rPr>
          <w:rFonts w:hAnsi="宋体"/>
          <w:sz w:val="24"/>
        </w:rPr>
        <w:t>2</w:t>
      </w:r>
      <w:r w:rsidR="00417D3B">
        <w:rPr>
          <w:rFonts w:hAnsi="宋体"/>
          <w:sz w:val="24"/>
        </w:rPr>
        <w:t>3</w:t>
      </w:r>
      <w:r w:rsidR="00546A23" w:rsidRPr="00794F23">
        <w:rPr>
          <w:rFonts w:hAnsi="宋体" w:hint="eastAsia"/>
          <w:sz w:val="24"/>
        </w:rPr>
        <w:t>年</w:t>
      </w:r>
      <w:r w:rsidR="005E08EC">
        <w:rPr>
          <w:rFonts w:hAnsi="宋体"/>
          <w:sz w:val="24"/>
        </w:rPr>
        <w:t>1</w:t>
      </w:r>
      <w:r w:rsidR="00417D3B">
        <w:rPr>
          <w:rFonts w:hAnsi="宋体"/>
          <w:sz w:val="24"/>
        </w:rPr>
        <w:t>2</w:t>
      </w:r>
      <w:r w:rsidR="00546A23" w:rsidRPr="00794F23">
        <w:rPr>
          <w:rFonts w:hAnsi="宋体" w:hint="eastAsia"/>
          <w:sz w:val="24"/>
        </w:rPr>
        <w:t>月</w:t>
      </w:r>
      <w:r w:rsidR="00417D3B">
        <w:rPr>
          <w:rFonts w:hAnsi="宋体"/>
          <w:sz w:val="24"/>
        </w:rPr>
        <w:t>26</w:t>
      </w:r>
      <w:r w:rsidR="00546A23" w:rsidRPr="00794F23">
        <w:rPr>
          <w:rFonts w:hAnsi="宋体" w:hint="eastAsia"/>
          <w:sz w:val="24"/>
        </w:rPr>
        <w:t>日通过，本次基金份额持有人大会决议自同日起生效，本基金管理人于</w:t>
      </w:r>
      <w:r w:rsidR="005E08EC" w:rsidRPr="00794F23">
        <w:rPr>
          <w:rFonts w:hAnsi="宋体" w:hint="eastAsia"/>
          <w:sz w:val="24"/>
        </w:rPr>
        <w:t>20</w:t>
      </w:r>
      <w:r w:rsidR="005E08EC">
        <w:rPr>
          <w:rFonts w:hAnsi="宋体"/>
          <w:sz w:val="24"/>
        </w:rPr>
        <w:t>2</w:t>
      </w:r>
      <w:r w:rsidR="00436D9B">
        <w:rPr>
          <w:rFonts w:hAnsi="宋体"/>
          <w:sz w:val="24"/>
        </w:rPr>
        <w:t>3</w:t>
      </w:r>
      <w:r w:rsidR="00546A23" w:rsidRPr="00794F23">
        <w:rPr>
          <w:rFonts w:hAnsi="宋体" w:hint="eastAsia"/>
          <w:sz w:val="24"/>
        </w:rPr>
        <w:t>年</w:t>
      </w:r>
      <w:r w:rsidR="005E08EC">
        <w:rPr>
          <w:rFonts w:hAnsi="宋体"/>
          <w:sz w:val="24"/>
        </w:rPr>
        <w:t>1</w:t>
      </w:r>
      <w:r w:rsidR="00436D9B">
        <w:rPr>
          <w:rFonts w:hAnsi="宋体"/>
          <w:sz w:val="24"/>
        </w:rPr>
        <w:t>2</w:t>
      </w:r>
      <w:r w:rsidR="00546A23" w:rsidRPr="00794F23">
        <w:rPr>
          <w:rFonts w:hAnsi="宋体" w:hint="eastAsia"/>
          <w:sz w:val="24"/>
        </w:rPr>
        <w:t>月</w:t>
      </w:r>
      <w:r w:rsidR="005E08EC">
        <w:rPr>
          <w:rFonts w:hAnsi="宋体"/>
          <w:sz w:val="24"/>
        </w:rPr>
        <w:t>2</w:t>
      </w:r>
      <w:r w:rsidR="00436D9B">
        <w:rPr>
          <w:rFonts w:hAnsi="宋体"/>
          <w:sz w:val="24"/>
        </w:rPr>
        <w:t>7</w:t>
      </w:r>
      <w:r w:rsidR="00546A23" w:rsidRPr="00794F23">
        <w:rPr>
          <w:rFonts w:hAnsi="宋体" w:hint="eastAsia"/>
          <w:sz w:val="24"/>
        </w:rPr>
        <w:t>日发布《</w:t>
      </w:r>
      <w:r w:rsidR="00436D9B" w:rsidRPr="00436D9B">
        <w:rPr>
          <w:rFonts w:hint="eastAsia"/>
          <w:sz w:val="24"/>
        </w:rPr>
        <w:t>华夏粤港澳大湾区创新</w:t>
      </w:r>
      <w:r w:rsidR="00436D9B" w:rsidRPr="00436D9B">
        <w:rPr>
          <w:rFonts w:hint="eastAsia"/>
          <w:sz w:val="24"/>
        </w:rPr>
        <w:t>100</w:t>
      </w:r>
      <w:r w:rsidR="00436D9B" w:rsidRPr="00436D9B">
        <w:rPr>
          <w:rFonts w:hint="eastAsia"/>
          <w:sz w:val="24"/>
        </w:rPr>
        <w:t>交易型开放式指数证券投资基金基金份额持有人大会表决结果暨决议生效公告</w:t>
      </w:r>
      <w:r w:rsidR="00546A23" w:rsidRPr="00794F23">
        <w:rPr>
          <w:rFonts w:hint="eastAsia"/>
          <w:bCs/>
          <w:sz w:val="24"/>
        </w:rPr>
        <w:t>》（以下简称“决议生效公告”）。根据决议生效公告，本基金最后运作日为</w:t>
      </w:r>
      <w:r w:rsidR="005E08EC" w:rsidRPr="00794F23">
        <w:rPr>
          <w:rFonts w:hint="eastAsia"/>
          <w:bCs/>
          <w:sz w:val="24"/>
        </w:rPr>
        <w:t>20</w:t>
      </w:r>
      <w:r w:rsidR="005E08EC">
        <w:rPr>
          <w:bCs/>
          <w:sz w:val="24"/>
        </w:rPr>
        <w:t>2</w:t>
      </w:r>
      <w:r w:rsidR="00436D9B">
        <w:rPr>
          <w:bCs/>
          <w:sz w:val="24"/>
        </w:rPr>
        <w:t>3</w:t>
      </w:r>
      <w:r w:rsidR="00546A23" w:rsidRPr="00794F23">
        <w:rPr>
          <w:rFonts w:hint="eastAsia"/>
          <w:bCs/>
          <w:sz w:val="24"/>
        </w:rPr>
        <w:t>年</w:t>
      </w:r>
      <w:r w:rsidR="005E08EC">
        <w:rPr>
          <w:bCs/>
          <w:sz w:val="24"/>
        </w:rPr>
        <w:t>1</w:t>
      </w:r>
      <w:r w:rsidR="00436D9B">
        <w:rPr>
          <w:bCs/>
          <w:sz w:val="24"/>
        </w:rPr>
        <w:t>2</w:t>
      </w:r>
      <w:r w:rsidR="00546A23" w:rsidRPr="00794F23">
        <w:rPr>
          <w:rFonts w:hint="eastAsia"/>
          <w:bCs/>
          <w:sz w:val="24"/>
        </w:rPr>
        <w:t>月</w:t>
      </w:r>
      <w:r w:rsidR="005E08EC">
        <w:rPr>
          <w:bCs/>
          <w:sz w:val="24"/>
        </w:rPr>
        <w:t>2</w:t>
      </w:r>
      <w:r w:rsidR="00436D9B">
        <w:rPr>
          <w:bCs/>
          <w:sz w:val="24"/>
        </w:rPr>
        <w:t>7</w:t>
      </w:r>
      <w:r w:rsidR="00546A23" w:rsidRPr="00794F23">
        <w:rPr>
          <w:rFonts w:hint="eastAsia"/>
          <w:bCs/>
          <w:sz w:val="24"/>
        </w:rPr>
        <w:t>日，自</w:t>
      </w:r>
      <w:r w:rsidR="005E08EC">
        <w:rPr>
          <w:bCs/>
          <w:sz w:val="24"/>
        </w:rPr>
        <w:t>202</w:t>
      </w:r>
      <w:r w:rsidR="00436D9B">
        <w:rPr>
          <w:bCs/>
          <w:sz w:val="24"/>
        </w:rPr>
        <w:t>3</w:t>
      </w:r>
      <w:r w:rsidR="00546A23" w:rsidRPr="00794F23">
        <w:rPr>
          <w:rFonts w:hint="eastAsia"/>
          <w:bCs/>
          <w:sz w:val="24"/>
        </w:rPr>
        <w:t>年</w:t>
      </w:r>
      <w:r w:rsidR="005E08EC">
        <w:rPr>
          <w:bCs/>
          <w:sz w:val="24"/>
        </w:rPr>
        <w:t>1</w:t>
      </w:r>
      <w:r w:rsidR="00436D9B">
        <w:rPr>
          <w:bCs/>
          <w:sz w:val="24"/>
        </w:rPr>
        <w:t>2</w:t>
      </w:r>
      <w:r w:rsidR="00546A23" w:rsidRPr="00794F23">
        <w:rPr>
          <w:rFonts w:hint="eastAsia"/>
          <w:bCs/>
          <w:sz w:val="24"/>
        </w:rPr>
        <w:t>月</w:t>
      </w:r>
      <w:r w:rsidR="00436D9B">
        <w:rPr>
          <w:bCs/>
          <w:sz w:val="24"/>
        </w:rPr>
        <w:t>28</w:t>
      </w:r>
      <w:r w:rsidR="00546A23" w:rsidRPr="00794F23">
        <w:rPr>
          <w:rFonts w:hint="eastAsia"/>
          <w:bCs/>
          <w:sz w:val="24"/>
        </w:rPr>
        <w:t>日起，本基金进入基金财产清算程序。</w:t>
      </w:r>
      <w:r w:rsidR="00FF1BD0">
        <w:rPr>
          <w:rFonts w:hint="eastAsia"/>
          <w:bCs/>
          <w:sz w:val="24"/>
        </w:rPr>
        <w:t>本基金管理人于</w:t>
      </w:r>
      <w:r w:rsidR="00FF1BD0">
        <w:rPr>
          <w:rFonts w:hint="eastAsia"/>
          <w:bCs/>
          <w:sz w:val="24"/>
        </w:rPr>
        <w:t>2</w:t>
      </w:r>
      <w:r w:rsidR="00FF1BD0">
        <w:rPr>
          <w:bCs/>
          <w:sz w:val="24"/>
        </w:rPr>
        <w:t>02</w:t>
      </w:r>
      <w:r w:rsidR="00436D9B">
        <w:rPr>
          <w:bCs/>
          <w:sz w:val="24"/>
        </w:rPr>
        <w:t>4</w:t>
      </w:r>
      <w:r w:rsidR="00FF1BD0">
        <w:rPr>
          <w:rFonts w:hint="eastAsia"/>
          <w:bCs/>
          <w:sz w:val="24"/>
        </w:rPr>
        <w:t>年</w:t>
      </w:r>
      <w:r w:rsidR="00FF1BD0">
        <w:rPr>
          <w:bCs/>
          <w:sz w:val="24"/>
        </w:rPr>
        <w:t>1</w:t>
      </w:r>
      <w:r w:rsidR="00FF1BD0">
        <w:rPr>
          <w:rFonts w:hint="eastAsia"/>
          <w:bCs/>
          <w:sz w:val="24"/>
        </w:rPr>
        <w:t>月</w:t>
      </w:r>
      <w:r w:rsidR="00436D9B">
        <w:rPr>
          <w:rFonts w:hint="eastAsia"/>
          <w:bCs/>
          <w:sz w:val="24"/>
        </w:rPr>
        <w:t>2</w:t>
      </w:r>
      <w:r w:rsidR="00FF1BD0">
        <w:rPr>
          <w:rFonts w:hint="eastAsia"/>
          <w:bCs/>
          <w:sz w:val="24"/>
        </w:rPr>
        <w:t>日发布《</w:t>
      </w:r>
      <w:r w:rsidR="00436D9B" w:rsidRPr="00436D9B">
        <w:rPr>
          <w:rFonts w:hint="eastAsia"/>
          <w:bCs/>
          <w:sz w:val="24"/>
        </w:rPr>
        <w:t>华夏基金管理有限公司关于华夏粤港澳大湾区创新</w:t>
      </w:r>
      <w:r w:rsidR="00436D9B" w:rsidRPr="00436D9B">
        <w:rPr>
          <w:rFonts w:hint="eastAsia"/>
          <w:bCs/>
          <w:sz w:val="24"/>
        </w:rPr>
        <w:t>100</w:t>
      </w:r>
      <w:r w:rsidR="00436D9B" w:rsidRPr="00436D9B">
        <w:rPr>
          <w:rFonts w:hint="eastAsia"/>
          <w:bCs/>
          <w:sz w:val="24"/>
        </w:rPr>
        <w:t>交易型开放式指数证券投资基金终止上市的公告</w:t>
      </w:r>
      <w:r w:rsidR="00FF1BD0">
        <w:rPr>
          <w:rFonts w:hint="eastAsia"/>
          <w:bCs/>
          <w:sz w:val="24"/>
        </w:rPr>
        <w:t>》，本基金于</w:t>
      </w:r>
      <w:r w:rsidR="00FF1BD0">
        <w:rPr>
          <w:rFonts w:hint="eastAsia"/>
          <w:bCs/>
          <w:sz w:val="24"/>
        </w:rPr>
        <w:t>2</w:t>
      </w:r>
      <w:r w:rsidR="00FF1BD0">
        <w:rPr>
          <w:bCs/>
          <w:sz w:val="24"/>
        </w:rPr>
        <w:t>02</w:t>
      </w:r>
      <w:r w:rsidR="00436D9B">
        <w:rPr>
          <w:bCs/>
          <w:sz w:val="24"/>
        </w:rPr>
        <w:t>4</w:t>
      </w:r>
      <w:r w:rsidR="00FF1BD0">
        <w:rPr>
          <w:rFonts w:hint="eastAsia"/>
          <w:bCs/>
          <w:sz w:val="24"/>
        </w:rPr>
        <w:t>年</w:t>
      </w:r>
      <w:r w:rsidR="00FF1BD0">
        <w:rPr>
          <w:rFonts w:hint="eastAsia"/>
          <w:bCs/>
          <w:sz w:val="24"/>
        </w:rPr>
        <w:t>1</w:t>
      </w:r>
      <w:r w:rsidR="00FF1BD0">
        <w:rPr>
          <w:rFonts w:hint="eastAsia"/>
          <w:bCs/>
          <w:sz w:val="24"/>
        </w:rPr>
        <w:t>月</w:t>
      </w:r>
      <w:r w:rsidR="00436D9B">
        <w:rPr>
          <w:bCs/>
          <w:sz w:val="24"/>
        </w:rPr>
        <w:t>5</w:t>
      </w:r>
      <w:r w:rsidR="00FF1BD0">
        <w:rPr>
          <w:rFonts w:hint="eastAsia"/>
          <w:bCs/>
          <w:sz w:val="24"/>
        </w:rPr>
        <w:t>日终止上市。</w:t>
      </w:r>
    </w:p>
    <w:p w:rsidR="00E95515" w:rsidRPr="00D21EC6" w:rsidRDefault="00E95515" w:rsidP="003B2E4F">
      <w:pPr>
        <w:overflowPunct w:val="0"/>
        <w:autoSpaceDE w:val="0"/>
        <w:autoSpaceDN w:val="0"/>
        <w:snapToGrid w:val="0"/>
        <w:spacing w:line="360" w:lineRule="auto"/>
        <w:ind w:firstLineChars="200" w:firstLine="480"/>
        <w:rPr>
          <w:rFonts w:hAnsi="宋体" w:hint="eastAsia"/>
          <w:sz w:val="24"/>
        </w:rPr>
      </w:pPr>
      <w:r w:rsidRPr="00C93698">
        <w:rPr>
          <w:rFonts w:hAnsi="宋体" w:hint="eastAsia"/>
          <w:sz w:val="24"/>
        </w:rPr>
        <w:t>基金管理人、基金托管</w:t>
      </w:r>
      <w:r w:rsidRPr="00237B47">
        <w:rPr>
          <w:rFonts w:hAnsi="宋体" w:hint="eastAsia"/>
          <w:sz w:val="24"/>
        </w:rPr>
        <w:t>人、</w:t>
      </w:r>
      <w:r w:rsidR="00546A23" w:rsidRPr="00237B47">
        <w:rPr>
          <w:rFonts w:hAnsi="宋体" w:hint="eastAsia"/>
          <w:sz w:val="24"/>
        </w:rPr>
        <w:t>普华永道中天</w:t>
      </w:r>
      <w:r w:rsidR="00D21EC6" w:rsidRPr="005C6FD0">
        <w:rPr>
          <w:rFonts w:hAnsi="宋体"/>
          <w:sz w:val="24"/>
        </w:rPr>
        <w:t>会</w:t>
      </w:r>
      <w:r w:rsidR="00D21EC6" w:rsidRPr="00A437B3">
        <w:rPr>
          <w:rFonts w:hAnsi="宋体"/>
          <w:sz w:val="24"/>
        </w:rPr>
        <w:t>计</w:t>
      </w:r>
      <w:r w:rsidR="00D21EC6" w:rsidRPr="005D17CF">
        <w:rPr>
          <w:rFonts w:hAnsi="宋体"/>
          <w:sz w:val="24"/>
        </w:rPr>
        <w:t>师事务所（特殊普通合伙</w:t>
      </w:r>
      <w:r w:rsidR="00D21EC6" w:rsidRPr="00357AF0">
        <w:rPr>
          <w:rFonts w:hAnsi="宋体"/>
          <w:sz w:val="24"/>
        </w:rPr>
        <w:t>）</w:t>
      </w:r>
      <w:r w:rsidRPr="00357AF0">
        <w:rPr>
          <w:rFonts w:hAnsi="宋体" w:hint="eastAsia"/>
          <w:sz w:val="24"/>
        </w:rPr>
        <w:t>和</w:t>
      </w:r>
      <w:r w:rsidR="00D21EC6" w:rsidRPr="005D17CF">
        <w:rPr>
          <w:rFonts w:hAnsi="宋体"/>
          <w:sz w:val="24"/>
        </w:rPr>
        <w:t>北京市天元律师事务所</w:t>
      </w:r>
      <w:r w:rsidR="00F3765E" w:rsidRPr="005D17CF">
        <w:rPr>
          <w:rFonts w:hAnsi="宋体" w:hint="eastAsia"/>
          <w:sz w:val="24"/>
        </w:rPr>
        <w:t>成立</w:t>
      </w:r>
      <w:r w:rsidR="00D21EC6" w:rsidRPr="005D17CF">
        <w:rPr>
          <w:rFonts w:hAnsi="宋体" w:hint="eastAsia"/>
          <w:sz w:val="24"/>
        </w:rPr>
        <w:t>基金财产清算组</w:t>
      </w:r>
      <w:r w:rsidRPr="005D17CF">
        <w:rPr>
          <w:rFonts w:hAnsi="宋体" w:hint="eastAsia"/>
          <w:sz w:val="24"/>
        </w:rPr>
        <w:t>履行基金财产清算程序</w:t>
      </w:r>
      <w:r w:rsidRPr="00237B47">
        <w:rPr>
          <w:rFonts w:hAnsi="宋体" w:hint="eastAsia"/>
          <w:sz w:val="24"/>
        </w:rPr>
        <w:t>，由</w:t>
      </w:r>
      <w:r w:rsidR="00546A23" w:rsidRPr="00237B47">
        <w:rPr>
          <w:rFonts w:hAnsi="宋体" w:hint="eastAsia"/>
          <w:sz w:val="24"/>
        </w:rPr>
        <w:t>普华永道中天</w:t>
      </w:r>
      <w:r w:rsidR="00EB312C" w:rsidRPr="005C6FD0">
        <w:rPr>
          <w:rFonts w:hAnsi="宋体"/>
          <w:sz w:val="24"/>
        </w:rPr>
        <w:t>会</w:t>
      </w:r>
      <w:r w:rsidR="00EB312C" w:rsidRPr="005D17CF">
        <w:rPr>
          <w:rFonts w:hAnsi="宋体"/>
          <w:sz w:val="24"/>
        </w:rPr>
        <w:t>计师事务</w:t>
      </w:r>
      <w:r w:rsidR="00EB312C" w:rsidRPr="00357AF0">
        <w:rPr>
          <w:rFonts w:hAnsi="宋体"/>
          <w:sz w:val="24"/>
        </w:rPr>
        <w:t>所（特殊普通合伙）</w:t>
      </w:r>
      <w:r w:rsidRPr="00357AF0">
        <w:rPr>
          <w:rFonts w:hAnsi="宋体" w:hint="eastAsia"/>
          <w:sz w:val="24"/>
        </w:rPr>
        <w:t>对</w:t>
      </w:r>
      <w:r w:rsidR="00604F51" w:rsidRPr="005D17CF">
        <w:rPr>
          <w:rFonts w:hAnsi="宋体" w:hint="eastAsia"/>
          <w:sz w:val="24"/>
        </w:rPr>
        <w:t>本基金</w:t>
      </w:r>
      <w:r w:rsidRPr="005D17CF">
        <w:rPr>
          <w:rFonts w:hAnsi="宋体" w:hint="eastAsia"/>
          <w:sz w:val="24"/>
        </w:rPr>
        <w:t>进行</w:t>
      </w:r>
      <w:r w:rsidR="00604F51" w:rsidRPr="005D17CF">
        <w:rPr>
          <w:rFonts w:hAnsi="宋体" w:hint="eastAsia"/>
          <w:sz w:val="24"/>
        </w:rPr>
        <w:t>清算</w:t>
      </w:r>
      <w:r w:rsidRPr="005D17CF">
        <w:rPr>
          <w:rFonts w:hAnsi="宋体" w:hint="eastAsia"/>
          <w:sz w:val="24"/>
        </w:rPr>
        <w:t>审计，</w:t>
      </w:r>
      <w:r w:rsidR="00B24D74">
        <w:rPr>
          <w:rFonts w:hAnsi="宋体" w:hint="eastAsia"/>
          <w:sz w:val="24"/>
        </w:rPr>
        <w:t>由</w:t>
      </w:r>
      <w:r w:rsidR="00EB312C" w:rsidRPr="005D17CF">
        <w:rPr>
          <w:rFonts w:hAnsi="宋体"/>
          <w:sz w:val="24"/>
        </w:rPr>
        <w:t>北京市天元律师</w:t>
      </w:r>
      <w:r w:rsidR="00EB312C" w:rsidRPr="00357AF0">
        <w:rPr>
          <w:rFonts w:hAnsi="宋体"/>
          <w:sz w:val="24"/>
        </w:rPr>
        <w:t>事</w:t>
      </w:r>
      <w:r w:rsidR="00EB312C" w:rsidRPr="00C93698">
        <w:rPr>
          <w:rFonts w:hAnsi="宋体"/>
          <w:sz w:val="24"/>
        </w:rPr>
        <w:t>务所</w:t>
      </w:r>
      <w:r w:rsidRPr="00C93698">
        <w:rPr>
          <w:rFonts w:hAnsi="宋体" w:hint="eastAsia"/>
          <w:sz w:val="24"/>
        </w:rPr>
        <w:t>对清算</w:t>
      </w:r>
      <w:r w:rsidR="00603E15">
        <w:rPr>
          <w:rFonts w:hAnsi="宋体" w:hint="eastAsia"/>
          <w:sz w:val="24"/>
        </w:rPr>
        <w:t>事宜</w:t>
      </w:r>
      <w:r w:rsidRPr="00C93698">
        <w:rPr>
          <w:rFonts w:hAnsi="宋体" w:hint="eastAsia"/>
          <w:sz w:val="24"/>
        </w:rPr>
        <w:t>出具法律意见。</w:t>
      </w:r>
    </w:p>
    <w:p w:rsidR="00F60BB1" w:rsidRDefault="00415716" w:rsidP="00625C7F">
      <w:pPr>
        <w:pStyle w:val="1"/>
        <w:numPr>
          <w:ilvl w:val="0"/>
          <w:numId w:val="6"/>
        </w:numPr>
        <w:spacing w:before="100" w:beforeAutospacing="1" w:after="100" w:afterAutospacing="1" w:line="360" w:lineRule="auto"/>
        <w:jc w:val="center"/>
        <w:rPr>
          <w:rStyle w:val="2CharCharChar"/>
          <w:rFonts w:ascii="Times New Roman" w:hAnsi="Times New Roman"/>
          <w:b/>
          <w:bCs w:val="0"/>
          <w:szCs w:val="24"/>
        </w:rPr>
      </w:pPr>
      <w:bookmarkStart w:id="3" w:name="_Toc447194468"/>
      <w:r w:rsidRPr="00415716">
        <w:rPr>
          <w:rStyle w:val="2CharCharChar"/>
          <w:rFonts w:ascii="Times New Roman" w:hAnsi="Times New Roman"/>
          <w:b/>
          <w:bCs w:val="0"/>
          <w:szCs w:val="24"/>
        </w:rPr>
        <w:t>基金概况</w:t>
      </w:r>
      <w:bookmarkEnd w:id="3"/>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5814"/>
      </w:tblGrid>
      <w:tr w:rsidR="00680AA6" w:rsidRPr="00680AA6" w:rsidTr="001B4AED">
        <w:tc>
          <w:tcPr>
            <w:tcW w:w="3258" w:type="dxa"/>
            <w:vAlign w:val="center"/>
          </w:tcPr>
          <w:p w:rsidR="00680AA6" w:rsidRPr="00680AA6" w:rsidRDefault="00680AA6" w:rsidP="00680AA6">
            <w:pPr>
              <w:rPr>
                <w:kern w:val="0"/>
                <w:szCs w:val="21"/>
              </w:rPr>
            </w:pPr>
            <w:r w:rsidRPr="00680AA6">
              <w:rPr>
                <w:szCs w:val="21"/>
              </w:rPr>
              <w:t>基金名称</w:t>
            </w:r>
          </w:p>
        </w:tc>
        <w:tc>
          <w:tcPr>
            <w:tcW w:w="5814" w:type="dxa"/>
            <w:vAlign w:val="center"/>
          </w:tcPr>
          <w:p w:rsidR="00680AA6" w:rsidRPr="00680AA6" w:rsidRDefault="0040404B" w:rsidP="00680AA6">
            <w:pPr>
              <w:rPr>
                <w:szCs w:val="21"/>
              </w:rPr>
            </w:pPr>
            <w:r>
              <w:rPr>
                <w:szCs w:val="21"/>
              </w:rPr>
              <w:t>华夏粤港澳大湾区创新</w:t>
            </w:r>
            <w:r>
              <w:rPr>
                <w:szCs w:val="21"/>
              </w:rPr>
              <w:t>100</w:t>
            </w:r>
            <w:r>
              <w:rPr>
                <w:szCs w:val="21"/>
              </w:rPr>
              <w:t>交易型开放式指数证券投资基金</w:t>
            </w:r>
          </w:p>
        </w:tc>
      </w:tr>
      <w:tr w:rsidR="00680AA6" w:rsidRPr="00680AA6" w:rsidTr="001B4AED">
        <w:tc>
          <w:tcPr>
            <w:tcW w:w="3258" w:type="dxa"/>
            <w:vAlign w:val="center"/>
          </w:tcPr>
          <w:p w:rsidR="00680AA6" w:rsidRPr="00680AA6" w:rsidRDefault="00680AA6" w:rsidP="00680AA6">
            <w:pPr>
              <w:rPr>
                <w:kern w:val="0"/>
                <w:szCs w:val="21"/>
              </w:rPr>
            </w:pPr>
            <w:r w:rsidRPr="00680AA6">
              <w:rPr>
                <w:szCs w:val="21"/>
              </w:rPr>
              <w:t>基金简称</w:t>
            </w:r>
          </w:p>
        </w:tc>
        <w:tc>
          <w:tcPr>
            <w:tcW w:w="5814" w:type="dxa"/>
            <w:vAlign w:val="center"/>
          </w:tcPr>
          <w:p w:rsidR="00680AA6" w:rsidRPr="00680AA6" w:rsidRDefault="00436D9B" w:rsidP="00680AA6">
            <w:pPr>
              <w:rPr>
                <w:szCs w:val="21"/>
              </w:rPr>
            </w:pPr>
            <w:r>
              <w:rPr>
                <w:rFonts w:hint="eastAsia"/>
                <w:szCs w:val="21"/>
              </w:rPr>
              <w:t>华夏粤港澳大湾区创新</w:t>
            </w:r>
            <w:r>
              <w:rPr>
                <w:rFonts w:hint="eastAsia"/>
                <w:szCs w:val="21"/>
              </w:rPr>
              <w:t>100ETF</w:t>
            </w:r>
          </w:p>
        </w:tc>
      </w:tr>
      <w:tr w:rsidR="00680AA6" w:rsidRPr="00680AA6" w:rsidTr="001B4AED">
        <w:tc>
          <w:tcPr>
            <w:tcW w:w="3258" w:type="dxa"/>
            <w:vAlign w:val="center"/>
          </w:tcPr>
          <w:p w:rsidR="00680AA6" w:rsidRPr="00680AA6" w:rsidRDefault="00680AA6" w:rsidP="00680AA6">
            <w:pPr>
              <w:rPr>
                <w:szCs w:val="21"/>
              </w:rPr>
            </w:pPr>
            <w:r w:rsidRPr="00680AA6">
              <w:rPr>
                <w:szCs w:val="21"/>
              </w:rPr>
              <w:t>场内简称</w:t>
            </w:r>
          </w:p>
        </w:tc>
        <w:tc>
          <w:tcPr>
            <w:tcW w:w="5814" w:type="dxa"/>
            <w:vAlign w:val="center"/>
          </w:tcPr>
          <w:p w:rsidR="00680AA6" w:rsidRPr="00680AA6" w:rsidRDefault="00436D9B" w:rsidP="00680AA6">
            <w:pPr>
              <w:rPr>
                <w:szCs w:val="21"/>
              </w:rPr>
            </w:pPr>
            <w:r w:rsidRPr="00436D9B">
              <w:rPr>
                <w:rFonts w:hint="eastAsia"/>
                <w:szCs w:val="21"/>
              </w:rPr>
              <w:t>粤港澳大湾区</w:t>
            </w:r>
            <w:r w:rsidRPr="00436D9B">
              <w:rPr>
                <w:rFonts w:hint="eastAsia"/>
                <w:szCs w:val="21"/>
              </w:rPr>
              <w:t>ETF</w:t>
            </w:r>
          </w:p>
        </w:tc>
      </w:tr>
      <w:tr w:rsidR="00680AA6" w:rsidRPr="00680AA6" w:rsidTr="001B4AED">
        <w:tc>
          <w:tcPr>
            <w:tcW w:w="3258" w:type="dxa"/>
            <w:vAlign w:val="center"/>
          </w:tcPr>
          <w:p w:rsidR="00680AA6" w:rsidRPr="00680AA6" w:rsidRDefault="00680AA6" w:rsidP="00680AA6">
            <w:pPr>
              <w:rPr>
                <w:kern w:val="0"/>
                <w:szCs w:val="21"/>
              </w:rPr>
            </w:pPr>
            <w:r w:rsidRPr="00680AA6">
              <w:rPr>
                <w:szCs w:val="21"/>
              </w:rPr>
              <w:t>基金代码</w:t>
            </w:r>
          </w:p>
        </w:tc>
        <w:tc>
          <w:tcPr>
            <w:tcW w:w="5814" w:type="dxa"/>
            <w:vAlign w:val="center"/>
          </w:tcPr>
          <w:p w:rsidR="00680AA6" w:rsidRPr="00680AA6" w:rsidRDefault="00436D9B" w:rsidP="00680AA6">
            <w:pPr>
              <w:rPr>
                <w:szCs w:val="21"/>
              </w:rPr>
            </w:pPr>
            <w:r w:rsidRPr="00436D9B">
              <w:rPr>
                <w:szCs w:val="21"/>
              </w:rPr>
              <w:t>159983</w:t>
            </w:r>
          </w:p>
        </w:tc>
      </w:tr>
      <w:tr w:rsidR="00680AA6" w:rsidRPr="00680AA6" w:rsidTr="001B4AED">
        <w:tc>
          <w:tcPr>
            <w:tcW w:w="3258" w:type="dxa"/>
            <w:vAlign w:val="center"/>
          </w:tcPr>
          <w:p w:rsidR="00680AA6" w:rsidRPr="00680AA6" w:rsidRDefault="00680AA6" w:rsidP="00680AA6">
            <w:pPr>
              <w:rPr>
                <w:kern w:val="0"/>
                <w:szCs w:val="21"/>
              </w:rPr>
            </w:pPr>
            <w:r w:rsidRPr="00680AA6">
              <w:rPr>
                <w:szCs w:val="21"/>
              </w:rPr>
              <w:t>基金运作方式</w:t>
            </w:r>
          </w:p>
        </w:tc>
        <w:tc>
          <w:tcPr>
            <w:tcW w:w="5814" w:type="dxa"/>
            <w:vAlign w:val="center"/>
          </w:tcPr>
          <w:p w:rsidR="00680AA6" w:rsidRPr="00680AA6" w:rsidRDefault="00680AA6" w:rsidP="00680AA6">
            <w:pPr>
              <w:rPr>
                <w:szCs w:val="21"/>
              </w:rPr>
            </w:pPr>
            <w:r w:rsidRPr="00680AA6">
              <w:rPr>
                <w:szCs w:val="21"/>
              </w:rPr>
              <w:t>交易型开放式</w:t>
            </w:r>
          </w:p>
        </w:tc>
      </w:tr>
      <w:tr w:rsidR="00680AA6" w:rsidRPr="00680AA6" w:rsidTr="001B4AED">
        <w:tc>
          <w:tcPr>
            <w:tcW w:w="3258" w:type="dxa"/>
            <w:vAlign w:val="center"/>
          </w:tcPr>
          <w:p w:rsidR="00680AA6" w:rsidRPr="00680AA6" w:rsidRDefault="00680AA6" w:rsidP="00680AA6">
            <w:pPr>
              <w:rPr>
                <w:kern w:val="0"/>
                <w:szCs w:val="21"/>
              </w:rPr>
            </w:pPr>
            <w:r w:rsidRPr="00680AA6">
              <w:rPr>
                <w:szCs w:val="21"/>
              </w:rPr>
              <w:t>基金合同生效日</w:t>
            </w:r>
          </w:p>
        </w:tc>
        <w:tc>
          <w:tcPr>
            <w:tcW w:w="5814" w:type="dxa"/>
            <w:vAlign w:val="center"/>
          </w:tcPr>
          <w:p w:rsidR="00680AA6" w:rsidRPr="00680AA6" w:rsidRDefault="00896FD0" w:rsidP="00680AA6">
            <w:pPr>
              <w:rPr>
                <w:szCs w:val="21"/>
              </w:rPr>
            </w:pPr>
            <w:r w:rsidRPr="00680AA6">
              <w:rPr>
                <w:szCs w:val="21"/>
              </w:rPr>
              <w:t>20</w:t>
            </w:r>
            <w:r w:rsidR="00436D9B">
              <w:rPr>
                <w:szCs w:val="21"/>
              </w:rPr>
              <w:t>20</w:t>
            </w:r>
            <w:r w:rsidR="00680AA6" w:rsidRPr="00680AA6">
              <w:rPr>
                <w:szCs w:val="21"/>
              </w:rPr>
              <w:t>年</w:t>
            </w:r>
            <w:r w:rsidR="00436D9B">
              <w:rPr>
                <w:szCs w:val="21"/>
              </w:rPr>
              <w:t>2</w:t>
            </w:r>
            <w:r w:rsidR="00680AA6" w:rsidRPr="00680AA6">
              <w:rPr>
                <w:szCs w:val="21"/>
              </w:rPr>
              <w:t>月</w:t>
            </w:r>
            <w:r w:rsidR="00436D9B">
              <w:rPr>
                <w:szCs w:val="21"/>
              </w:rPr>
              <w:t>25</w:t>
            </w:r>
            <w:r w:rsidR="00680AA6" w:rsidRPr="00680AA6">
              <w:rPr>
                <w:szCs w:val="21"/>
              </w:rPr>
              <w:t>日</w:t>
            </w:r>
          </w:p>
        </w:tc>
      </w:tr>
      <w:tr w:rsidR="00680AA6" w:rsidRPr="00680AA6" w:rsidTr="001B4AED">
        <w:tc>
          <w:tcPr>
            <w:tcW w:w="3258" w:type="dxa"/>
            <w:vAlign w:val="center"/>
          </w:tcPr>
          <w:p w:rsidR="00680AA6" w:rsidRPr="00680AA6" w:rsidRDefault="00680AA6" w:rsidP="00680AA6">
            <w:pPr>
              <w:rPr>
                <w:kern w:val="0"/>
                <w:szCs w:val="21"/>
              </w:rPr>
            </w:pPr>
            <w:r w:rsidRPr="00680AA6">
              <w:rPr>
                <w:szCs w:val="21"/>
              </w:rPr>
              <w:t>基金管理人</w:t>
            </w:r>
          </w:p>
        </w:tc>
        <w:tc>
          <w:tcPr>
            <w:tcW w:w="5814" w:type="dxa"/>
            <w:vAlign w:val="center"/>
          </w:tcPr>
          <w:p w:rsidR="00680AA6" w:rsidRPr="00680AA6" w:rsidRDefault="00680AA6" w:rsidP="00680AA6">
            <w:pPr>
              <w:rPr>
                <w:szCs w:val="21"/>
              </w:rPr>
            </w:pPr>
            <w:r w:rsidRPr="00680AA6">
              <w:rPr>
                <w:szCs w:val="21"/>
              </w:rPr>
              <w:t>华夏基金管理有限公司</w:t>
            </w:r>
          </w:p>
        </w:tc>
      </w:tr>
      <w:tr w:rsidR="00680AA6" w:rsidRPr="00680AA6" w:rsidTr="001B4AED">
        <w:tc>
          <w:tcPr>
            <w:tcW w:w="3258" w:type="dxa"/>
            <w:vAlign w:val="center"/>
          </w:tcPr>
          <w:p w:rsidR="00680AA6" w:rsidRPr="00680AA6" w:rsidRDefault="00680AA6" w:rsidP="00680AA6">
            <w:pPr>
              <w:rPr>
                <w:kern w:val="0"/>
                <w:szCs w:val="21"/>
              </w:rPr>
            </w:pPr>
            <w:r w:rsidRPr="00680AA6">
              <w:rPr>
                <w:szCs w:val="21"/>
              </w:rPr>
              <w:t>基金托管人</w:t>
            </w:r>
          </w:p>
        </w:tc>
        <w:tc>
          <w:tcPr>
            <w:tcW w:w="5814" w:type="dxa"/>
            <w:vAlign w:val="center"/>
          </w:tcPr>
          <w:p w:rsidR="00680AA6" w:rsidRPr="00680AA6" w:rsidRDefault="00436D9B" w:rsidP="00680AA6">
            <w:pPr>
              <w:rPr>
                <w:szCs w:val="21"/>
              </w:rPr>
            </w:pPr>
            <w:r w:rsidRPr="00436D9B">
              <w:rPr>
                <w:rFonts w:hint="eastAsia"/>
                <w:szCs w:val="21"/>
              </w:rPr>
              <w:t>招商银行股份有限公司</w:t>
            </w:r>
          </w:p>
        </w:tc>
      </w:tr>
      <w:tr w:rsidR="00680AA6" w:rsidRPr="00680AA6" w:rsidTr="001B4AED">
        <w:tc>
          <w:tcPr>
            <w:tcW w:w="3258" w:type="dxa"/>
            <w:vAlign w:val="center"/>
          </w:tcPr>
          <w:p w:rsidR="00680AA6" w:rsidRPr="00680AA6" w:rsidRDefault="00680AA6" w:rsidP="00680AA6">
            <w:pPr>
              <w:rPr>
                <w:kern w:val="0"/>
                <w:szCs w:val="21"/>
              </w:rPr>
            </w:pPr>
            <w:r w:rsidRPr="00680AA6">
              <w:rPr>
                <w:szCs w:val="21"/>
              </w:rPr>
              <w:t>基金份额上市的证券交易所</w:t>
            </w:r>
          </w:p>
        </w:tc>
        <w:tc>
          <w:tcPr>
            <w:tcW w:w="5814" w:type="dxa"/>
            <w:vAlign w:val="center"/>
          </w:tcPr>
          <w:p w:rsidR="00680AA6" w:rsidRPr="00680AA6" w:rsidRDefault="00896FD0" w:rsidP="00680AA6">
            <w:pPr>
              <w:rPr>
                <w:szCs w:val="21"/>
              </w:rPr>
            </w:pPr>
            <w:r>
              <w:rPr>
                <w:szCs w:val="21"/>
              </w:rPr>
              <w:t>深圳证券交易所</w:t>
            </w:r>
          </w:p>
        </w:tc>
      </w:tr>
      <w:tr w:rsidR="00680AA6" w:rsidRPr="00680AA6" w:rsidTr="001B4AED">
        <w:tc>
          <w:tcPr>
            <w:tcW w:w="3258" w:type="dxa"/>
            <w:vAlign w:val="center"/>
          </w:tcPr>
          <w:p w:rsidR="00680AA6" w:rsidRPr="00680AA6" w:rsidRDefault="00680AA6" w:rsidP="00680AA6">
            <w:pPr>
              <w:rPr>
                <w:kern w:val="0"/>
                <w:szCs w:val="21"/>
              </w:rPr>
            </w:pPr>
            <w:r w:rsidRPr="00680AA6">
              <w:rPr>
                <w:szCs w:val="21"/>
              </w:rPr>
              <w:t>上市日期</w:t>
            </w:r>
          </w:p>
        </w:tc>
        <w:tc>
          <w:tcPr>
            <w:tcW w:w="5814" w:type="dxa"/>
            <w:vAlign w:val="center"/>
          </w:tcPr>
          <w:p w:rsidR="00680AA6" w:rsidRPr="00680AA6" w:rsidRDefault="00896FD0" w:rsidP="00680AA6">
            <w:pPr>
              <w:rPr>
                <w:szCs w:val="21"/>
              </w:rPr>
            </w:pPr>
            <w:r w:rsidRPr="00896FD0">
              <w:rPr>
                <w:rFonts w:hint="eastAsia"/>
                <w:szCs w:val="21"/>
              </w:rPr>
              <w:t>20</w:t>
            </w:r>
            <w:r w:rsidR="00436D9B">
              <w:rPr>
                <w:szCs w:val="21"/>
              </w:rPr>
              <w:t>20</w:t>
            </w:r>
            <w:r w:rsidRPr="00896FD0">
              <w:rPr>
                <w:rFonts w:hint="eastAsia"/>
                <w:szCs w:val="21"/>
              </w:rPr>
              <w:t>年</w:t>
            </w:r>
            <w:r w:rsidRPr="00896FD0">
              <w:rPr>
                <w:rFonts w:hint="eastAsia"/>
                <w:szCs w:val="21"/>
              </w:rPr>
              <w:t>4</w:t>
            </w:r>
            <w:r w:rsidRPr="00896FD0">
              <w:rPr>
                <w:rFonts w:hint="eastAsia"/>
                <w:szCs w:val="21"/>
              </w:rPr>
              <w:t>月</w:t>
            </w:r>
            <w:r w:rsidR="00436D9B">
              <w:rPr>
                <w:szCs w:val="21"/>
              </w:rPr>
              <w:t>23</w:t>
            </w:r>
            <w:r w:rsidRPr="00896FD0">
              <w:rPr>
                <w:rFonts w:hint="eastAsia"/>
                <w:szCs w:val="21"/>
              </w:rPr>
              <w:t>日</w:t>
            </w:r>
          </w:p>
        </w:tc>
      </w:tr>
      <w:tr w:rsidR="00680AA6" w:rsidRPr="00680AA6" w:rsidTr="001B4AED">
        <w:tc>
          <w:tcPr>
            <w:tcW w:w="3258" w:type="dxa"/>
            <w:vAlign w:val="center"/>
          </w:tcPr>
          <w:p w:rsidR="00680AA6" w:rsidRPr="00680AA6" w:rsidRDefault="00680AA6" w:rsidP="00680AA6">
            <w:pPr>
              <w:rPr>
                <w:szCs w:val="21"/>
              </w:rPr>
            </w:pPr>
            <w:r w:rsidRPr="000D6CC2">
              <w:rPr>
                <w:szCs w:val="21"/>
              </w:rPr>
              <w:t>注册登记机构</w:t>
            </w:r>
          </w:p>
        </w:tc>
        <w:tc>
          <w:tcPr>
            <w:tcW w:w="5814" w:type="dxa"/>
            <w:vAlign w:val="center"/>
          </w:tcPr>
          <w:p w:rsidR="00680AA6" w:rsidRPr="00680AA6" w:rsidRDefault="00680AA6" w:rsidP="00680AA6">
            <w:pPr>
              <w:rPr>
                <w:szCs w:val="21"/>
              </w:rPr>
            </w:pPr>
            <w:r w:rsidRPr="000D6CC2">
              <w:rPr>
                <w:szCs w:val="21"/>
              </w:rPr>
              <w:t>中国证券登记结算有限责任公司</w:t>
            </w:r>
          </w:p>
        </w:tc>
      </w:tr>
    </w:tbl>
    <w:p w:rsidR="003240A9" w:rsidRPr="003E6510" w:rsidRDefault="008079B9" w:rsidP="003E6510">
      <w:pPr>
        <w:pStyle w:val="1"/>
        <w:spacing w:before="100" w:beforeAutospacing="1" w:after="100" w:afterAutospacing="1" w:line="360" w:lineRule="auto"/>
        <w:jc w:val="center"/>
        <w:rPr>
          <w:rStyle w:val="2CharCharChar"/>
          <w:rFonts w:ascii="Times New Roman" w:hAnsi="Times New Roman"/>
          <w:b/>
          <w:bCs w:val="0"/>
          <w:szCs w:val="24"/>
        </w:rPr>
      </w:pPr>
      <w:bookmarkStart w:id="4" w:name="_Toc447194469"/>
      <w:r w:rsidRPr="003E6510">
        <w:rPr>
          <w:rStyle w:val="2CharCharChar"/>
          <w:rFonts w:ascii="Times New Roman" w:hAnsi="Times New Roman" w:hint="eastAsia"/>
          <w:b/>
          <w:bCs w:val="0"/>
          <w:szCs w:val="24"/>
        </w:rPr>
        <w:t>二</w:t>
      </w:r>
      <w:r w:rsidR="00593F87" w:rsidRPr="003E6510">
        <w:rPr>
          <w:rStyle w:val="2CharCharChar"/>
          <w:rFonts w:ascii="Times New Roman" w:hAnsi="Times New Roman"/>
          <w:b/>
          <w:bCs w:val="0"/>
          <w:szCs w:val="24"/>
        </w:rPr>
        <w:t>、基金运作情况</w:t>
      </w:r>
      <w:bookmarkEnd w:id="4"/>
    </w:p>
    <w:p w:rsidR="00032F4E" w:rsidRDefault="003240A9" w:rsidP="008079B9">
      <w:pPr>
        <w:pStyle w:val="Default"/>
        <w:spacing w:line="360" w:lineRule="auto"/>
        <w:ind w:firstLineChars="200" w:firstLine="480"/>
        <w:rPr>
          <w:rFonts w:ascii="Times New Roman" w:hAnsi="宋体" w:cs="Times New Roman"/>
        </w:rPr>
      </w:pPr>
      <w:r w:rsidRPr="008079B9">
        <w:rPr>
          <w:rFonts w:ascii="Times New Roman" w:hAnsi="宋体" w:cs="Times New Roman"/>
        </w:rPr>
        <w:t>本基金经中国</w:t>
      </w:r>
      <w:r w:rsidR="007532E6">
        <w:rPr>
          <w:rFonts w:ascii="Times New Roman" w:hAnsi="宋体" w:cs="Times New Roman" w:hint="eastAsia"/>
        </w:rPr>
        <w:t>证监会</w:t>
      </w:r>
      <w:r w:rsidR="00D56B12" w:rsidRPr="00D56B12">
        <w:rPr>
          <w:rFonts w:ascii="Times New Roman" w:hAnsi="宋体" w:cs="Times New Roman" w:hint="eastAsia"/>
        </w:rPr>
        <w:t>2019</w:t>
      </w:r>
      <w:r w:rsidR="00D56B12" w:rsidRPr="00D56B12">
        <w:rPr>
          <w:rFonts w:ascii="Times New Roman" w:hAnsi="宋体" w:cs="Times New Roman" w:hint="eastAsia"/>
        </w:rPr>
        <w:t>年</w:t>
      </w:r>
      <w:r w:rsidR="00D56B12" w:rsidRPr="00D56B12">
        <w:rPr>
          <w:rFonts w:ascii="Times New Roman" w:hAnsi="宋体" w:cs="Times New Roman" w:hint="eastAsia"/>
        </w:rPr>
        <w:t>8</w:t>
      </w:r>
      <w:r w:rsidR="00D56B12" w:rsidRPr="00D56B12">
        <w:rPr>
          <w:rFonts w:ascii="Times New Roman" w:hAnsi="宋体" w:cs="Times New Roman" w:hint="eastAsia"/>
        </w:rPr>
        <w:t>月</w:t>
      </w:r>
      <w:r w:rsidR="00D56B12" w:rsidRPr="00D56B12">
        <w:rPr>
          <w:rFonts w:ascii="Times New Roman" w:hAnsi="宋体" w:cs="Times New Roman" w:hint="eastAsia"/>
        </w:rPr>
        <w:t>22</w:t>
      </w:r>
      <w:r w:rsidR="00D56B12" w:rsidRPr="00D56B12">
        <w:rPr>
          <w:rFonts w:ascii="Times New Roman" w:hAnsi="宋体" w:cs="Times New Roman" w:hint="eastAsia"/>
        </w:rPr>
        <w:t>日证监许可</w:t>
      </w:r>
      <w:r w:rsidR="00D56B12" w:rsidRPr="00D56B12">
        <w:rPr>
          <w:rFonts w:ascii="Times New Roman" w:hAnsi="宋体" w:cs="Times New Roman" w:hint="eastAsia"/>
        </w:rPr>
        <w:t>[2019]1537</w:t>
      </w:r>
      <w:r w:rsidR="00D56B12" w:rsidRPr="00D56B12">
        <w:rPr>
          <w:rFonts w:ascii="Times New Roman" w:hAnsi="宋体" w:cs="Times New Roman" w:hint="eastAsia"/>
        </w:rPr>
        <w:t>号文</w:t>
      </w:r>
      <w:r w:rsidR="00680AA6" w:rsidRPr="00680AA6">
        <w:rPr>
          <w:rFonts w:ascii="Times New Roman" w:cs="Times New Roman"/>
          <w:szCs w:val="21"/>
        </w:rPr>
        <w:t>准予注册</w:t>
      </w:r>
      <w:r w:rsidRPr="008079B9">
        <w:rPr>
          <w:rFonts w:ascii="Times New Roman" w:hAnsi="宋体" w:cs="Times New Roman"/>
        </w:rPr>
        <w:t>，由</w:t>
      </w:r>
      <w:r w:rsidR="00CD641F" w:rsidRPr="008079B9">
        <w:rPr>
          <w:rFonts w:ascii="Times New Roman" w:hAnsi="宋体" w:cs="Times New Roman"/>
        </w:rPr>
        <w:t>基金管理人</w:t>
      </w:r>
      <w:r w:rsidRPr="008079B9">
        <w:rPr>
          <w:rFonts w:ascii="Times New Roman" w:hAnsi="宋体" w:cs="Times New Roman"/>
        </w:rPr>
        <w:t>依照</w:t>
      </w:r>
      <w:r w:rsidR="00CD641F" w:rsidRPr="008079B9">
        <w:rPr>
          <w:rFonts w:ascii="Times New Roman" w:hAnsi="宋体" w:cs="Times New Roman"/>
        </w:rPr>
        <w:t>法律法规、</w:t>
      </w:r>
      <w:r w:rsidR="000C4080">
        <w:rPr>
          <w:rFonts w:ascii="Times New Roman" w:hAnsi="宋体" w:cs="Times New Roman" w:hint="eastAsia"/>
        </w:rPr>
        <w:t>本基金</w:t>
      </w:r>
      <w:r w:rsidR="00CD641F" w:rsidRPr="008079B9">
        <w:rPr>
          <w:rFonts w:ascii="Times New Roman" w:hAnsi="宋体" w:cs="Times New Roman"/>
        </w:rPr>
        <w:t>基金合同等</w:t>
      </w:r>
      <w:r w:rsidR="008079B9">
        <w:rPr>
          <w:rFonts w:ascii="Times New Roman" w:hAnsi="宋体" w:cs="Times New Roman" w:hint="eastAsia"/>
        </w:rPr>
        <w:t>规定</w:t>
      </w:r>
      <w:r w:rsidR="00254CB9">
        <w:rPr>
          <w:rFonts w:ascii="Times New Roman" w:hAnsi="宋体" w:cs="Times New Roman" w:hint="eastAsia"/>
        </w:rPr>
        <w:t>自</w:t>
      </w:r>
      <w:r w:rsidR="00D56B12" w:rsidRPr="00D56B12">
        <w:rPr>
          <w:rFonts w:ascii="Times New Roman" w:cs="Times New Roman" w:hint="eastAsia"/>
        </w:rPr>
        <w:t>2020</w:t>
      </w:r>
      <w:r w:rsidR="00D56B12" w:rsidRPr="00D56B12">
        <w:rPr>
          <w:rFonts w:ascii="Times New Roman" w:cs="Times New Roman" w:hint="eastAsia"/>
        </w:rPr>
        <w:t>年</w:t>
      </w:r>
      <w:r w:rsidR="00D56B12" w:rsidRPr="00D56B12">
        <w:rPr>
          <w:rFonts w:ascii="Times New Roman" w:cs="Times New Roman" w:hint="eastAsia"/>
        </w:rPr>
        <w:t>2</w:t>
      </w:r>
      <w:r w:rsidR="00D56B12" w:rsidRPr="00D56B12">
        <w:rPr>
          <w:rFonts w:ascii="Times New Roman" w:cs="Times New Roman" w:hint="eastAsia"/>
        </w:rPr>
        <w:t>月</w:t>
      </w:r>
      <w:r w:rsidR="00D56B12" w:rsidRPr="00D56B12">
        <w:rPr>
          <w:rFonts w:ascii="Times New Roman" w:cs="Times New Roman" w:hint="eastAsia"/>
        </w:rPr>
        <w:t>4</w:t>
      </w:r>
      <w:r w:rsidR="00D56B12" w:rsidRPr="00D56B12">
        <w:rPr>
          <w:rFonts w:ascii="Times New Roman" w:cs="Times New Roman" w:hint="eastAsia"/>
        </w:rPr>
        <w:t>日至</w:t>
      </w:r>
      <w:r w:rsidR="00D56B12" w:rsidRPr="00D56B12">
        <w:rPr>
          <w:rFonts w:ascii="Times New Roman" w:cs="Times New Roman" w:hint="eastAsia"/>
        </w:rPr>
        <w:t>2020</w:t>
      </w:r>
      <w:r w:rsidR="00D56B12" w:rsidRPr="00D56B12">
        <w:rPr>
          <w:rFonts w:ascii="Times New Roman" w:cs="Times New Roman" w:hint="eastAsia"/>
        </w:rPr>
        <w:t>年</w:t>
      </w:r>
      <w:r w:rsidR="00D56B12" w:rsidRPr="00D56B12">
        <w:rPr>
          <w:rFonts w:ascii="Times New Roman" w:cs="Times New Roman" w:hint="eastAsia"/>
        </w:rPr>
        <w:t>2</w:t>
      </w:r>
      <w:r w:rsidR="00D56B12" w:rsidRPr="00D56B12">
        <w:rPr>
          <w:rFonts w:ascii="Times New Roman" w:cs="Times New Roman" w:hint="eastAsia"/>
        </w:rPr>
        <w:t>月</w:t>
      </w:r>
      <w:r w:rsidR="00D56B12" w:rsidRPr="00D56B12">
        <w:rPr>
          <w:rFonts w:ascii="Times New Roman" w:cs="Times New Roman" w:hint="eastAsia"/>
        </w:rPr>
        <w:t>18</w:t>
      </w:r>
      <w:r w:rsidR="00D56B12" w:rsidRPr="00D56B12">
        <w:rPr>
          <w:rFonts w:ascii="Times New Roman" w:cs="Times New Roman" w:hint="eastAsia"/>
        </w:rPr>
        <w:t>日</w:t>
      </w:r>
      <w:r w:rsidRPr="008079B9">
        <w:rPr>
          <w:rFonts w:ascii="Times New Roman" w:hAnsi="宋体" w:cs="Times New Roman"/>
        </w:rPr>
        <w:t>期间</w:t>
      </w:r>
      <w:r w:rsidR="008079B9" w:rsidRPr="008079B9">
        <w:rPr>
          <w:rFonts w:ascii="Times New Roman" w:hAnsi="宋体" w:cs="Times New Roman"/>
        </w:rPr>
        <w:t>向社会公开募集。本基金基金合同</w:t>
      </w:r>
      <w:r w:rsidRPr="008079B9">
        <w:rPr>
          <w:rFonts w:ascii="Times New Roman" w:hAnsi="宋体" w:cs="Times New Roman"/>
        </w:rPr>
        <w:t>于</w:t>
      </w:r>
      <w:r w:rsidR="00D56B12">
        <w:rPr>
          <w:rFonts w:ascii="Times New Roman" w:cs="Times New Roman"/>
          <w:szCs w:val="21"/>
        </w:rPr>
        <w:t>2020</w:t>
      </w:r>
      <w:r w:rsidR="00D56B12" w:rsidRPr="00556473">
        <w:rPr>
          <w:rFonts w:ascii="Times New Roman" w:cs="Times New Roman"/>
          <w:szCs w:val="21"/>
        </w:rPr>
        <w:t>年</w:t>
      </w:r>
      <w:r w:rsidR="00D56B12">
        <w:rPr>
          <w:rFonts w:ascii="Times New Roman" w:cs="Times New Roman"/>
          <w:szCs w:val="21"/>
        </w:rPr>
        <w:t>2</w:t>
      </w:r>
      <w:r w:rsidR="00D56B12" w:rsidRPr="00556473">
        <w:rPr>
          <w:rFonts w:ascii="Times New Roman" w:cs="Times New Roman"/>
          <w:szCs w:val="21"/>
        </w:rPr>
        <w:t>月</w:t>
      </w:r>
      <w:r w:rsidR="00D56B12">
        <w:rPr>
          <w:rFonts w:ascii="Times New Roman" w:cs="Times New Roman"/>
          <w:szCs w:val="21"/>
        </w:rPr>
        <w:t>25</w:t>
      </w:r>
      <w:r w:rsidR="00D56B12" w:rsidRPr="00556473">
        <w:rPr>
          <w:rFonts w:ascii="Times New Roman" w:cs="Times New Roman"/>
          <w:szCs w:val="21"/>
        </w:rPr>
        <w:t>日</w:t>
      </w:r>
      <w:r w:rsidRPr="008079B9">
        <w:rPr>
          <w:rFonts w:ascii="Times New Roman" w:hAnsi="宋体" w:cs="Times New Roman"/>
        </w:rPr>
        <w:t>正式生效，基金合同生效日的基金</w:t>
      </w:r>
      <w:r w:rsidR="00D7209F">
        <w:rPr>
          <w:rFonts w:ascii="Times New Roman" w:hAnsi="宋体" w:cs="Times New Roman"/>
        </w:rPr>
        <w:t>份额</w:t>
      </w:r>
      <w:r w:rsidR="00D7209F">
        <w:rPr>
          <w:rFonts w:ascii="Times New Roman" w:hAnsi="宋体" w:cs="Times New Roman" w:hint="eastAsia"/>
        </w:rPr>
        <w:t>总数</w:t>
      </w:r>
      <w:r w:rsidRPr="008079B9">
        <w:rPr>
          <w:rFonts w:ascii="Times New Roman" w:hAnsi="宋体" w:cs="Times New Roman"/>
        </w:rPr>
        <w:t>为</w:t>
      </w:r>
      <w:r w:rsidR="00D56B12" w:rsidRPr="00556473">
        <w:rPr>
          <w:rFonts w:ascii="Times New Roman" w:cs="Times New Roman"/>
          <w:szCs w:val="21"/>
        </w:rPr>
        <w:t>436,751,867.00</w:t>
      </w:r>
      <w:r w:rsidR="008079B9" w:rsidRPr="008079B9">
        <w:rPr>
          <w:rFonts w:ascii="Times New Roman" w:hAnsi="宋体" w:cs="Times New Roman"/>
        </w:rPr>
        <w:t>份</w:t>
      </w:r>
      <w:r w:rsidR="00D7209F">
        <w:rPr>
          <w:rFonts w:ascii="Times New Roman" w:hAnsi="宋体" w:cs="Times New Roman" w:hint="eastAsia"/>
        </w:rPr>
        <w:t>（含募集期间</w:t>
      </w:r>
      <w:r w:rsidR="00D7209F" w:rsidRPr="00FB6C2B">
        <w:rPr>
          <w:rFonts w:hAnsi="宋体"/>
          <w:szCs w:val="21"/>
        </w:rPr>
        <w:t>利息结转的份额</w:t>
      </w:r>
      <w:r w:rsidR="00D7209F">
        <w:rPr>
          <w:rFonts w:ascii="Times New Roman" w:hAnsi="宋体" w:cs="Times New Roman" w:hint="eastAsia"/>
        </w:rPr>
        <w:t>）</w:t>
      </w:r>
      <w:r w:rsidR="00CE681C">
        <w:rPr>
          <w:rFonts w:ascii="Times New Roman" w:hAnsi="宋体" w:cs="Times New Roman" w:hint="eastAsia"/>
        </w:rPr>
        <w:t>，</w:t>
      </w:r>
      <w:r w:rsidR="00CE681C" w:rsidRPr="00CE681C">
        <w:rPr>
          <w:rFonts w:ascii="Times New Roman" w:cs="Times New Roman"/>
          <w:szCs w:val="21"/>
        </w:rPr>
        <w:t>有效认购户数为</w:t>
      </w:r>
      <w:r w:rsidR="00D56B12" w:rsidRPr="00556473">
        <w:rPr>
          <w:rFonts w:ascii="Times New Roman" w:cs="Times New Roman"/>
          <w:szCs w:val="21"/>
        </w:rPr>
        <w:t>8,288</w:t>
      </w:r>
      <w:r w:rsidR="00CE681C" w:rsidRPr="00CE681C">
        <w:rPr>
          <w:rFonts w:ascii="Times New Roman" w:cs="Times New Roman"/>
          <w:szCs w:val="21"/>
        </w:rPr>
        <w:t>户</w:t>
      </w:r>
      <w:r w:rsidRPr="008079B9">
        <w:rPr>
          <w:rFonts w:ascii="Times New Roman" w:hAnsi="宋体" w:cs="Times New Roman"/>
        </w:rPr>
        <w:t>。</w:t>
      </w:r>
    </w:p>
    <w:p w:rsidR="003240A9" w:rsidRPr="00B74B1C" w:rsidRDefault="00884CDB" w:rsidP="008079B9">
      <w:pPr>
        <w:pStyle w:val="Default"/>
        <w:spacing w:line="360" w:lineRule="auto"/>
        <w:ind w:firstLineChars="200" w:firstLine="480"/>
        <w:rPr>
          <w:rFonts w:ascii="Times New Roman" w:cs="Times New Roman"/>
        </w:rPr>
      </w:pPr>
      <w:r w:rsidRPr="00CB7DF0">
        <w:rPr>
          <w:rFonts w:ascii="Times New Roman" w:cs="Times New Roman"/>
        </w:rPr>
        <w:t>根据《中华人民共和国证券投资基金法》《公开募集证券投资基金运作管理办法》</w:t>
      </w:r>
      <w:r w:rsidRPr="00CB7DF0">
        <w:rPr>
          <w:rFonts w:ascii="Times New Roman" w:cs="Times New Roman" w:hint="eastAsia"/>
        </w:rPr>
        <w:t>《</w:t>
      </w:r>
      <w:r w:rsidR="00D56B12" w:rsidRPr="00417D3B">
        <w:rPr>
          <w:rFonts w:hAnsi="宋体" w:hint="eastAsia"/>
        </w:rPr>
        <w:t>华夏基金管理有限公司关于以通讯方式召开华夏粤港澳大湾区创新100交易型开放式指数证券投资基金基金份额持有人大会的公告</w:t>
      </w:r>
      <w:r w:rsidRPr="00CB7DF0">
        <w:rPr>
          <w:rFonts w:ascii="Times New Roman" w:cs="Times New Roman" w:hint="eastAsia"/>
        </w:rPr>
        <w:t>》</w:t>
      </w:r>
      <w:r w:rsidR="00D540B3">
        <w:rPr>
          <w:rFonts w:ascii="Times New Roman" w:cs="Times New Roman" w:hint="eastAsia"/>
        </w:rPr>
        <w:t>等规定</w:t>
      </w:r>
      <w:r w:rsidRPr="00CB7DF0">
        <w:rPr>
          <w:rFonts w:ascii="Times New Roman" w:cs="Times New Roman" w:hint="eastAsia"/>
        </w:rPr>
        <w:t>，本基金以通讯方式召开基金份额持有人大会</w:t>
      </w:r>
      <w:r w:rsidR="00D253A6">
        <w:rPr>
          <w:rFonts w:ascii="Times New Roman" w:cs="Times New Roman" w:hint="eastAsia"/>
        </w:rPr>
        <w:t>，</w:t>
      </w:r>
      <w:r w:rsidRPr="00CB7DF0">
        <w:rPr>
          <w:rFonts w:ascii="Times New Roman" w:cs="Times New Roman" w:hint="eastAsia"/>
        </w:rPr>
        <w:t>审议</w:t>
      </w:r>
      <w:r w:rsidRPr="00CB7DF0">
        <w:rPr>
          <w:rFonts w:ascii="Times New Roman" w:cs="Times New Roman"/>
        </w:rPr>
        <w:t>《</w:t>
      </w:r>
      <w:r w:rsidR="00D56B12" w:rsidRPr="00AA5879">
        <w:rPr>
          <w:rFonts w:ascii="Times New Roman" w:cs="Times New Roman"/>
        </w:rPr>
        <w:t>关于</w:t>
      </w:r>
      <w:r w:rsidR="00D56B12" w:rsidRPr="00AA5879">
        <w:rPr>
          <w:rFonts w:ascii="Times New Roman" w:cs="Times New Roman" w:hint="eastAsia"/>
        </w:rPr>
        <w:t>华夏粤港澳大湾区创新</w:t>
      </w:r>
      <w:r w:rsidR="00D56B12" w:rsidRPr="00AA5879">
        <w:rPr>
          <w:rFonts w:ascii="Times New Roman" w:cs="Times New Roman"/>
        </w:rPr>
        <w:t>100</w:t>
      </w:r>
      <w:r w:rsidR="00D56B12" w:rsidRPr="00AA5879">
        <w:rPr>
          <w:rFonts w:ascii="Times New Roman" w:cs="Times New Roman"/>
        </w:rPr>
        <w:t>交易型开放式指数证券投资基金</w:t>
      </w:r>
      <w:r w:rsidR="00D56B12" w:rsidRPr="00AA5879">
        <w:rPr>
          <w:rFonts w:ascii="Times New Roman" w:cs="Times New Roman" w:hint="eastAsia"/>
        </w:rPr>
        <w:t>终止基金合同并终止上市相关事项的议案</w:t>
      </w:r>
      <w:r w:rsidRPr="00CB7DF0">
        <w:rPr>
          <w:rFonts w:ascii="Times New Roman" w:cs="Times New Roman"/>
        </w:rPr>
        <w:t>》</w:t>
      </w:r>
      <w:r w:rsidRPr="00CB7DF0">
        <w:rPr>
          <w:rFonts w:ascii="Times New Roman" w:cs="Times New Roman" w:hint="eastAsia"/>
        </w:rPr>
        <w:t>，上述议案于</w:t>
      </w:r>
      <w:r w:rsidR="005E08EC" w:rsidRPr="00CB7DF0">
        <w:rPr>
          <w:rFonts w:ascii="Times New Roman" w:cs="Times New Roman"/>
        </w:rPr>
        <w:t>202</w:t>
      </w:r>
      <w:r w:rsidR="00D56B12">
        <w:rPr>
          <w:rFonts w:ascii="Times New Roman" w:cs="Times New Roman"/>
        </w:rPr>
        <w:t>3</w:t>
      </w:r>
      <w:r w:rsidRPr="00CB7DF0">
        <w:rPr>
          <w:rFonts w:ascii="Times New Roman" w:cs="Times New Roman" w:hint="eastAsia"/>
        </w:rPr>
        <w:t>年</w:t>
      </w:r>
      <w:r w:rsidR="005E08EC">
        <w:rPr>
          <w:rFonts w:ascii="Times New Roman" w:cs="Times New Roman"/>
        </w:rPr>
        <w:t>1</w:t>
      </w:r>
      <w:r w:rsidR="00D56B12">
        <w:rPr>
          <w:rFonts w:ascii="Times New Roman" w:cs="Times New Roman"/>
        </w:rPr>
        <w:t>2</w:t>
      </w:r>
      <w:r w:rsidRPr="00CB7DF0">
        <w:rPr>
          <w:rFonts w:ascii="Times New Roman" w:cs="Times New Roman" w:hint="eastAsia"/>
        </w:rPr>
        <w:t>月</w:t>
      </w:r>
      <w:r w:rsidR="00D56B12">
        <w:rPr>
          <w:rFonts w:ascii="Times New Roman" w:cs="Times New Roman" w:hint="eastAsia"/>
        </w:rPr>
        <w:t>2</w:t>
      </w:r>
      <w:r w:rsidR="00D56B12">
        <w:rPr>
          <w:rFonts w:ascii="Times New Roman" w:cs="Times New Roman"/>
        </w:rPr>
        <w:t>6</w:t>
      </w:r>
      <w:r w:rsidRPr="00CB7DF0">
        <w:rPr>
          <w:rFonts w:ascii="Times New Roman" w:cs="Times New Roman" w:hint="eastAsia"/>
        </w:rPr>
        <w:t>日获得通过，持有人大会决议自同日</w:t>
      </w:r>
      <w:r w:rsidRPr="00CB7DF0">
        <w:rPr>
          <w:rFonts w:ascii="Times New Roman" w:cs="Times New Roman"/>
        </w:rPr>
        <w:t>起生效</w:t>
      </w:r>
      <w:r w:rsidRPr="00CB7DF0">
        <w:rPr>
          <w:rFonts w:ascii="Times New Roman" w:cs="Times New Roman" w:hint="eastAsia"/>
        </w:rPr>
        <w:t>。</w:t>
      </w:r>
      <w:r w:rsidR="00D253A6">
        <w:rPr>
          <w:rFonts w:ascii="Times New Roman" w:cs="Times New Roman" w:hint="eastAsia"/>
        </w:rPr>
        <w:t>根据</w:t>
      </w:r>
      <w:r w:rsidR="00D253A6" w:rsidRPr="00CB7DF0">
        <w:rPr>
          <w:rFonts w:ascii="Times New Roman" w:cs="Times New Roman" w:hint="eastAsia"/>
        </w:rPr>
        <w:t>《</w:t>
      </w:r>
      <w:r w:rsidR="00D56B12" w:rsidRPr="00436D9B">
        <w:rPr>
          <w:rFonts w:hint="eastAsia"/>
        </w:rPr>
        <w:t>华夏粤港澳大湾区创新100交易型开放式指数证券投资基金基金份额持有人大会表决结果暨决议生效公告</w:t>
      </w:r>
      <w:r w:rsidR="00D253A6" w:rsidRPr="00CB7DF0">
        <w:rPr>
          <w:rFonts w:ascii="Times New Roman" w:cs="Times New Roman" w:hint="eastAsia"/>
        </w:rPr>
        <w:t>》</w:t>
      </w:r>
      <w:r w:rsidR="00D253A6">
        <w:rPr>
          <w:rFonts w:ascii="Times New Roman" w:cs="Times New Roman" w:hint="eastAsia"/>
        </w:rPr>
        <w:t>，</w:t>
      </w:r>
      <w:r w:rsidRPr="00CB7DF0">
        <w:rPr>
          <w:rFonts w:ascii="Times New Roman" w:cs="Times New Roman" w:hint="eastAsia"/>
        </w:rPr>
        <w:t>本基金以</w:t>
      </w:r>
      <w:r w:rsidR="005E08EC" w:rsidRPr="00CB7DF0">
        <w:rPr>
          <w:rFonts w:ascii="Times New Roman" w:cs="Times New Roman"/>
        </w:rPr>
        <w:t>202</w:t>
      </w:r>
      <w:r w:rsidR="00D56B12">
        <w:rPr>
          <w:rFonts w:ascii="Times New Roman" w:cs="Times New Roman"/>
        </w:rPr>
        <w:t>3</w:t>
      </w:r>
      <w:r w:rsidRPr="00CB7DF0">
        <w:rPr>
          <w:rFonts w:ascii="Times New Roman" w:cs="Times New Roman" w:hint="eastAsia"/>
        </w:rPr>
        <w:t>年</w:t>
      </w:r>
      <w:r w:rsidR="005E08EC">
        <w:rPr>
          <w:rFonts w:ascii="Times New Roman" w:cs="Times New Roman"/>
        </w:rPr>
        <w:t>1</w:t>
      </w:r>
      <w:r w:rsidR="00D56B12">
        <w:rPr>
          <w:rFonts w:ascii="Times New Roman" w:cs="Times New Roman"/>
        </w:rPr>
        <w:t>2</w:t>
      </w:r>
      <w:r w:rsidRPr="00CB7DF0">
        <w:rPr>
          <w:rFonts w:ascii="Times New Roman" w:cs="Times New Roman" w:hint="eastAsia"/>
        </w:rPr>
        <w:t>月</w:t>
      </w:r>
      <w:r w:rsidR="00D56B12">
        <w:rPr>
          <w:rFonts w:ascii="Times New Roman" w:cs="Times New Roman" w:hint="eastAsia"/>
        </w:rPr>
        <w:t>2</w:t>
      </w:r>
      <w:r w:rsidR="00D56B12">
        <w:rPr>
          <w:rFonts w:ascii="Times New Roman" w:cs="Times New Roman"/>
        </w:rPr>
        <w:t>7</w:t>
      </w:r>
      <w:r w:rsidRPr="00CB7DF0">
        <w:rPr>
          <w:rFonts w:ascii="Times New Roman" w:cs="Times New Roman" w:hint="eastAsia"/>
        </w:rPr>
        <w:t>日为最后运作日，自</w:t>
      </w:r>
      <w:r w:rsidR="005E08EC" w:rsidRPr="00CB7DF0">
        <w:rPr>
          <w:rFonts w:ascii="Times New Roman" w:cs="Times New Roman"/>
        </w:rPr>
        <w:t>202</w:t>
      </w:r>
      <w:r w:rsidR="00D56B12">
        <w:rPr>
          <w:rFonts w:ascii="Times New Roman" w:cs="Times New Roman"/>
        </w:rPr>
        <w:t>3</w:t>
      </w:r>
      <w:r w:rsidRPr="00CB7DF0">
        <w:rPr>
          <w:rFonts w:ascii="Times New Roman" w:cs="Times New Roman" w:hint="eastAsia"/>
        </w:rPr>
        <w:t>年</w:t>
      </w:r>
      <w:r w:rsidR="005E08EC">
        <w:rPr>
          <w:rFonts w:ascii="Times New Roman" w:cs="Times New Roman"/>
        </w:rPr>
        <w:t>1</w:t>
      </w:r>
      <w:r w:rsidR="00D56B12">
        <w:rPr>
          <w:rFonts w:ascii="Times New Roman" w:cs="Times New Roman"/>
        </w:rPr>
        <w:t>2</w:t>
      </w:r>
      <w:r w:rsidRPr="00CB7DF0">
        <w:rPr>
          <w:rFonts w:ascii="Times New Roman" w:cs="Times New Roman" w:hint="eastAsia"/>
        </w:rPr>
        <w:t>月</w:t>
      </w:r>
      <w:r w:rsidR="00D56B12">
        <w:rPr>
          <w:rFonts w:ascii="Times New Roman" w:cs="Times New Roman"/>
        </w:rPr>
        <w:t>28</w:t>
      </w:r>
      <w:r w:rsidRPr="00CB7DF0">
        <w:rPr>
          <w:rFonts w:ascii="Times New Roman" w:cs="Times New Roman" w:hint="eastAsia"/>
        </w:rPr>
        <w:t>日起，本基金</w:t>
      </w:r>
      <w:r w:rsidRPr="00CB7DF0">
        <w:rPr>
          <w:rFonts w:ascii="Times New Roman" w:cs="Times New Roman"/>
        </w:rPr>
        <w:t>进入基金财产清算程序</w:t>
      </w:r>
      <w:r w:rsidRPr="00CB7DF0">
        <w:rPr>
          <w:rFonts w:ascii="Times New Roman" w:cs="Times New Roman" w:hint="eastAsia"/>
        </w:rPr>
        <w:t>。</w:t>
      </w:r>
      <w:r w:rsidR="00E4792F">
        <w:rPr>
          <w:rFonts w:ascii="Times New Roman" w:cs="Times New Roman" w:hint="eastAsia"/>
        </w:rPr>
        <w:t>根据</w:t>
      </w:r>
      <w:r w:rsidR="00E4792F">
        <w:rPr>
          <w:rFonts w:hint="eastAsia"/>
          <w:bCs/>
        </w:rPr>
        <w:t>《</w:t>
      </w:r>
      <w:r w:rsidR="00D56B12" w:rsidRPr="00436D9B">
        <w:rPr>
          <w:rFonts w:hint="eastAsia"/>
          <w:bCs/>
        </w:rPr>
        <w:t>华夏基金管理有限公司关于华夏粤港澳大湾区创新100交易型开放式指数证券投资基金终止上市的公告</w:t>
      </w:r>
      <w:r w:rsidR="00E4792F" w:rsidRPr="00B74B1C">
        <w:rPr>
          <w:rFonts w:ascii="Times New Roman" w:cs="Times New Roman" w:hint="eastAsia"/>
        </w:rPr>
        <w:t>》，本基金于</w:t>
      </w:r>
      <w:r w:rsidR="00E4792F" w:rsidRPr="00B74B1C">
        <w:rPr>
          <w:rFonts w:ascii="Times New Roman" w:cs="Times New Roman" w:hint="eastAsia"/>
        </w:rPr>
        <w:t>2</w:t>
      </w:r>
      <w:r w:rsidR="00E4792F" w:rsidRPr="00B74B1C">
        <w:rPr>
          <w:rFonts w:ascii="Times New Roman" w:cs="Times New Roman"/>
        </w:rPr>
        <w:t>02</w:t>
      </w:r>
      <w:r w:rsidR="00D56B12">
        <w:rPr>
          <w:rFonts w:ascii="Times New Roman" w:cs="Times New Roman"/>
        </w:rPr>
        <w:t>4</w:t>
      </w:r>
      <w:r w:rsidR="00E4792F" w:rsidRPr="00B74B1C">
        <w:rPr>
          <w:rFonts w:ascii="Times New Roman" w:cs="Times New Roman" w:hint="eastAsia"/>
        </w:rPr>
        <w:t>年</w:t>
      </w:r>
      <w:r w:rsidR="00E4792F" w:rsidRPr="00B74B1C">
        <w:rPr>
          <w:rFonts w:ascii="Times New Roman" w:cs="Times New Roman"/>
        </w:rPr>
        <w:t>1</w:t>
      </w:r>
      <w:r w:rsidR="00E4792F" w:rsidRPr="00B74B1C">
        <w:rPr>
          <w:rFonts w:ascii="Times New Roman" w:cs="Times New Roman" w:hint="eastAsia"/>
        </w:rPr>
        <w:t>月</w:t>
      </w:r>
      <w:r w:rsidR="00D56B12">
        <w:rPr>
          <w:rFonts w:ascii="Times New Roman" w:cs="Times New Roman"/>
        </w:rPr>
        <w:t>5</w:t>
      </w:r>
      <w:r w:rsidR="00E4792F" w:rsidRPr="00B74B1C">
        <w:rPr>
          <w:rFonts w:ascii="Times New Roman" w:cs="Times New Roman" w:hint="eastAsia"/>
        </w:rPr>
        <w:t>日终止上市。</w:t>
      </w:r>
    </w:p>
    <w:p w:rsidR="00884CDB" w:rsidRPr="00593F87" w:rsidRDefault="00884CDB" w:rsidP="008079B9">
      <w:pPr>
        <w:pStyle w:val="Default"/>
        <w:spacing w:line="360" w:lineRule="auto"/>
        <w:ind w:firstLineChars="200" w:firstLine="480"/>
        <w:rPr>
          <w:rFonts w:ascii="Times New Roman" w:cs="Times New Roman" w:hint="eastAsia"/>
          <w:bCs/>
        </w:rPr>
      </w:pPr>
      <w:r w:rsidRPr="008A62B0">
        <w:rPr>
          <w:rFonts w:ascii="Times New Roman" w:cs="Times New Roman"/>
        </w:rPr>
        <w:t>自</w:t>
      </w:r>
      <w:r w:rsidRPr="008A62B0">
        <w:rPr>
          <w:rFonts w:ascii="Times New Roman" w:cs="Times New Roman" w:hint="eastAsia"/>
        </w:rPr>
        <w:t>本基金基金合同生效日</w:t>
      </w:r>
      <w:r w:rsidRPr="008A62B0">
        <w:rPr>
          <w:rFonts w:ascii="Times New Roman" w:cs="Times New Roman"/>
        </w:rPr>
        <w:t>至</w:t>
      </w:r>
      <w:r w:rsidRPr="008A62B0">
        <w:rPr>
          <w:rFonts w:ascii="Times New Roman" w:cs="Times New Roman" w:hint="eastAsia"/>
        </w:rPr>
        <w:t>最后运作日</w:t>
      </w:r>
      <w:r w:rsidRPr="008A62B0">
        <w:rPr>
          <w:rFonts w:ascii="Times New Roman" w:cs="Times New Roman"/>
        </w:rPr>
        <w:t>期间，本基金按基金合同</w:t>
      </w:r>
      <w:r w:rsidRPr="008A62B0">
        <w:rPr>
          <w:rFonts w:ascii="Times New Roman" w:cs="Times New Roman" w:hint="eastAsia"/>
        </w:rPr>
        <w:t>约定</w:t>
      </w:r>
      <w:r w:rsidRPr="008A62B0">
        <w:rPr>
          <w:rFonts w:ascii="Times New Roman" w:cs="Times New Roman"/>
        </w:rPr>
        <w:t>正常运作。</w:t>
      </w:r>
    </w:p>
    <w:p w:rsidR="00446CBD" w:rsidRPr="003E6510" w:rsidRDefault="008079B9" w:rsidP="003E6510">
      <w:pPr>
        <w:pStyle w:val="1"/>
        <w:spacing w:before="100" w:beforeAutospacing="1" w:after="100" w:afterAutospacing="1" w:line="360" w:lineRule="auto"/>
        <w:jc w:val="center"/>
        <w:rPr>
          <w:rStyle w:val="2CharCharChar"/>
          <w:rFonts w:ascii="Times New Roman" w:hAnsi="Times New Roman"/>
          <w:b/>
          <w:bCs w:val="0"/>
          <w:szCs w:val="24"/>
        </w:rPr>
      </w:pPr>
      <w:bookmarkStart w:id="5" w:name="_Toc447194470"/>
      <w:r w:rsidRPr="003E6510">
        <w:rPr>
          <w:rStyle w:val="2CharCharChar"/>
          <w:rFonts w:ascii="Times New Roman" w:hAnsi="Times New Roman" w:hint="eastAsia"/>
          <w:b/>
          <w:bCs w:val="0"/>
          <w:szCs w:val="24"/>
        </w:rPr>
        <w:t>三</w:t>
      </w:r>
      <w:r w:rsidR="00446CBD" w:rsidRPr="003E6510">
        <w:rPr>
          <w:rStyle w:val="2CharCharChar"/>
          <w:rFonts w:ascii="Times New Roman" w:hAnsi="Times New Roman"/>
          <w:b/>
          <w:bCs w:val="0"/>
          <w:szCs w:val="24"/>
        </w:rPr>
        <w:t>、财务会计报告</w:t>
      </w:r>
      <w:bookmarkEnd w:id="5"/>
    </w:p>
    <w:p w:rsidR="00446CBD" w:rsidRPr="00446CBD" w:rsidRDefault="00446CBD" w:rsidP="00446CBD">
      <w:pPr>
        <w:pStyle w:val="Default"/>
        <w:spacing w:line="360" w:lineRule="auto"/>
        <w:rPr>
          <w:rFonts w:cs="Angsana New"/>
          <w:color w:val="auto"/>
        </w:rPr>
      </w:pPr>
      <w:r>
        <w:rPr>
          <w:rFonts w:cs="Angsana New" w:hint="eastAsia"/>
          <w:color w:val="auto"/>
        </w:rPr>
        <w:t>（一）</w:t>
      </w:r>
      <w:r w:rsidR="003240A9">
        <w:rPr>
          <w:rFonts w:cs="Angsana New" w:hint="eastAsia"/>
          <w:color w:val="auto"/>
        </w:rPr>
        <w:t>基金</w:t>
      </w:r>
      <w:r w:rsidR="003240A9" w:rsidRPr="003240A9">
        <w:rPr>
          <w:rFonts w:cs="Angsana New" w:hint="eastAsia"/>
          <w:color w:val="auto"/>
        </w:rPr>
        <w:t>最后运作日</w:t>
      </w:r>
      <w:r w:rsidRPr="00446CBD">
        <w:rPr>
          <w:rFonts w:cs="Angsana New"/>
          <w:color w:val="auto"/>
        </w:rPr>
        <w:t>资产负债表（已经审计）</w:t>
      </w:r>
    </w:p>
    <w:p w:rsidR="00446CBD" w:rsidRPr="002265F8" w:rsidRDefault="00446CBD" w:rsidP="00446CBD">
      <w:pPr>
        <w:pStyle w:val="Default"/>
        <w:spacing w:line="360" w:lineRule="auto"/>
        <w:rPr>
          <w:rFonts w:ascii="Times New Roman" w:cs="Times New Roman"/>
          <w:color w:val="auto"/>
        </w:rPr>
      </w:pPr>
      <w:r>
        <w:rPr>
          <w:rFonts w:cs="Angsana New"/>
          <w:color w:val="auto"/>
        </w:rPr>
        <w:t>会</w:t>
      </w:r>
      <w:r w:rsidRPr="002265F8">
        <w:rPr>
          <w:rFonts w:ascii="Times New Roman" w:cs="Times New Roman"/>
          <w:color w:val="auto"/>
        </w:rPr>
        <w:t>计主体：</w:t>
      </w:r>
      <w:r w:rsidR="0040404B">
        <w:rPr>
          <w:rFonts w:ascii="Times New Roman" w:cs="Times New Roman"/>
        </w:rPr>
        <w:t>华夏粤港澳大湾区创新</w:t>
      </w:r>
      <w:r w:rsidR="0040404B">
        <w:rPr>
          <w:rFonts w:ascii="Times New Roman" w:cs="Times New Roman"/>
        </w:rPr>
        <w:t>100</w:t>
      </w:r>
      <w:r w:rsidR="0040404B">
        <w:rPr>
          <w:rFonts w:ascii="Times New Roman" w:cs="Times New Roman"/>
        </w:rPr>
        <w:t>交易型开放式指数证券投资基金</w:t>
      </w:r>
    </w:p>
    <w:p w:rsidR="00446CBD" w:rsidRPr="002265F8" w:rsidRDefault="00446CBD" w:rsidP="00446CBD">
      <w:pPr>
        <w:overflowPunct w:val="0"/>
        <w:autoSpaceDE w:val="0"/>
        <w:autoSpaceDN w:val="0"/>
        <w:snapToGrid w:val="0"/>
        <w:spacing w:line="360" w:lineRule="auto"/>
        <w:jc w:val="left"/>
        <w:rPr>
          <w:rFonts w:eastAsia="黑体"/>
          <w:b/>
          <w:spacing w:val="60"/>
          <w:sz w:val="24"/>
        </w:rPr>
      </w:pPr>
      <w:r w:rsidRPr="005B4845">
        <w:rPr>
          <w:sz w:val="24"/>
        </w:rPr>
        <w:t>报告截止日：</w:t>
      </w:r>
      <w:r w:rsidR="005E08EC">
        <w:rPr>
          <w:sz w:val="24"/>
        </w:rPr>
        <w:t>202</w:t>
      </w:r>
      <w:r w:rsidR="00D56B12">
        <w:rPr>
          <w:sz w:val="24"/>
        </w:rPr>
        <w:t>3</w:t>
      </w:r>
      <w:r w:rsidR="005E08EC">
        <w:rPr>
          <w:sz w:val="24"/>
        </w:rPr>
        <w:t>年</w:t>
      </w:r>
      <w:r w:rsidR="005E08EC">
        <w:rPr>
          <w:sz w:val="24"/>
        </w:rPr>
        <w:t>1</w:t>
      </w:r>
      <w:r w:rsidR="00D56B12">
        <w:rPr>
          <w:sz w:val="24"/>
        </w:rPr>
        <w:t>2</w:t>
      </w:r>
      <w:r w:rsidR="005E08EC">
        <w:rPr>
          <w:sz w:val="24"/>
        </w:rPr>
        <w:t>月</w:t>
      </w:r>
      <w:r w:rsidR="005E08EC">
        <w:rPr>
          <w:sz w:val="24"/>
        </w:rPr>
        <w:t>2</w:t>
      </w:r>
      <w:r w:rsidR="00D56B12">
        <w:rPr>
          <w:sz w:val="24"/>
        </w:rPr>
        <w:t>7</w:t>
      </w:r>
      <w:r w:rsidR="005E08EC">
        <w:rPr>
          <w:sz w:val="24"/>
        </w:rPr>
        <w:t>日</w:t>
      </w:r>
    </w:p>
    <w:p w:rsidR="002E2E3D" w:rsidRDefault="002E2E3D">
      <w:pPr>
        <w:spacing w:line="360" w:lineRule="auto"/>
        <w:ind w:rightChars="2" w:right="4"/>
        <w:jc w:val="right"/>
        <w:rPr>
          <w:rFonts w:hAnsi="宋体"/>
          <w:sz w:val="22"/>
          <w:szCs w:val="22"/>
        </w:rPr>
      </w:pPr>
      <w:r w:rsidRPr="003240A9">
        <w:rPr>
          <w:rFonts w:hAnsi="宋体"/>
          <w:sz w:val="22"/>
          <w:szCs w:val="22"/>
        </w:rPr>
        <w:t>单位：人民币元</w:t>
      </w:r>
    </w:p>
    <w:p w:rsidR="00184FAE" w:rsidRDefault="00184FAE">
      <w:pPr>
        <w:spacing w:line="360" w:lineRule="auto"/>
        <w:ind w:rightChars="2" w:right="4"/>
        <w:jc w:val="right"/>
        <w:rPr>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3827"/>
      </w:tblGrid>
      <w:tr w:rsidR="00184FAE" w:rsidRPr="002D78EC" w:rsidTr="00242EDA">
        <w:tc>
          <w:tcPr>
            <w:tcW w:w="5245" w:type="dxa"/>
            <w:tcBorders>
              <w:top w:val="single" w:sz="4" w:space="0" w:color="auto"/>
            </w:tcBorders>
            <w:vAlign w:val="center"/>
          </w:tcPr>
          <w:p w:rsidR="00184FAE" w:rsidRPr="002D78EC" w:rsidRDefault="00184FAE" w:rsidP="00242EDA">
            <w:pPr>
              <w:pStyle w:val="ab"/>
              <w:spacing w:before="0" w:beforeAutospacing="0" w:after="0" w:afterAutospacing="0" w:line="240" w:lineRule="atLeast"/>
              <w:rPr>
                <w:rFonts w:ascii="Times New Roman" w:hAnsi="Times New Roman" w:cs="Times New Roman"/>
                <w:b/>
                <w:sz w:val="21"/>
                <w:szCs w:val="21"/>
              </w:rPr>
            </w:pPr>
          </w:p>
        </w:tc>
        <w:tc>
          <w:tcPr>
            <w:tcW w:w="3827" w:type="dxa"/>
            <w:tcBorders>
              <w:top w:val="single" w:sz="4" w:space="0" w:color="auto"/>
            </w:tcBorders>
            <w:vAlign w:val="center"/>
          </w:tcPr>
          <w:p w:rsidR="00184FAE" w:rsidRPr="002D78EC" w:rsidRDefault="00184FAE" w:rsidP="00242EDA">
            <w:pPr>
              <w:pStyle w:val="ab"/>
              <w:spacing w:before="0" w:beforeAutospacing="0" w:after="0" w:afterAutospacing="0" w:line="240" w:lineRule="atLeast"/>
              <w:jc w:val="right"/>
              <w:rPr>
                <w:rFonts w:ascii="Times New Roman" w:hAnsi="Times New Roman" w:cs="Times New Roman"/>
                <w:b/>
                <w:sz w:val="21"/>
                <w:szCs w:val="21"/>
              </w:rPr>
            </w:pPr>
            <w:r w:rsidRPr="002D78EC">
              <w:rPr>
                <w:rFonts w:ascii="Times New Roman" w:hAnsi="Times New Roman" w:cs="Times New Roman"/>
                <w:b/>
                <w:sz w:val="21"/>
                <w:szCs w:val="21"/>
              </w:rPr>
              <w:t>最后运作日</w:t>
            </w:r>
          </w:p>
          <w:p w:rsidR="00184FAE" w:rsidRPr="002D78EC" w:rsidRDefault="005E08EC" w:rsidP="00184FAE">
            <w:pPr>
              <w:pStyle w:val="ab"/>
              <w:spacing w:before="0" w:beforeAutospacing="0" w:after="0" w:afterAutospacing="0" w:line="240" w:lineRule="atLeast"/>
              <w:jc w:val="right"/>
              <w:rPr>
                <w:rFonts w:ascii="Times New Roman" w:hAnsi="Times New Roman" w:cs="Times New Roman"/>
                <w:b/>
                <w:sz w:val="21"/>
                <w:szCs w:val="21"/>
              </w:rPr>
            </w:pPr>
            <w:r>
              <w:rPr>
                <w:rFonts w:ascii="Times New Roman" w:hAnsi="Times New Roman" w:cs="Times New Roman"/>
                <w:b/>
                <w:sz w:val="21"/>
                <w:szCs w:val="21"/>
              </w:rPr>
              <w:t>202</w:t>
            </w:r>
            <w:r w:rsidR="00D56B12">
              <w:rPr>
                <w:rFonts w:ascii="Times New Roman" w:hAnsi="Times New Roman" w:cs="Times New Roman"/>
                <w:b/>
                <w:sz w:val="21"/>
                <w:szCs w:val="21"/>
              </w:rPr>
              <w:t>3</w:t>
            </w:r>
            <w:r>
              <w:rPr>
                <w:rFonts w:ascii="Times New Roman" w:hAnsi="Times New Roman" w:cs="Times New Roman"/>
                <w:b/>
                <w:sz w:val="21"/>
                <w:szCs w:val="21"/>
              </w:rPr>
              <w:t>年</w:t>
            </w:r>
            <w:r>
              <w:rPr>
                <w:rFonts w:ascii="Times New Roman" w:hAnsi="Times New Roman" w:cs="Times New Roman"/>
                <w:b/>
                <w:sz w:val="21"/>
                <w:szCs w:val="21"/>
              </w:rPr>
              <w:t>1</w:t>
            </w:r>
            <w:r w:rsidR="00D56B12">
              <w:rPr>
                <w:rFonts w:ascii="Times New Roman" w:hAnsi="Times New Roman" w:cs="Times New Roman"/>
                <w:b/>
                <w:sz w:val="21"/>
                <w:szCs w:val="21"/>
              </w:rPr>
              <w:t>2</w:t>
            </w:r>
            <w:r>
              <w:rPr>
                <w:rFonts w:ascii="Times New Roman" w:hAnsi="Times New Roman" w:cs="Times New Roman"/>
                <w:b/>
                <w:sz w:val="21"/>
                <w:szCs w:val="21"/>
              </w:rPr>
              <w:t>月</w:t>
            </w:r>
            <w:r>
              <w:rPr>
                <w:rFonts w:ascii="Times New Roman" w:hAnsi="Times New Roman" w:cs="Times New Roman"/>
                <w:b/>
                <w:sz w:val="21"/>
                <w:szCs w:val="21"/>
              </w:rPr>
              <w:t>2</w:t>
            </w:r>
            <w:r w:rsidR="00D56B12">
              <w:rPr>
                <w:rFonts w:ascii="Times New Roman" w:hAnsi="Times New Roman" w:cs="Times New Roman"/>
                <w:b/>
                <w:sz w:val="21"/>
                <w:szCs w:val="21"/>
              </w:rPr>
              <w:t>7</w:t>
            </w:r>
            <w:r>
              <w:rPr>
                <w:rFonts w:ascii="Times New Roman" w:hAnsi="Times New Roman" w:cs="Times New Roman"/>
                <w:b/>
                <w:sz w:val="21"/>
                <w:szCs w:val="21"/>
              </w:rPr>
              <w:t>日</w:t>
            </w:r>
          </w:p>
        </w:tc>
      </w:tr>
      <w:tr w:rsidR="00184FAE" w:rsidRPr="002D78EC" w:rsidTr="00242EDA">
        <w:tc>
          <w:tcPr>
            <w:tcW w:w="5245" w:type="dxa"/>
            <w:vAlign w:val="center"/>
          </w:tcPr>
          <w:p w:rsidR="00184FAE" w:rsidRPr="002D78EC" w:rsidRDefault="00184FAE" w:rsidP="00242EDA">
            <w:pPr>
              <w:pStyle w:val="ab"/>
              <w:rPr>
                <w:rFonts w:ascii="Times New Roman" w:hAnsi="Times New Roman" w:cs="Times New Roman"/>
                <w:b/>
                <w:sz w:val="21"/>
                <w:szCs w:val="21"/>
              </w:rPr>
            </w:pPr>
            <w:r w:rsidRPr="002D78EC">
              <w:rPr>
                <w:rFonts w:ascii="Times New Roman" w:hAnsi="Times New Roman" w:cs="Times New Roman"/>
                <w:b/>
                <w:sz w:val="21"/>
                <w:szCs w:val="21"/>
              </w:rPr>
              <w:t>资</w:t>
            </w:r>
            <w:r w:rsidRPr="002D78EC">
              <w:rPr>
                <w:rFonts w:ascii="Times New Roman" w:hAnsi="Times New Roman" w:cs="Times New Roman"/>
                <w:b/>
                <w:sz w:val="21"/>
                <w:szCs w:val="21"/>
              </w:rPr>
              <w:t xml:space="preserve"> </w:t>
            </w:r>
            <w:r w:rsidRPr="002D78EC">
              <w:rPr>
                <w:rFonts w:ascii="Times New Roman" w:hAnsi="Times New Roman" w:cs="Times New Roman"/>
                <w:b/>
                <w:sz w:val="21"/>
                <w:szCs w:val="21"/>
              </w:rPr>
              <w:t>产：</w:t>
            </w:r>
          </w:p>
        </w:tc>
        <w:tc>
          <w:tcPr>
            <w:tcW w:w="3827" w:type="dxa"/>
            <w:vAlign w:val="bottom"/>
          </w:tcPr>
          <w:p w:rsidR="00184FAE" w:rsidRPr="002D78EC" w:rsidRDefault="00184FAE" w:rsidP="00242EDA">
            <w:pPr>
              <w:pStyle w:val="ab"/>
              <w:jc w:val="right"/>
              <w:rPr>
                <w:rFonts w:ascii="Times New Roman" w:hAnsi="Times New Roman" w:cs="Times New Roman"/>
                <w:sz w:val="21"/>
                <w:szCs w:val="21"/>
              </w:rPr>
            </w:pPr>
          </w:p>
        </w:tc>
      </w:tr>
      <w:tr w:rsidR="00FA3794" w:rsidRPr="002D78EC" w:rsidTr="00E5062D">
        <w:tc>
          <w:tcPr>
            <w:tcW w:w="5245" w:type="dxa"/>
            <w:vAlign w:val="center"/>
          </w:tcPr>
          <w:p w:rsidR="00FA3794" w:rsidRPr="002D78EC" w:rsidRDefault="00FA3794" w:rsidP="00FA3794">
            <w:pPr>
              <w:pStyle w:val="ab"/>
              <w:rPr>
                <w:rFonts w:ascii="Times New Roman" w:hAnsi="Times New Roman" w:cs="Times New Roman"/>
                <w:sz w:val="21"/>
                <w:szCs w:val="21"/>
              </w:rPr>
            </w:pPr>
            <w:r w:rsidRPr="002D78EC">
              <w:rPr>
                <w:rFonts w:ascii="Times New Roman" w:hAnsi="Times New Roman" w:cs="Times New Roman"/>
                <w:sz w:val="21"/>
                <w:szCs w:val="21"/>
              </w:rPr>
              <w:t>银行存款</w:t>
            </w:r>
          </w:p>
        </w:tc>
        <w:tc>
          <w:tcPr>
            <w:tcW w:w="3827" w:type="dxa"/>
          </w:tcPr>
          <w:p w:rsidR="00FA3794" w:rsidRPr="004C639E" w:rsidRDefault="0032541E" w:rsidP="00FA3794">
            <w:pPr>
              <w:jc w:val="right"/>
              <w:rPr>
                <w:color w:val="000000"/>
                <w:kern w:val="0"/>
                <w:szCs w:val="21"/>
              </w:rPr>
            </w:pPr>
            <w:r w:rsidRPr="0032541E">
              <w:rPr>
                <w:color w:val="000000"/>
                <w:kern w:val="0"/>
                <w:szCs w:val="21"/>
              </w:rPr>
              <w:t>1,908,946.66</w:t>
            </w:r>
          </w:p>
        </w:tc>
      </w:tr>
      <w:tr w:rsidR="00FA3794" w:rsidRPr="002D78EC" w:rsidTr="00E5062D">
        <w:tc>
          <w:tcPr>
            <w:tcW w:w="5245" w:type="dxa"/>
            <w:vAlign w:val="center"/>
          </w:tcPr>
          <w:p w:rsidR="00FA3794" w:rsidRPr="002D78EC" w:rsidRDefault="00FA3794" w:rsidP="00FA3794">
            <w:pPr>
              <w:pStyle w:val="ab"/>
              <w:rPr>
                <w:rFonts w:ascii="Times New Roman" w:hAnsi="Times New Roman" w:cs="Times New Roman"/>
                <w:color w:val="000000"/>
                <w:sz w:val="21"/>
                <w:szCs w:val="21"/>
              </w:rPr>
            </w:pPr>
            <w:r w:rsidRPr="002D78EC">
              <w:rPr>
                <w:rFonts w:ascii="Times New Roman" w:hAnsi="Times New Roman" w:cs="Times New Roman"/>
                <w:color w:val="000000"/>
                <w:sz w:val="21"/>
                <w:szCs w:val="21"/>
              </w:rPr>
              <w:t>结算备付金</w:t>
            </w:r>
          </w:p>
        </w:tc>
        <w:tc>
          <w:tcPr>
            <w:tcW w:w="3827" w:type="dxa"/>
          </w:tcPr>
          <w:p w:rsidR="0032541E" w:rsidRPr="002A13A1" w:rsidRDefault="0032541E" w:rsidP="0032541E">
            <w:pPr>
              <w:jc w:val="right"/>
              <w:rPr>
                <w:color w:val="000000"/>
                <w:kern w:val="0"/>
                <w:szCs w:val="21"/>
              </w:rPr>
            </w:pPr>
            <w:r w:rsidRPr="002A13A1">
              <w:rPr>
                <w:rFonts w:hint="eastAsia"/>
                <w:color w:val="000000"/>
                <w:kern w:val="0"/>
                <w:szCs w:val="21"/>
              </w:rPr>
              <w:t>69,279.41</w:t>
            </w:r>
          </w:p>
          <w:p w:rsidR="00FA3794" w:rsidRPr="002A13A1" w:rsidRDefault="00FA3794" w:rsidP="00FA3794">
            <w:pPr>
              <w:jc w:val="right"/>
              <w:rPr>
                <w:color w:val="000000"/>
                <w:kern w:val="0"/>
                <w:szCs w:val="21"/>
              </w:rPr>
            </w:pPr>
          </w:p>
        </w:tc>
      </w:tr>
      <w:tr w:rsidR="00FA3794" w:rsidRPr="002D78EC" w:rsidTr="00E5062D">
        <w:tc>
          <w:tcPr>
            <w:tcW w:w="5245" w:type="dxa"/>
            <w:vAlign w:val="center"/>
          </w:tcPr>
          <w:p w:rsidR="00FA3794" w:rsidRPr="002D78EC" w:rsidRDefault="00FA3794" w:rsidP="00FA3794">
            <w:pPr>
              <w:pStyle w:val="ab"/>
              <w:rPr>
                <w:rFonts w:ascii="Times New Roman" w:hAnsi="Times New Roman" w:cs="Times New Roman"/>
                <w:color w:val="000000"/>
                <w:sz w:val="21"/>
                <w:szCs w:val="21"/>
              </w:rPr>
            </w:pPr>
            <w:r w:rsidRPr="002D78EC">
              <w:rPr>
                <w:rFonts w:ascii="Times New Roman" w:hAnsi="Times New Roman" w:cs="Times New Roman"/>
                <w:color w:val="000000"/>
                <w:sz w:val="21"/>
                <w:szCs w:val="21"/>
              </w:rPr>
              <w:t>存出保证金</w:t>
            </w:r>
          </w:p>
        </w:tc>
        <w:tc>
          <w:tcPr>
            <w:tcW w:w="3827" w:type="dxa"/>
          </w:tcPr>
          <w:p w:rsidR="00FA3794" w:rsidRPr="004C639E" w:rsidRDefault="0032541E" w:rsidP="00FA3794">
            <w:pPr>
              <w:jc w:val="right"/>
              <w:rPr>
                <w:color w:val="000000"/>
                <w:kern w:val="0"/>
                <w:szCs w:val="21"/>
              </w:rPr>
            </w:pPr>
            <w:r w:rsidRPr="0032541E">
              <w:rPr>
                <w:color w:val="000000"/>
                <w:kern w:val="0"/>
                <w:szCs w:val="21"/>
              </w:rPr>
              <w:t>916.92</w:t>
            </w:r>
          </w:p>
        </w:tc>
      </w:tr>
      <w:tr w:rsidR="00FA3794" w:rsidRPr="002D78EC" w:rsidTr="00E5062D">
        <w:tc>
          <w:tcPr>
            <w:tcW w:w="5245" w:type="dxa"/>
            <w:vAlign w:val="center"/>
          </w:tcPr>
          <w:p w:rsidR="00FA3794" w:rsidRPr="002D78EC" w:rsidRDefault="00FA3794" w:rsidP="00FA3794">
            <w:pPr>
              <w:pStyle w:val="ab"/>
              <w:rPr>
                <w:rFonts w:ascii="Times New Roman" w:hAnsi="Times New Roman" w:cs="Times New Roman"/>
                <w:color w:val="000000"/>
                <w:sz w:val="21"/>
                <w:szCs w:val="21"/>
              </w:rPr>
            </w:pPr>
            <w:r w:rsidRPr="002D78EC">
              <w:rPr>
                <w:rFonts w:ascii="Times New Roman" w:hAnsi="Times New Roman" w:cs="Times New Roman"/>
                <w:color w:val="000000"/>
                <w:sz w:val="21"/>
                <w:szCs w:val="21"/>
              </w:rPr>
              <w:t>交易性金融资产</w:t>
            </w:r>
          </w:p>
        </w:tc>
        <w:tc>
          <w:tcPr>
            <w:tcW w:w="3827" w:type="dxa"/>
          </w:tcPr>
          <w:p w:rsidR="00FA3794" w:rsidRPr="004C639E" w:rsidRDefault="0032541E" w:rsidP="00FA3794">
            <w:pPr>
              <w:jc w:val="right"/>
              <w:rPr>
                <w:color w:val="000000"/>
                <w:szCs w:val="21"/>
              </w:rPr>
            </w:pPr>
            <w:r w:rsidRPr="0032541E">
              <w:rPr>
                <w:color w:val="000000"/>
                <w:szCs w:val="21"/>
              </w:rPr>
              <w:t>15,221,817.77</w:t>
            </w:r>
          </w:p>
        </w:tc>
      </w:tr>
      <w:tr w:rsidR="00FA3794" w:rsidRPr="002D78EC" w:rsidTr="00242EDA">
        <w:tc>
          <w:tcPr>
            <w:tcW w:w="5245" w:type="dxa"/>
            <w:vAlign w:val="center"/>
          </w:tcPr>
          <w:p w:rsidR="00FA3794" w:rsidRPr="002D78EC" w:rsidRDefault="00FA3794" w:rsidP="00FA3794">
            <w:pPr>
              <w:pStyle w:val="ab"/>
              <w:rPr>
                <w:rFonts w:ascii="Times New Roman" w:hAnsi="Times New Roman" w:cs="Times New Roman"/>
                <w:color w:val="000000"/>
                <w:sz w:val="21"/>
                <w:szCs w:val="21"/>
              </w:rPr>
            </w:pPr>
            <w:r w:rsidRPr="002D78EC">
              <w:rPr>
                <w:rFonts w:ascii="Times New Roman" w:hAnsi="Times New Roman" w:cs="Times New Roman"/>
                <w:color w:val="000000"/>
                <w:sz w:val="21"/>
                <w:szCs w:val="21"/>
              </w:rPr>
              <w:t>其中：股票投资</w:t>
            </w:r>
          </w:p>
        </w:tc>
        <w:tc>
          <w:tcPr>
            <w:tcW w:w="3827" w:type="dxa"/>
          </w:tcPr>
          <w:p w:rsidR="00FA3794" w:rsidRDefault="0032541E" w:rsidP="00FA3794">
            <w:pPr>
              <w:jc w:val="right"/>
            </w:pPr>
            <w:r w:rsidRPr="0032541E">
              <w:t>15,221,817.77</w:t>
            </w:r>
          </w:p>
        </w:tc>
      </w:tr>
      <w:tr w:rsidR="004C639E" w:rsidRPr="002D78EC" w:rsidTr="00242EDA">
        <w:tc>
          <w:tcPr>
            <w:tcW w:w="5245" w:type="dxa"/>
            <w:vAlign w:val="center"/>
          </w:tcPr>
          <w:p w:rsidR="004C639E" w:rsidRPr="002D78EC" w:rsidRDefault="004C639E" w:rsidP="004C639E">
            <w:pPr>
              <w:widowControl/>
              <w:jc w:val="left"/>
              <w:rPr>
                <w:color w:val="000000"/>
                <w:kern w:val="0"/>
                <w:szCs w:val="21"/>
              </w:rPr>
            </w:pPr>
            <w:r w:rsidRPr="002D78EC">
              <w:rPr>
                <w:color w:val="000000"/>
                <w:kern w:val="0"/>
                <w:szCs w:val="21"/>
              </w:rPr>
              <w:t xml:space="preserve">            </w:t>
            </w:r>
            <w:r w:rsidRPr="002D78EC">
              <w:rPr>
                <w:color w:val="000000"/>
                <w:kern w:val="0"/>
                <w:szCs w:val="21"/>
              </w:rPr>
              <w:t>债券投资</w:t>
            </w:r>
          </w:p>
        </w:tc>
        <w:tc>
          <w:tcPr>
            <w:tcW w:w="3827" w:type="dxa"/>
          </w:tcPr>
          <w:p w:rsidR="004C639E" w:rsidRDefault="001E0357" w:rsidP="004C639E">
            <w:pPr>
              <w:jc w:val="right"/>
            </w:pPr>
            <w:r>
              <w:rPr>
                <w:rFonts w:hint="eastAsia"/>
              </w:rPr>
              <w:t>-</w:t>
            </w:r>
          </w:p>
        </w:tc>
      </w:tr>
      <w:tr w:rsidR="004C639E" w:rsidRPr="002D78EC" w:rsidTr="00242EDA">
        <w:tc>
          <w:tcPr>
            <w:tcW w:w="5245" w:type="dxa"/>
            <w:vAlign w:val="center"/>
          </w:tcPr>
          <w:p w:rsidR="004C639E" w:rsidRPr="002D78EC" w:rsidRDefault="004C639E" w:rsidP="004C639E">
            <w:pPr>
              <w:rPr>
                <w:color w:val="000000"/>
                <w:kern w:val="0"/>
                <w:szCs w:val="21"/>
              </w:rPr>
            </w:pPr>
            <w:r w:rsidRPr="002D78EC">
              <w:rPr>
                <w:color w:val="000000"/>
                <w:kern w:val="0"/>
                <w:szCs w:val="21"/>
              </w:rPr>
              <w:t xml:space="preserve">            </w:t>
            </w:r>
            <w:r w:rsidRPr="002D78EC">
              <w:rPr>
                <w:color w:val="000000"/>
                <w:kern w:val="0"/>
                <w:szCs w:val="21"/>
              </w:rPr>
              <w:t>资产支持证券投资</w:t>
            </w:r>
          </w:p>
        </w:tc>
        <w:tc>
          <w:tcPr>
            <w:tcW w:w="3827" w:type="dxa"/>
          </w:tcPr>
          <w:p w:rsidR="004C639E" w:rsidRDefault="001E0357" w:rsidP="004C639E">
            <w:pPr>
              <w:jc w:val="right"/>
            </w:pPr>
            <w:r>
              <w:rPr>
                <w:rFonts w:hint="eastAsia"/>
              </w:rPr>
              <w:t>-</w:t>
            </w:r>
          </w:p>
        </w:tc>
      </w:tr>
      <w:tr w:rsidR="00121A5C" w:rsidRPr="002D78EC" w:rsidTr="002A1311">
        <w:tc>
          <w:tcPr>
            <w:tcW w:w="5245" w:type="dxa"/>
            <w:vAlign w:val="center"/>
          </w:tcPr>
          <w:p w:rsidR="00121A5C" w:rsidRPr="002D78EC" w:rsidRDefault="00121A5C" w:rsidP="002A1311">
            <w:pPr>
              <w:pStyle w:val="ab"/>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Pr>
                <w:rFonts w:ascii="Times New Roman" w:hAnsi="Times New Roman" w:cs="Times New Roman"/>
                <w:color w:val="000000"/>
                <w:sz w:val="21"/>
                <w:szCs w:val="21"/>
              </w:rPr>
              <w:t xml:space="preserve">           </w:t>
            </w:r>
            <w:r w:rsidRPr="00592A16">
              <w:rPr>
                <w:rFonts w:ascii="Times New Roman" w:hAnsi="Times New Roman" w:cs="Times New Roman"/>
                <w:color w:val="000000"/>
                <w:sz w:val="21"/>
                <w:szCs w:val="21"/>
              </w:rPr>
              <w:t>基金投资</w:t>
            </w:r>
          </w:p>
        </w:tc>
        <w:tc>
          <w:tcPr>
            <w:tcW w:w="3827" w:type="dxa"/>
          </w:tcPr>
          <w:p w:rsidR="00121A5C" w:rsidRPr="00FD42A3" w:rsidRDefault="001E0357" w:rsidP="002A1311">
            <w:pPr>
              <w:jc w:val="right"/>
            </w:pPr>
            <w:r>
              <w:rPr>
                <w:rFonts w:hint="eastAsia"/>
              </w:rPr>
              <w:t>-</w:t>
            </w:r>
          </w:p>
        </w:tc>
      </w:tr>
      <w:tr w:rsidR="004C639E" w:rsidRPr="002D78EC" w:rsidTr="00242EDA">
        <w:tc>
          <w:tcPr>
            <w:tcW w:w="5245" w:type="dxa"/>
            <w:vAlign w:val="center"/>
          </w:tcPr>
          <w:p w:rsidR="004C639E" w:rsidRPr="002D78EC" w:rsidRDefault="004C639E" w:rsidP="004C639E">
            <w:pPr>
              <w:rPr>
                <w:color w:val="000000"/>
                <w:kern w:val="0"/>
                <w:szCs w:val="21"/>
              </w:rPr>
            </w:pPr>
            <w:r w:rsidRPr="002D78EC">
              <w:rPr>
                <w:color w:val="000000"/>
                <w:kern w:val="0"/>
                <w:szCs w:val="21"/>
              </w:rPr>
              <w:t>衍生金融资产</w:t>
            </w:r>
          </w:p>
        </w:tc>
        <w:tc>
          <w:tcPr>
            <w:tcW w:w="3827" w:type="dxa"/>
          </w:tcPr>
          <w:p w:rsidR="004C639E" w:rsidRDefault="001E0357" w:rsidP="004C639E">
            <w:pPr>
              <w:jc w:val="right"/>
            </w:pPr>
            <w:r>
              <w:rPr>
                <w:rFonts w:hint="eastAsia"/>
              </w:rPr>
              <w:t>-</w:t>
            </w:r>
          </w:p>
        </w:tc>
      </w:tr>
      <w:tr w:rsidR="004C639E" w:rsidRPr="002D78EC" w:rsidTr="00242EDA">
        <w:tc>
          <w:tcPr>
            <w:tcW w:w="5245" w:type="dxa"/>
            <w:vAlign w:val="center"/>
          </w:tcPr>
          <w:p w:rsidR="004C639E" w:rsidRPr="002D78EC" w:rsidRDefault="004C639E" w:rsidP="004C639E">
            <w:pPr>
              <w:rPr>
                <w:color w:val="000000"/>
                <w:kern w:val="0"/>
                <w:szCs w:val="21"/>
              </w:rPr>
            </w:pPr>
            <w:r w:rsidRPr="002D78EC">
              <w:rPr>
                <w:color w:val="000000"/>
                <w:kern w:val="0"/>
                <w:szCs w:val="21"/>
              </w:rPr>
              <w:t>买入返售金融资产</w:t>
            </w:r>
          </w:p>
        </w:tc>
        <w:tc>
          <w:tcPr>
            <w:tcW w:w="3827" w:type="dxa"/>
          </w:tcPr>
          <w:p w:rsidR="004C639E" w:rsidRDefault="001E0357" w:rsidP="004C639E">
            <w:pPr>
              <w:jc w:val="right"/>
            </w:pPr>
            <w:r>
              <w:rPr>
                <w:rFonts w:hint="eastAsia"/>
              </w:rPr>
              <w:t>-</w:t>
            </w:r>
          </w:p>
        </w:tc>
      </w:tr>
      <w:tr w:rsidR="004C639E" w:rsidRPr="002D78EC" w:rsidTr="00242EDA">
        <w:tc>
          <w:tcPr>
            <w:tcW w:w="5245" w:type="dxa"/>
            <w:vAlign w:val="center"/>
          </w:tcPr>
          <w:p w:rsidR="004C639E" w:rsidRPr="002D78EC" w:rsidRDefault="004C639E" w:rsidP="004C639E">
            <w:pPr>
              <w:rPr>
                <w:color w:val="000000"/>
                <w:kern w:val="0"/>
                <w:szCs w:val="21"/>
              </w:rPr>
            </w:pPr>
            <w:r w:rsidRPr="002D78EC">
              <w:rPr>
                <w:color w:val="000000"/>
                <w:kern w:val="0"/>
                <w:szCs w:val="21"/>
              </w:rPr>
              <w:t>应收清算款</w:t>
            </w:r>
          </w:p>
        </w:tc>
        <w:tc>
          <w:tcPr>
            <w:tcW w:w="3827" w:type="dxa"/>
          </w:tcPr>
          <w:p w:rsidR="004C639E" w:rsidRDefault="00433B62" w:rsidP="004C639E">
            <w:pPr>
              <w:jc w:val="right"/>
            </w:pPr>
            <w:r w:rsidRPr="00433B62">
              <w:t>6,468,783.77</w:t>
            </w:r>
          </w:p>
        </w:tc>
      </w:tr>
      <w:tr w:rsidR="004C639E" w:rsidRPr="002D78EC" w:rsidTr="00242EDA">
        <w:tc>
          <w:tcPr>
            <w:tcW w:w="5245" w:type="dxa"/>
            <w:vAlign w:val="center"/>
          </w:tcPr>
          <w:p w:rsidR="004C639E" w:rsidRPr="002D78EC" w:rsidRDefault="004C639E" w:rsidP="004C639E">
            <w:pPr>
              <w:widowControl/>
              <w:jc w:val="left"/>
              <w:rPr>
                <w:color w:val="000000"/>
                <w:kern w:val="0"/>
                <w:szCs w:val="21"/>
              </w:rPr>
            </w:pPr>
            <w:r w:rsidRPr="002D78EC">
              <w:rPr>
                <w:color w:val="000000"/>
                <w:kern w:val="0"/>
                <w:szCs w:val="21"/>
              </w:rPr>
              <w:t>应收股利</w:t>
            </w:r>
          </w:p>
        </w:tc>
        <w:tc>
          <w:tcPr>
            <w:tcW w:w="3827" w:type="dxa"/>
          </w:tcPr>
          <w:p w:rsidR="004C639E" w:rsidRPr="00821AEA" w:rsidRDefault="00443F34" w:rsidP="004C639E">
            <w:pPr>
              <w:jc w:val="right"/>
              <w:rPr>
                <w:szCs w:val="21"/>
              </w:rPr>
            </w:pPr>
            <w:r w:rsidRPr="00443F34">
              <w:rPr>
                <w:szCs w:val="21"/>
              </w:rPr>
              <w:t>7,651.14</w:t>
            </w:r>
          </w:p>
        </w:tc>
      </w:tr>
      <w:tr w:rsidR="004C639E" w:rsidRPr="002D78EC" w:rsidTr="00242EDA">
        <w:tc>
          <w:tcPr>
            <w:tcW w:w="5245" w:type="dxa"/>
            <w:vAlign w:val="center"/>
          </w:tcPr>
          <w:p w:rsidR="004C639E" w:rsidRPr="002D78EC" w:rsidRDefault="004C639E" w:rsidP="004C639E">
            <w:pPr>
              <w:pStyle w:val="ab"/>
              <w:rPr>
                <w:rFonts w:ascii="Times New Roman" w:hAnsi="Times New Roman" w:cs="Times New Roman"/>
                <w:color w:val="000000"/>
                <w:sz w:val="21"/>
                <w:szCs w:val="21"/>
              </w:rPr>
            </w:pPr>
            <w:r w:rsidRPr="002D78EC">
              <w:rPr>
                <w:rFonts w:ascii="Times New Roman" w:hAnsi="Times New Roman" w:cs="Times New Roman"/>
                <w:color w:val="000000"/>
                <w:sz w:val="21"/>
                <w:szCs w:val="21"/>
              </w:rPr>
              <w:t>应收申购款</w:t>
            </w:r>
          </w:p>
        </w:tc>
        <w:tc>
          <w:tcPr>
            <w:tcW w:w="3827" w:type="dxa"/>
          </w:tcPr>
          <w:p w:rsidR="004C639E" w:rsidRPr="00821AEA" w:rsidRDefault="001E0357" w:rsidP="004C639E">
            <w:pPr>
              <w:jc w:val="right"/>
              <w:rPr>
                <w:szCs w:val="21"/>
              </w:rPr>
            </w:pPr>
            <w:r>
              <w:rPr>
                <w:rFonts w:hint="eastAsia"/>
                <w:szCs w:val="21"/>
              </w:rPr>
              <w:t>-</w:t>
            </w:r>
          </w:p>
        </w:tc>
      </w:tr>
      <w:tr w:rsidR="004C639E" w:rsidRPr="002D78EC" w:rsidTr="00242EDA">
        <w:tc>
          <w:tcPr>
            <w:tcW w:w="5245" w:type="dxa"/>
            <w:vAlign w:val="center"/>
          </w:tcPr>
          <w:p w:rsidR="004C639E" w:rsidRPr="002D78EC" w:rsidRDefault="004C639E" w:rsidP="004C639E">
            <w:pPr>
              <w:pStyle w:val="ab"/>
              <w:rPr>
                <w:rFonts w:ascii="Times New Roman" w:hAnsi="Times New Roman" w:cs="Times New Roman"/>
                <w:color w:val="000000"/>
                <w:sz w:val="21"/>
                <w:szCs w:val="21"/>
              </w:rPr>
            </w:pPr>
            <w:r w:rsidRPr="002D78EC">
              <w:rPr>
                <w:rFonts w:ascii="Times New Roman" w:hAnsi="Times New Roman" w:cs="Times New Roman"/>
                <w:color w:val="000000"/>
                <w:sz w:val="21"/>
                <w:szCs w:val="21"/>
              </w:rPr>
              <w:t>其他资产</w:t>
            </w:r>
          </w:p>
        </w:tc>
        <w:tc>
          <w:tcPr>
            <w:tcW w:w="3827" w:type="dxa"/>
          </w:tcPr>
          <w:p w:rsidR="004C639E" w:rsidRPr="00821AEA" w:rsidRDefault="001E0357" w:rsidP="004C639E">
            <w:pPr>
              <w:jc w:val="right"/>
              <w:rPr>
                <w:szCs w:val="21"/>
              </w:rPr>
            </w:pPr>
            <w:r>
              <w:rPr>
                <w:rFonts w:hint="eastAsia"/>
                <w:szCs w:val="21"/>
              </w:rPr>
              <w:t>-</w:t>
            </w:r>
          </w:p>
        </w:tc>
      </w:tr>
      <w:tr w:rsidR="00184FAE" w:rsidRPr="002D78EC" w:rsidTr="00242EDA">
        <w:tc>
          <w:tcPr>
            <w:tcW w:w="5245" w:type="dxa"/>
            <w:vAlign w:val="center"/>
          </w:tcPr>
          <w:p w:rsidR="00184FAE" w:rsidRPr="002D78EC" w:rsidRDefault="00184FAE" w:rsidP="00242EDA">
            <w:pPr>
              <w:pStyle w:val="ab"/>
              <w:rPr>
                <w:rFonts w:ascii="Times New Roman" w:hAnsi="Times New Roman" w:cs="Times New Roman"/>
                <w:sz w:val="21"/>
                <w:szCs w:val="21"/>
              </w:rPr>
            </w:pPr>
            <w:r w:rsidRPr="002D78EC">
              <w:rPr>
                <w:rFonts w:ascii="Times New Roman" w:hAnsi="Times New Roman" w:cs="Times New Roman"/>
                <w:sz w:val="21"/>
                <w:szCs w:val="21"/>
              </w:rPr>
              <w:t>资产总计</w:t>
            </w:r>
          </w:p>
        </w:tc>
        <w:tc>
          <w:tcPr>
            <w:tcW w:w="3827" w:type="dxa"/>
            <w:vAlign w:val="bottom"/>
          </w:tcPr>
          <w:p w:rsidR="00184FAE" w:rsidRPr="00821AEA" w:rsidRDefault="00443F34" w:rsidP="00242EDA">
            <w:pPr>
              <w:jc w:val="right"/>
              <w:rPr>
                <w:szCs w:val="21"/>
              </w:rPr>
            </w:pPr>
            <w:r w:rsidRPr="00443F34">
              <w:rPr>
                <w:szCs w:val="21"/>
              </w:rPr>
              <w:t>23,677,395.67</w:t>
            </w:r>
          </w:p>
        </w:tc>
      </w:tr>
      <w:tr w:rsidR="004C639E" w:rsidRPr="002D78EC" w:rsidTr="00242EDA">
        <w:tc>
          <w:tcPr>
            <w:tcW w:w="5245" w:type="dxa"/>
            <w:vAlign w:val="center"/>
          </w:tcPr>
          <w:p w:rsidR="004C639E" w:rsidRPr="002D78EC" w:rsidRDefault="004C639E" w:rsidP="004C639E">
            <w:pPr>
              <w:pStyle w:val="ab"/>
              <w:rPr>
                <w:rFonts w:ascii="Times New Roman" w:hAnsi="Times New Roman" w:cs="Times New Roman"/>
                <w:sz w:val="21"/>
                <w:szCs w:val="21"/>
              </w:rPr>
            </w:pPr>
            <w:r w:rsidRPr="002D78EC">
              <w:rPr>
                <w:rFonts w:ascii="Times New Roman" w:hAnsi="Times New Roman" w:cs="Times New Roman"/>
                <w:b/>
                <w:sz w:val="21"/>
                <w:szCs w:val="21"/>
              </w:rPr>
              <w:t>负</w:t>
            </w:r>
            <w:r w:rsidRPr="002D78EC">
              <w:rPr>
                <w:rFonts w:ascii="Times New Roman" w:hAnsi="Times New Roman" w:cs="Times New Roman"/>
                <w:b/>
                <w:sz w:val="21"/>
                <w:szCs w:val="21"/>
              </w:rPr>
              <w:t xml:space="preserve"> </w:t>
            </w:r>
            <w:r w:rsidRPr="002D78EC">
              <w:rPr>
                <w:rFonts w:ascii="Times New Roman" w:hAnsi="Times New Roman" w:cs="Times New Roman"/>
                <w:b/>
                <w:sz w:val="21"/>
                <w:szCs w:val="21"/>
              </w:rPr>
              <w:t>债：</w:t>
            </w:r>
          </w:p>
        </w:tc>
        <w:tc>
          <w:tcPr>
            <w:tcW w:w="3827" w:type="dxa"/>
          </w:tcPr>
          <w:p w:rsidR="004C639E" w:rsidRPr="00237B47" w:rsidRDefault="004C639E" w:rsidP="004C639E">
            <w:pPr>
              <w:jc w:val="right"/>
              <w:rPr>
                <w:szCs w:val="21"/>
              </w:rPr>
            </w:pPr>
          </w:p>
        </w:tc>
      </w:tr>
      <w:tr w:rsidR="004C639E" w:rsidRPr="002D78EC" w:rsidTr="00242EDA">
        <w:tc>
          <w:tcPr>
            <w:tcW w:w="5245" w:type="dxa"/>
            <w:vAlign w:val="center"/>
          </w:tcPr>
          <w:p w:rsidR="004C639E" w:rsidRPr="002D78EC" w:rsidRDefault="004C639E" w:rsidP="004C639E">
            <w:pPr>
              <w:widowControl/>
              <w:jc w:val="left"/>
              <w:rPr>
                <w:color w:val="000000"/>
                <w:kern w:val="0"/>
                <w:szCs w:val="21"/>
              </w:rPr>
            </w:pPr>
            <w:r w:rsidRPr="002D78EC">
              <w:rPr>
                <w:color w:val="000000"/>
                <w:kern w:val="0"/>
                <w:szCs w:val="21"/>
              </w:rPr>
              <w:t>短期借款</w:t>
            </w:r>
          </w:p>
        </w:tc>
        <w:tc>
          <w:tcPr>
            <w:tcW w:w="3827" w:type="dxa"/>
          </w:tcPr>
          <w:p w:rsidR="004C639E" w:rsidRPr="00821AEA" w:rsidRDefault="001E0357" w:rsidP="004C639E">
            <w:pPr>
              <w:jc w:val="right"/>
              <w:rPr>
                <w:szCs w:val="21"/>
              </w:rPr>
            </w:pPr>
            <w:r>
              <w:rPr>
                <w:rFonts w:hint="eastAsia"/>
                <w:szCs w:val="21"/>
              </w:rPr>
              <w:t>-</w:t>
            </w:r>
          </w:p>
        </w:tc>
      </w:tr>
      <w:tr w:rsidR="004C639E" w:rsidRPr="002D78EC" w:rsidTr="00242EDA">
        <w:tc>
          <w:tcPr>
            <w:tcW w:w="5245" w:type="dxa"/>
            <w:vAlign w:val="center"/>
          </w:tcPr>
          <w:p w:rsidR="004C639E" w:rsidRPr="002D78EC" w:rsidRDefault="004C639E" w:rsidP="004C639E">
            <w:pPr>
              <w:rPr>
                <w:color w:val="000000"/>
                <w:kern w:val="0"/>
                <w:szCs w:val="21"/>
              </w:rPr>
            </w:pPr>
            <w:r w:rsidRPr="002D78EC">
              <w:rPr>
                <w:color w:val="000000"/>
                <w:kern w:val="0"/>
                <w:szCs w:val="21"/>
              </w:rPr>
              <w:t>交易性金融负债</w:t>
            </w:r>
          </w:p>
        </w:tc>
        <w:tc>
          <w:tcPr>
            <w:tcW w:w="3827" w:type="dxa"/>
          </w:tcPr>
          <w:p w:rsidR="004C639E" w:rsidRPr="00821AEA" w:rsidRDefault="001E0357" w:rsidP="004C639E">
            <w:pPr>
              <w:jc w:val="right"/>
              <w:rPr>
                <w:szCs w:val="21"/>
              </w:rPr>
            </w:pPr>
            <w:r>
              <w:rPr>
                <w:rFonts w:hint="eastAsia"/>
                <w:szCs w:val="21"/>
              </w:rPr>
              <w:t>-</w:t>
            </w:r>
          </w:p>
        </w:tc>
      </w:tr>
      <w:tr w:rsidR="004C639E" w:rsidRPr="002D78EC" w:rsidTr="00242EDA">
        <w:tc>
          <w:tcPr>
            <w:tcW w:w="5245" w:type="dxa"/>
            <w:vAlign w:val="center"/>
          </w:tcPr>
          <w:p w:rsidR="004C639E" w:rsidRPr="002D78EC" w:rsidRDefault="004C639E" w:rsidP="004C639E">
            <w:pPr>
              <w:rPr>
                <w:color w:val="000000"/>
                <w:kern w:val="0"/>
                <w:szCs w:val="21"/>
              </w:rPr>
            </w:pPr>
            <w:r w:rsidRPr="002D78EC">
              <w:rPr>
                <w:color w:val="000000"/>
                <w:kern w:val="0"/>
                <w:szCs w:val="21"/>
              </w:rPr>
              <w:t>衍生金融负债</w:t>
            </w:r>
          </w:p>
        </w:tc>
        <w:tc>
          <w:tcPr>
            <w:tcW w:w="3827" w:type="dxa"/>
          </w:tcPr>
          <w:p w:rsidR="004C639E" w:rsidRPr="00821AEA" w:rsidRDefault="00E44851" w:rsidP="004C639E">
            <w:pPr>
              <w:jc w:val="right"/>
              <w:rPr>
                <w:szCs w:val="21"/>
              </w:rPr>
            </w:pPr>
            <w:r>
              <w:rPr>
                <w:rFonts w:hint="eastAsia"/>
                <w:szCs w:val="21"/>
              </w:rPr>
              <w:t>-</w:t>
            </w:r>
          </w:p>
        </w:tc>
      </w:tr>
      <w:tr w:rsidR="004C639E" w:rsidRPr="002D78EC" w:rsidTr="00242EDA">
        <w:tc>
          <w:tcPr>
            <w:tcW w:w="5245" w:type="dxa"/>
            <w:vAlign w:val="center"/>
          </w:tcPr>
          <w:p w:rsidR="004C639E" w:rsidRPr="002D78EC" w:rsidRDefault="004C639E" w:rsidP="004C639E">
            <w:pPr>
              <w:rPr>
                <w:color w:val="000000"/>
                <w:kern w:val="0"/>
                <w:szCs w:val="21"/>
              </w:rPr>
            </w:pPr>
            <w:r w:rsidRPr="002D78EC">
              <w:rPr>
                <w:color w:val="000000"/>
                <w:kern w:val="0"/>
                <w:szCs w:val="21"/>
              </w:rPr>
              <w:t>卖出回购金融资产款</w:t>
            </w:r>
          </w:p>
        </w:tc>
        <w:tc>
          <w:tcPr>
            <w:tcW w:w="3827" w:type="dxa"/>
          </w:tcPr>
          <w:p w:rsidR="004C639E" w:rsidRPr="00821AEA" w:rsidRDefault="00E44851" w:rsidP="004C639E">
            <w:pPr>
              <w:jc w:val="right"/>
              <w:rPr>
                <w:szCs w:val="21"/>
              </w:rPr>
            </w:pPr>
            <w:r>
              <w:rPr>
                <w:rFonts w:hint="eastAsia"/>
                <w:szCs w:val="21"/>
              </w:rPr>
              <w:t>-</w:t>
            </w:r>
          </w:p>
        </w:tc>
      </w:tr>
      <w:tr w:rsidR="00544613" w:rsidRPr="002D78EC" w:rsidTr="00E5062D">
        <w:tc>
          <w:tcPr>
            <w:tcW w:w="5245" w:type="dxa"/>
            <w:vAlign w:val="center"/>
          </w:tcPr>
          <w:p w:rsidR="00544613" w:rsidRPr="002D78EC" w:rsidRDefault="00544613" w:rsidP="00544613">
            <w:pPr>
              <w:rPr>
                <w:color w:val="000000"/>
                <w:kern w:val="0"/>
                <w:szCs w:val="21"/>
              </w:rPr>
            </w:pPr>
            <w:r w:rsidRPr="002D78EC">
              <w:rPr>
                <w:color w:val="000000"/>
                <w:kern w:val="0"/>
                <w:szCs w:val="21"/>
              </w:rPr>
              <w:t>应付清算款</w:t>
            </w:r>
          </w:p>
        </w:tc>
        <w:tc>
          <w:tcPr>
            <w:tcW w:w="3827" w:type="dxa"/>
            <w:vAlign w:val="center"/>
          </w:tcPr>
          <w:p w:rsidR="00544613" w:rsidRPr="00821AEA" w:rsidRDefault="00D90FCD" w:rsidP="00544613">
            <w:pPr>
              <w:jc w:val="right"/>
              <w:rPr>
                <w:szCs w:val="21"/>
              </w:rPr>
            </w:pPr>
            <w:r w:rsidRPr="00D90FCD">
              <w:rPr>
                <w:szCs w:val="21"/>
              </w:rPr>
              <w:t>565,324.99</w:t>
            </w:r>
          </w:p>
        </w:tc>
      </w:tr>
      <w:tr w:rsidR="00544613" w:rsidRPr="002D78EC" w:rsidTr="00E5062D">
        <w:tc>
          <w:tcPr>
            <w:tcW w:w="5245" w:type="dxa"/>
            <w:vAlign w:val="center"/>
          </w:tcPr>
          <w:p w:rsidR="00544613" w:rsidRPr="002D78EC" w:rsidRDefault="00544613" w:rsidP="00544613">
            <w:pPr>
              <w:rPr>
                <w:color w:val="000000"/>
                <w:kern w:val="0"/>
                <w:szCs w:val="21"/>
              </w:rPr>
            </w:pPr>
            <w:r w:rsidRPr="002D78EC">
              <w:rPr>
                <w:color w:val="000000"/>
                <w:kern w:val="0"/>
                <w:szCs w:val="21"/>
              </w:rPr>
              <w:t>应付赎回款</w:t>
            </w:r>
          </w:p>
        </w:tc>
        <w:tc>
          <w:tcPr>
            <w:tcW w:w="3827" w:type="dxa"/>
            <w:vAlign w:val="center"/>
          </w:tcPr>
          <w:p w:rsidR="00544613" w:rsidRPr="00821AEA" w:rsidRDefault="00E44851" w:rsidP="00544613">
            <w:pPr>
              <w:jc w:val="right"/>
              <w:rPr>
                <w:szCs w:val="21"/>
              </w:rPr>
            </w:pPr>
            <w:r>
              <w:rPr>
                <w:rFonts w:hint="eastAsia"/>
                <w:szCs w:val="21"/>
              </w:rPr>
              <w:t>-</w:t>
            </w:r>
          </w:p>
        </w:tc>
      </w:tr>
      <w:tr w:rsidR="00544613" w:rsidRPr="002D78EC" w:rsidTr="00242EDA">
        <w:tc>
          <w:tcPr>
            <w:tcW w:w="5245" w:type="dxa"/>
            <w:vAlign w:val="center"/>
          </w:tcPr>
          <w:p w:rsidR="00544613" w:rsidRPr="002D78EC" w:rsidRDefault="00544613" w:rsidP="00544613">
            <w:pPr>
              <w:rPr>
                <w:color w:val="000000"/>
                <w:kern w:val="0"/>
                <w:szCs w:val="21"/>
              </w:rPr>
            </w:pPr>
            <w:r w:rsidRPr="002D78EC">
              <w:rPr>
                <w:color w:val="000000"/>
                <w:kern w:val="0"/>
                <w:szCs w:val="21"/>
              </w:rPr>
              <w:t>应付管理人报酬</w:t>
            </w:r>
          </w:p>
        </w:tc>
        <w:tc>
          <w:tcPr>
            <w:tcW w:w="3827" w:type="dxa"/>
            <w:vAlign w:val="center"/>
          </w:tcPr>
          <w:p w:rsidR="00544613" w:rsidRPr="00821AEA" w:rsidRDefault="00D90FCD" w:rsidP="00544613">
            <w:pPr>
              <w:jc w:val="right"/>
              <w:rPr>
                <w:color w:val="000000"/>
                <w:szCs w:val="21"/>
              </w:rPr>
            </w:pPr>
            <w:r w:rsidRPr="00D90FCD">
              <w:rPr>
                <w:color w:val="000000"/>
                <w:szCs w:val="21"/>
              </w:rPr>
              <w:t>6,063.52</w:t>
            </w:r>
          </w:p>
        </w:tc>
      </w:tr>
      <w:tr w:rsidR="00544613" w:rsidRPr="002D78EC" w:rsidTr="00242EDA">
        <w:tc>
          <w:tcPr>
            <w:tcW w:w="5245" w:type="dxa"/>
            <w:vAlign w:val="center"/>
          </w:tcPr>
          <w:p w:rsidR="00544613" w:rsidRPr="002D78EC" w:rsidRDefault="00544613" w:rsidP="00544613">
            <w:pPr>
              <w:rPr>
                <w:color w:val="000000"/>
                <w:kern w:val="0"/>
                <w:szCs w:val="21"/>
              </w:rPr>
            </w:pPr>
            <w:r w:rsidRPr="002D78EC">
              <w:rPr>
                <w:color w:val="000000"/>
                <w:kern w:val="0"/>
                <w:szCs w:val="21"/>
              </w:rPr>
              <w:t>应付托管费</w:t>
            </w:r>
          </w:p>
        </w:tc>
        <w:tc>
          <w:tcPr>
            <w:tcW w:w="3827" w:type="dxa"/>
            <w:vAlign w:val="center"/>
          </w:tcPr>
          <w:p w:rsidR="00544613" w:rsidRPr="00821AEA" w:rsidRDefault="00D90FCD" w:rsidP="00544613">
            <w:pPr>
              <w:jc w:val="right"/>
              <w:rPr>
                <w:color w:val="000000"/>
                <w:szCs w:val="21"/>
              </w:rPr>
            </w:pPr>
            <w:r w:rsidRPr="00D90FCD">
              <w:rPr>
                <w:color w:val="000000"/>
                <w:szCs w:val="21"/>
              </w:rPr>
              <w:t>2,021.16</w:t>
            </w:r>
          </w:p>
        </w:tc>
      </w:tr>
      <w:tr w:rsidR="00544613" w:rsidRPr="002D78EC" w:rsidTr="00E5062D">
        <w:tc>
          <w:tcPr>
            <w:tcW w:w="5245" w:type="dxa"/>
            <w:vAlign w:val="center"/>
          </w:tcPr>
          <w:p w:rsidR="00544613" w:rsidRPr="002D78EC" w:rsidRDefault="00544613" w:rsidP="00544613">
            <w:pPr>
              <w:rPr>
                <w:color w:val="000000"/>
                <w:kern w:val="0"/>
                <w:szCs w:val="21"/>
              </w:rPr>
            </w:pPr>
            <w:r w:rsidRPr="002D78EC">
              <w:rPr>
                <w:color w:val="000000"/>
                <w:kern w:val="0"/>
                <w:szCs w:val="21"/>
              </w:rPr>
              <w:t>应付销售服务费</w:t>
            </w:r>
          </w:p>
        </w:tc>
        <w:tc>
          <w:tcPr>
            <w:tcW w:w="3827" w:type="dxa"/>
            <w:vAlign w:val="center"/>
          </w:tcPr>
          <w:p w:rsidR="00544613" w:rsidRDefault="00E44851" w:rsidP="00544613">
            <w:pPr>
              <w:jc w:val="right"/>
            </w:pPr>
            <w:r>
              <w:rPr>
                <w:rFonts w:hint="eastAsia"/>
              </w:rPr>
              <w:t>-</w:t>
            </w:r>
          </w:p>
        </w:tc>
      </w:tr>
      <w:tr w:rsidR="004C639E" w:rsidRPr="002D78EC" w:rsidTr="00242EDA">
        <w:tc>
          <w:tcPr>
            <w:tcW w:w="5245" w:type="dxa"/>
            <w:vAlign w:val="center"/>
          </w:tcPr>
          <w:p w:rsidR="004C639E" w:rsidRPr="002D78EC" w:rsidRDefault="004C639E" w:rsidP="004C639E">
            <w:pPr>
              <w:rPr>
                <w:color w:val="000000"/>
                <w:kern w:val="0"/>
                <w:szCs w:val="21"/>
              </w:rPr>
            </w:pPr>
            <w:r w:rsidRPr="002D78EC">
              <w:rPr>
                <w:color w:val="000000"/>
                <w:kern w:val="0"/>
                <w:szCs w:val="21"/>
              </w:rPr>
              <w:t>应</w:t>
            </w:r>
            <w:r w:rsidR="00C9652A">
              <w:rPr>
                <w:rFonts w:hint="eastAsia"/>
                <w:color w:val="000000"/>
                <w:kern w:val="0"/>
                <w:szCs w:val="21"/>
              </w:rPr>
              <w:t>交</w:t>
            </w:r>
            <w:r w:rsidRPr="002D78EC">
              <w:rPr>
                <w:color w:val="000000"/>
                <w:kern w:val="0"/>
                <w:szCs w:val="21"/>
              </w:rPr>
              <w:t>税费</w:t>
            </w:r>
          </w:p>
        </w:tc>
        <w:tc>
          <w:tcPr>
            <w:tcW w:w="3827" w:type="dxa"/>
          </w:tcPr>
          <w:p w:rsidR="004C639E" w:rsidRDefault="00E44851" w:rsidP="004C639E">
            <w:pPr>
              <w:jc w:val="right"/>
            </w:pPr>
            <w:r>
              <w:rPr>
                <w:rFonts w:hint="eastAsia"/>
              </w:rPr>
              <w:t>-</w:t>
            </w:r>
          </w:p>
        </w:tc>
      </w:tr>
      <w:tr w:rsidR="00121A5C" w:rsidRPr="002D78EC" w:rsidTr="00242EDA">
        <w:tc>
          <w:tcPr>
            <w:tcW w:w="5245" w:type="dxa"/>
            <w:vAlign w:val="center"/>
          </w:tcPr>
          <w:p w:rsidR="00121A5C" w:rsidRPr="002D78EC" w:rsidRDefault="0057726E" w:rsidP="004C639E">
            <w:pPr>
              <w:rPr>
                <w:color w:val="000000"/>
                <w:kern w:val="0"/>
                <w:szCs w:val="21"/>
              </w:rPr>
            </w:pPr>
            <w:r w:rsidRPr="0057726E">
              <w:rPr>
                <w:rFonts w:hint="eastAsia"/>
                <w:color w:val="000000"/>
                <w:kern w:val="0"/>
                <w:szCs w:val="21"/>
              </w:rPr>
              <w:t>递延所得税负债</w:t>
            </w:r>
          </w:p>
        </w:tc>
        <w:tc>
          <w:tcPr>
            <w:tcW w:w="3827" w:type="dxa"/>
          </w:tcPr>
          <w:p w:rsidR="00121A5C" w:rsidRDefault="00E44851" w:rsidP="004C639E">
            <w:pPr>
              <w:jc w:val="right"/>
            </w:pPr>
            <w:r>
              <w:rPr>
                <w:rFonts w:hint="eastAsia"/>
              </w:rPr>
              <w:t>-</w:t>
            </w:r>
          </w:p>
        </w:tc>
      </w:tr>
      <w:tr w:rsidR="004C639E" w:rsidRPr="002D78EC" w:rsidTr="00242EDA">
        <w:tc>
          <w:tcPr>
            <w:tcW w:w="5245" w:type="dxa"/>
            <w:vAlign w:val="center"/>
          </w:tcPr>
          <w:p w:rsidR="004C639E" w:rsidRPr="002D78EC" w:rsidRDefault="004C639E" w:rsidP="004C639E">
            <w:pPr>
              <w:rPr>
                <w:color w:val="000000"/>
                <w:kern w:val="0"/>
                <w:szCs w:val="21"/>
              </w:rPr>
            </w:pPr>
            <w:r w:rsidRPr="002D78EC">
              <w:rPr>
                <w:color w:val="000000"/>
                <w:kern w:val="0"/>
                <w:szCs w:val="21"/>
              </w:rPr>
              <w:t>应付利润</w:t>
            </w:r>
          </w:p>
        </w:tc>
        <w:tc>
          <w:tcPr>
            <w:tcW w:w="3827" w:type="dxa"/>
          </w:tcPr>
          <w:p w:rsidR="004C639E" w:rsidRDefault="00E44851" w:rsidP="004C639E">
            <w:pPr>
              <w:jc w:val="right"/>
            </w:pPr>
            <w:r>
              <w:rPr>
                <w:rFonts w:hint="eastAsia"/>
              </w:rPr>
              <w:t>-</w:t>
            </w:r>
          </w:p>
        </w:tc>
      </w:tr>
      <w:tr w:rsidR="00544613" w:rsidRPr="002D78EC" w:rsidTr="00E5062D">
        <w:tc>
          <w:tcPr>
            <w:tcW w:w="5245" w:type="dxa"/>
            <w:vAlign w:val="center"/>
          </w:tcPr>
          <w:p w:rsidR="00544613" w:rsidRPr="002D78EC" w:rsidRDefault="00544613" w:rsidP="00544613">
            <w:pPr>
              <w:rPr>
                <w:color w:val="000000"/>
                <w:kern w:val="0"/>
                <w:szCs w:val="21"/>
              </w:rPr>
            </w:pPr>
            <w:r w:rsidRPr="002D78EC">
              <w:rPr>
                <w:color w:val="000000"/>
                <w:kern w:val="0"/>
                <w:szCs w:val="21"/>
              </w:rPr>
              <w:t>其他负债</w:t>
            </w:r>
          </w:p>
        </w:tc>
        <w:tc>
          <w:tcPr>
            <w:tcW w:w="3827" w:type="dxa"/>
          </w:tcPr>
          <w:p w:rsidR="00544613" w:rsidRPr="004C639E" w:rsidRDefault="0057726E" w:rsidP="00544613">
            <w:pPr>
              <w:jc w:val="right"/>
              <w:rPr>
                <w:color w:val="000000"/>
                <w:szCs w:val="21"/>
              </w:rPr>
            </w:pPr>
            <w:r w:rsidRPr="0057726E">
              <w:rPr>
                <w:color w:val="000000"/>
                <w:szCs w:val="21"/>
              </w:rPr>
              <w:t>655,236.79</w:t>
            </w:r>
          </w:p>
        </w:tc>
      </w:tr>
      <w:tr w:rsidR="00544613" w:rsidRPr="002D78EC" w:rsidTr="00E5062D">
        <w:tc>
          <w:tcPr>
            <w:tcW w:w="5245" w:type="dxa"/>
            <w:vAlign w:val="center"/>
          </w:tcPr>
          <w:p w:rsidR="00544613" w:rsidRPr="002D78EC" w:rsidRDefault="00544613" w:rsidP="00544613">
            <w:pPr>
              <w:rPr>
                <w:color w:val="000000"/>
                <w:kern w:val="0"/>
                <w:szCs w:val="21"/>
              </w:rPr>
            </w:pPr>
            <w:r w:rsidRPr="002D78EC">
              <w:rPr>
                <w:color w:val="000000"/>
                <w:kern w:val="0"/>
                <w:szCs w:val="21"/>
              </w:rPr>
              <w:t>负债合计</w:t>
            </w:r>
          </w:p>
        </w:tc>
        <w:tc>
          <w:tcPr>
            <w:tcW w:w="3827" w:type="dxa"/>
          </w:tcPr>
          <w:p w:rsidR="00544613" w:rsidRPr="004C639E" w:rsidRDefault="007765B0" w:rsidP="00544613">
            <w:pPr>
              <w:widowControl/>
              <w:jc w:val="right"/>
              <w:rPr>
                <w:color w:val="000000"/>
                <w:szCs w:val="21"/>
              </w:rPr>
            </w:pPr>
            <w:r w:rsidRPr="007765B0">
              <w:rPr>
                <w:color w:val="000000"/>
                <w:szCs w:val="21"/>
              </w:rPr>
              <w:t>1,228,646.46</w:t>
            </w:r>
          </w:p>
        </w:tc>
      </w:tr>
      <w:tr w:rsidR="00184FAE" w:rsidRPr="002D78EC" w:rsidTr="00242EDA">
        <w:tc>
          <w:tcPr>
            <w:tcW w:w="5245" w:type="dxa"/>
            <w:vAlign w:val="center"/>
          </w:tcPr>
          <w:p w:rsidR="00184FAE" w:rsidRPr="002D78EC" w:rsidRDefault="00E129DF" w:rsidP="00242EDA">
            <w:pPr>
              <w:pStyle w:val="ab"/>
              <w:rPr>
                <w:rFonts w:ascii="Times New Roman" w:hAnsi="Times New Roman" w:cs="Times New Roman"/>
                <w:sz w:val="21"/>
                <w:szCs w:val="21"/>
              </w:rPr>
            </w:pPr>
            <w:r>
              <w:rPr>
                <w:rFonts w:ascii="Times New Roman" w:hAnsi="Times New Roman" w:cs="Times New Roman" w:hint="eastAsia"/>
                <w:b/>
                <w:sz w:val="21"/>
                <w:szCs w:val="21"/>
              </w:rPr>
              <w:t>净</w:t>
            </w:r>
            <w:r w:rsidR="0057726E">
              <w:rPr>
                <w:rFonts w:ascii="Times New Roman" w:hAnsi="Times New Roman" w:cs="Times New Roman" w:hint="eastAsia"/>
                <w:b/>
                <w:sz w:val="21"/>
                <w:szCs w:val="21"/>
              </w:rPr>
              <w:t>资产</w:t>
            </w:r>
            <w:r w:rsidR="00184FAE" w:rsidRPr="002D78EC">
              <w:rPr>
                <w:rFonts w:ascii="Times New Roman" w:hAnsi="Times New Roman" w:cs="Times New Roman"/>
                <w:b/>
                <w:sz w:val="21"/>
                <w:szCs w:val="21"/>
              </w:rPr>
              <w:t>：</w:t>
            </w:r>
          </w:p>
        </w:tc>
        <w:tc>
          <w:tcPr>
            <w:tcW w:w="3827" w:type="dxa"/>
            <w:vAlign w:val="bottom"/>
          </w:tcPr>
          <w:p w:rsidR="00184FAE" w:rsidRPr="004C639E" w:rsidRDefault="00184FAE" w:rsidP="00242EDA">
            <w:pPr>
              <w:jc w:val="right"/>
              <w:rPr>
                <w:color w:val="000000"/>
                <w:kern w:val="0"/>
                <w:szCs w:val="21"/>
              </w:rPr>
            </w:pPr>
          </w:p>
        </w:tc>
      </w:tr>
      <w:tr w:rsidR="00544613" w:rsidRPr="002D78EC" w:rsidTr="00E5062D">
        <w:tc>
          <w:tcPr>
            <w:tcW w:w="5245" w:type="dxa"/>
            <w:vAlign w:val="center"/>
          </w:tcPr>
          <w:p w:rsidR="00544613" w:rsidRPr="002D78EC" w:rsidRDefault="00544613" w:rsidP="00544613">
            <w:pPr>
              <w:pStyle w:val="ab"/>
              <w:rPr>
                <w:rFonts w:ascii="Times New Roman" w:hAnsi="Times New Roman" w:cs="Times New Roman"/>
                <w:b/>
                <w:sz w:val="21"/>
                <w:szCs w:val="21"/>
              </w:rPr>
            </w:pPr>
            <w:r w:rsidRPr="002D78EC">
              <w:rPr>
                <w:rFonts w:ascii="Times New Roman" w:hAnsi="Times New Roman" w:cs="Times New Roman"/>
                <w:sz w:val="21"/>
                <w:szCs w:val="21"/>
              </w:rPr>
              <w:t>实收基金</w:t>
            </w:r>
          </w:p>
        </w:tc>
        <w:tc>
          <w:tcPr>
            <w:tcW w:w="3827" w:type="dxa"/>
          </w:tcPr>
          <w:p w:rsidR="00544613" w:rsidRPr="004C639E" w:rsidRDefault="004F74C3" w:rsidP="00544613">
            <w:pPr>
              <w:jc w:val="right"/>
              <w:rPr>
                <w:color w:val="000000"/>
                <w:kern w:val="0"/>
                <w:szCs w:val="21"/>
              </w:rPr>
            </w:pPr>
            <w:r w:rsidRPr="004F74C3">
              <w:rPr>
                <w:color w:val="000000"/>
                <w:kern w:val="0"/>
                <w:szCs w:val="21"/>
              </w:rPr>
              <w:t>23,751,867.00</w:t>
            </w:r>
          </w:p>
        </w:tc>
      </w:tr>
      <w:tr w:rsidR="00544613" w:rsidRPr="002D78EC" w:rsidTr="00E5062D">
        <w:tc>
          <w:tcPr>
            <w:tcW w:w="5245" w:type="dxa"/>
            <w:vAlign w:val="center"/>
          </w:tcPr>
          <w:p w:rsidR="00544613" w:rsidRPr="002D78EC" w:rsidRDefault="00544613" w:rsidP="00544613">
            <w:pPr>
              <w:pStyle w:val="ab"/>
              <w:rPr>
                <w:rFonts w:ascii="Times New Roman" w:hAnsi="Times New Roman" w:cs="Times New Roman"/>
                <w:sz w:val="21"/>
                <w:szCs w:val="21"/>
              </w:rPr>
            </w:pPr>
            <w:r w:rsidRPr="002D78EC">
              <w:rPr>
                <w:rFonts w:ascii="Times New Roman" w:hAnsi="Times New Roman" w:cs="Times New Roman"/>
                <w:sz w:val="21"/>
                <w:szCs w:val="21"/>
              </w:rPr>
              <w:t>未分配利润</w:t>
            </w:r>
          </w:p>
        </w:tc>
        <w:tc>
          <w:tcPr>
            <w:tcW w:w="3827" w:type="dxa"/>
          </w:tcPr>
          <w:p w:rsidR="00544613" w:rsidRPr="004C639E" w:rsidRDefault="004F74C3" w:rsidP="00544613">
            <w:pPr>
              <w:jc w:val="right"/>
              <w:rPr>
                <w:color w:val="000000"/>
                <w:kern w:val="0"/>
                <w:szCs w:val="21"/>
              </w:rPr>
            </w:pPr>
            <w:r w:rsidRPr="004F74C3">
              <w:rPr>
                <w:color w:val="000000"/>
                <w:kern w:val="0"/>
                <w:szCs w:val="21"/>
              </w:rPr>
              <w:t>-1,303,117.79</w:t>
            </w:r>
          </w:p>
        </w:tc>
      </w:tr>
      <w:tr w:rsidR="00544613" w:rsidRPr="002D78EC" w:rsidTr="00E5062D">
        <w:tc>
          <w:tcPr>
            <w:tcW w:w="5245" w:type="dxa"/>
            <w:vAlign w:val="center"/>
          </w:tcPr>
          <w:p w:rsidR="00544613" w:rsidRPr="002D78EC" w:rsidRDefault="00E129DF" w:rsidP="00544613">
            <w:pPr>
              <w:pStyle w:val="ab"/>
              <w:rPr>
                <w:rFonts w:ascii="Times New Roman" w:hAnsi="Times New Roman" w:cs="Times New Roman"/>
                <w:sz w:val="21"/>
                <w:szCs w:val="21"/>
              </w:rPr>
            </w:pPr>
            <w:r>
              <w:rPr>
                <w:rFonts w:ascii="Times New Roman" w:hAnsi="Times New Roman" w:cs="Times New Roman" w:hint="eastAsia"/>
                <w:sz w:val="21"/>
                <w:szCs w:val="21"/>
              </w:rPr>
              <w:t>净资产</w:t>
            </w:r>
            <w:r w:rsidR="00544613" w:rsidRPr="002D78EC">
              <w:rPr>
                <w:rFonts w:ascii="Times New Roman" w:hAnsi="Times New Roman" w:cs="Times New Roman"/>
                <w:sz w:val="21"/>
                <w:szCs w:val="21"/>
              </w:rPr>
              <w:t>合计</w:t>
            </w:r>
          </w:p>
        </w:tc>
        <w:tc>
          <w:tcPr>
            <w:tcW w:w="3827" w:type="dxa"/>
          </w:tcPr>
          <w:p w:rsidR="00544613" w:rsidRPr="004C639E" w:rsidRDefault="004F74C3" w:rsidP="00544613">
            <w:pPr>
              <w:jc w:val="right"/>
              <w:rPr>
                <w:color w:val="000000"/>
                <w:kern w:val="0"/>
                <w:szCs w:val="21"/>
              </w:rPr>
            </w:pPr>
            <w:r w:rsidRPr="004F74C3">
              <w:rPr>
                <w:color w:val="000000"/>
                <w:kern w:val="0"/>
                <w:szCs w:val="21"/>
              </w:rPr>
              <w:t>22,448,749.21</w:t>
            </w:r>
          </w:p>
        </w:tc>
      </w:tr>
      <w:tr w:rsidR="00184FAE" w:rsidRPr="002D78EC" w:rsidTr="00242EDA">
        <w:tc>
          <w:tcPr>
            <w:tcW w:w="5245" w:type="dxa"/>
            <w:vAlign w:val="center"/>
          </w:tcPr>
          <w:p w:rsidR="00184FAE" w:rsidRPr="002D78EC" w:rsidRDefault="00184FAE" w:rsidP="00184FAE">
            <w:pPr>
              <w:pStyle w:val="ab"/>
              <w:rPr>
                <w:rFonts w:ascii="Times New Roman" w:hAnsi="Times New Roman" w:cs="Times New Roman"/>
                <w:sz w:val="21"/>
                <w:szCs w:val="21"/>
              </w:rPr>
            </w:pPr>
            <w:r w:rsidRPr="002D78EC">
              <w:rPr>
                <w:rFonts w:ascii="Times New Roman" w:hAnsi="Times New Roman" w:cs="Times New Roman"/>
                <w:sz w:val="21"/>
                <w:szCs w:val="21"/>
              </w:rPr>
              <w:t>负债和</w:t>
            </w:r>
            <w:r w:rsidR="00E129DF">
              <w:rPr>
                <w:rFonts w:ascii="Times New Roman" w:hAnsi="Times New Roman" w:cs="Times New Roman" w:hint="eastAsia"/>
                <w:sz w:val="21"/>
                <w:szCs w:val="21"/>
              </w:rPr>
              <w:t>净资产</w:t>
            </w:r>
            <w:r w:rsidRPr="002D78EC">
              <w:rPr>
                <w:rFonts w:ascii="Times New Roman" w:hAnsi="Times New Roman" w:cs="Times New Roman"/>
                <w:sz w:val="21"/>
                <w:szCs w:val="21"/>
              </w:rPr>
              <w:t>总计</w:t>
            </w:r>
          </w:p>
        </w:tc>
        <w:tc>
          <w:tcPr>
            <w:tcW w:w="3827" w:type="dxa"/>
            <w:vAlign w:val="bottom"/>
          </w:tcPr>
          <w:p w:rsidR="00184FAE" w:rsidRPr="004C639E" w:rsidRDefault="004F74C3" w:rsidP="00184FAE">
            <w:pPr>
              <w:jc w:val="right"/>
              <w:rPr>
                <w:color w:val="000000"/>
                <w:kern w:val="0"/>
                <w:szCs w:val="21"/>
              </w:rPr>
            </w:pPr>
            <w:r w:rsidRPr="004F74C3">
              <w:rPr>
                <w:color w:val="000000"/>
                <w:kern w:val="0"/>
                <w:szCs w:val="21"/>
              </w:rPr>
              <w:t>23,677,395.67</w:t>
            </w:r>
          </w:p>
        </w:tc>
      </w:tr>
    </w:tbl>
    <w:p w:rsidR="0041616A" w:rsidRPr="00794F23" w:rsidRDefault="008079B9" w:rsidP="0041616A">
      <w:pPr>
        <w:spacing w:line="360" w:lineRule="auto"/>
        <w:ind w:firstLineChars="200" w:firstLine="420"/>
        <w:rPr>
          <w:rFonts w:hAnsi="宋体"/>
          <w:szCs w:val="21"/>
        </w:rPr>
      </w:pPr>
      <w:r w:rsidRPr="00DE6BA9">
        <w:rPr>
          <w:rFonts w:ascii="宋体" w:hAnsi="宋体" w:hint="eastAsia"/>
        </w:rPr>
        <w:t>注：</w:t>
      </w:r>
      <w:r w:rsidR="0041616A" w:rsidRPr="00794F23">
        <w:rPr>
          <w:rFonts w:hAnsi="宋体"/>
          <w:szCs w:val="21"/>
        </w:rPr>
        <w:fldChar w:fldCharType="begin"/>
      </w:r>
      <w:r w:rsidR="0041616A" w:rsidRPr="00794F23">
        <w:rPr>
          <w:rFonts w:hAnsi="宋体"/>
          <w:szCs w:val="21"/>
        </w:rPr>
        <w:instrText xml:space="preserve"> = 1 \* GB3 </w:instrText>
      </w:r>
      <w:r w:rsidR="0041616A" w:rsidRPr="00794F23">
        <w:rPr>
          <w:rFonts w:hAnsi="宋体"/>
          <w:szCs w:val="21"/>
        </w:rPr>
        <w:fldChar w:fldCharType="separate"/>
      </w:r>
      <w:r w:rsidR="0041616A" w:rsidRPr="00794F23">
        <w:rPr>
          <w:rFonts w:hAnsi="宋体"/>
          <w:szCs w:val="21"/>
        </w:rPr>
        <w:t>①</w:t>
      </w:r>
      <w:r w:rsidR="0041616A" w:rsidRPr="00794F23">
        <w:rPr>
          <w:rFonts w:hAnsi="宋体"/>
          <w:szCs w:val="21"/>
        </w:rPr>
        <w:fldChar w:fldCharType="end"/>
      </w:r>
      <w:r w:rsidR="0041616A" w:rsidRPr="00DD173D">
        <w:rPr>
          <w:rFonts w:hAnsi="宋体" w:hint="eastAsia"/>
          <w:szCs w:val="21"/>
        </w:rPr>
        <w:t>报告截止日</w:t>
      </w:r>
      <w:r w:rsidR="005E08EC">
        <w:rPr>
          <w:rFonts w:hAnsi="宋体" w:hint="eastAsia"/>
          <w:szCs w:val="21"/>
        </w:rPr>
        <w:t>202</w:t>
      </w:r>
      <w:r w:rsidR="00D56B12">
        <w:rPr>
          <w:rFonts w:hAnsi="宋体"/>
          <w:szCs w:val="21"/>
        </w:rPr>
        <w:t>3</w:t>
      </w:r>
      <w:r w:rsidR="005E08EC">
        <w:rPr>
          <w:rFonts w:hAnsi="宋体" w:hint="eastAsia"/>
          <w:szCs w:val="21"/>
        </w:rPr>
        <w:t>年</w:t>
      </w:r>
      <w:r w:rsidR="005E08EC">
        <w:rPr>
          <w:rFonts w:hAnsi="宋体" w:hint="eastAsia"/>
          <w:szCs w:val="21"/>
        </w:rPr>
        <w:t>1</w:t>
      </w:r>
      <w:r w:rsidR="00D56B12">
        <w:rPr>
          <w:rFonts w:hAnsi="宋体"/>
          <w:szCs w:val="21"/>
        </w:rPr>
        <w:t>2</w:t>
      </w:r>
      <w:r w:rsidR="005E08EC">
        <w:rPr>
          <w:rFonts w:hAnsi="宋体" w:hint="eastAsia"/>
          <w:szCs w:val="21"/>
        </w:rPr>
        <w:t>月</w:t>
      </w:r>
      <w:r w:rsidR="005E08EC">
        <w:rPr>
          <w:rFonts w:hAnsi="宋体" w:hint="eastAsia"/>
          <w:szCs w:val="21"/>
        </w:rPr>
        <w:t>2</w:t>
      </w:r>
      <w:r w:rsidR="00D56B12">
        <w:rPr>
          <w:rFonts w:hAnsi="宋体"/>
          <w:szCs w:val="21"/>
        </w:rPr>
        <w:t>7</w:t>
      </w:r>
      <w:r w:rsidR="005E08EC">
        <w:rPr>
          <w:rFonts w:hAnsi="宋体" w:hint="eastAsia"/>
          <w:szCs w:val="21"/>
        </w:rPr>
        <w:t>日</w:t>
      </w:r>
      <w:r w:rsidR="0041616A" w:rsidRPr="00DD173D">
        <w:rPr>
          <w:rFonts w:hAnsi="宋体" w:hint="eastAsia"/>
          <w:szCs w:val="21"/>
        </w:rPr>
        <w:t>（本基金最后运作日），</w:t>
      </w:r>
      <w:r w:rsidR="004F505C">
        <w:rPr>
          <w:rFonts w:hint="eastAsia"/>
          <w:szCs w:val="21"/>
        </w:rPr>
        <w:t>本基金</w:t>
      </w:r>
      <w:r w:rsidR="0041616A">
        <w:rPr>
          <w:rFonts w:hAnsi="宋体" w:hint="eastAsia"/>
          <w:szCs w:val="21"/>
        </w:rPr>
        <w:t>基金份额净值为</w:t>
      </w:r>
      <w:r w:rsidR="00121A5C" w:rsidRPr="00E129DF">
        <w:rPr>
          <w:rFonts w:hint="eastAsia"/>
          <w:szCs w:val="21"/>
        </w:rPr>
        <w:t>0.9451</w:t>
      </w:r>
      <w:r w:rsidR="0041616A" w:rsidRPr="00DD173D">
        <w:rPr>
          <w:rFonts w:hAnsi="宋体" w:hint="eastAsia"/>
          <w:szCs w:val="21"/>
        </w:rPr>
        <w:t>元</w:t>
      </w:r>
      <w:r w:rsidR="0041616A">
        <w:rPr>
          <w:rFonts w:hAnsi="宋体" w:hint="eastAsia"/>
          <w:szCs w:val="21"/>
        </w:rPr>
        <w:t>；基金份额总额为</w:t>
      </w:r>
      <w:r w:rsidR="00121A5C" w:rsidRPr="00E129DF">
        <w:rPr>
          <w:rFonts w:hint="eastAsia"/>
          <w:szCs w:val="21"/>
        </w:rPr>
        <w:t>23,751,867</w:t>
      </w:r>
      <w:r w:rsidR="0041616A" w:rsidRPr="00DD173D">
        <w:rPr>
          <w:rFonts w:hAnsi="宋体" w:hint="eastAsia"/>
          <w:szCs w:val="21"/>
        </w:rPr>
        <w:t>份</w:t>
      </w:r>
      <w:r w:rsidR="0041616A">
        <w:rPr>
          <w:rFonts w:hAnsi="宋体" w:hint="eastAsia"/>
          <w:szCs w:val="21"/>
        </w:rPr>
        <w:t>。</w:t>
      </w:r>
    </w:p>
    <w:p w:rsidR="002E2E3D" w:rsidRPr="008C748C" w:rsidRDefault="0041616A" w:rsidP="00625C7F">
      <w:pPr>
        <w:spacing w:line="360" w:lineRule="auto"/>
        <w:ind w:firstLineChars="200" w:firstLine="420"/>
        <w:rPr>
          <w:rFonts w:ascii="黑体" w:eastAsia="黑体" w:hAnsi="黑体"/>
        </w:rPr>
      </w:pPr>
      <w:r w:rsidRPr="00794F23">
        <w:rPr>
          <w:rFonts w:hAnsi="宋体"/>
          <w:szCs w:val="21"/>
        </w:rPr>
        <w:fldChar w:fldCharType="begin"/>
      </w:r>
      <w:r w:rsidRPr="00794F23">
        <w:rPr>
          <w:rFonts w:hAnsi="宋体"/>
          <w:szCs w:val="21"/>
        </w:rPr>
        <w:instrText xml:space="preserve"> </w:instrText>
      </w:r>
      <w:r w:rsidRPr="00794F23">
        <w:rPr>
          <w:rFonts w:hAnsi="宋体" w:hint="eastAsia"/>
          <w:szCs w:val="21"/>
        </w:rPr>
        <w:instrText>= 2 \* GB3</w:instrText>
      </w:r>
      <w:r w:rsidRPr="00794F23">
        <w:rPr>
          <w:rFonts w:hAnsi="宋体"/>
          <w:szCs w:val="21"/>
        </w:rPr>
        <w:instrText xml:space="preserve"> </w:instrText>
      </w:r>
      <w:r w:rsidRPr="00794F23">
        <w:rPr>
          <w:rFonts w:hAnsi="宋体"/>
          <w:szCs w:val="21"/>
        </w:rPr>
        <w:fldChar w:fldCharType="separate"/>
      </w:r>
      <w:r w:rsidRPr="00794F23">
        <w:rPr>
          <w:rFonts w:hAnsi="宋体"/>
          <w:noProof/>
          <w:szCs w:val="21"/>
        </w:rPr>
        <w:t>②</w:t>
      </w:r>
      <w:r w:rsidRPr="00794F23">
        <w:rPr>
          <w:rFonts w:hAnsi="宋体"/>
          <w:szCs w:val="21"/>
        </w:rPr>
        <w:fldChar w:fldCharType="end"/>
      </w:r>
      <w:r w:rsidRPr="00794F23">
        <w:rPr>
          <w:rFonts w:hAnsi="宋体"/>
          <w:szCs w:val="21"/>
        </w:rPr>
        <w:t>本基金</w:t>
      </w:r>
      <w:r w:rsidRPr="00794F23">
        <w:rPr>
          <w:rFonts w:hAnsi="宋体" w:hint="eastAsia"/>
          <w:szCs w:val="21"/>
        </w:rPr>
        <w:t>截至最后运作日</w:t>
      </w:r>
      <w:r w:rsidRPr="00794F23">
        <w:rPr>
          <w:rFonts w:hAnsi="宋体"/>
          <w:szCs w:val="21"/>
        </w:rPr>
        <w:t>的</w:t>
      </w:r>
      <w:r w:rsidRPr="00794F23">
        <w:rPr>
          <w:rFonts w:hAnsi="宋体" w:hint="eastAsia"/>
          <w:szCs w:val="21"/>
        </w:rPr>
        <w:t>财务</w:t>
      </w:r>
      <w:r w:rsidRPr="00794F23">
        <w:rPr>
          <w:rFonts w:hAnsi="宋体"/>
          <w:szCs w:val="21"/>
        </w:rPr>
        <w:t>报表</w:t>
      </w:r>
      <w:r w:rsidRPr="00794F23">
        <w:rPr>
          <w:rFonts w:hAnsi="宋体" w:hint="eastAsia"/>
          <w:szCs w:val="21"/>
        </w:rPr>
        <w:t>以清算基础编制。</w:t>
      </w:r>
      <w:r w:rsidRPr="00794F23">
        <w:rPr>
          <w:rFonts w:hAnsi="宋体"/>
          <w:szCs w:val="21"/>
        </w:rPr>
        <w:t>普华永道中天会计师事务所</w:t>
      </w:r>
      <w:r w:rsidRPr="00794F23">
        <w:rPr>
          <w:rFonts w:hAnsi="宋体" w:hint="eastAsia"/>
          <w:szCs w:val="21"/>
        </w:rPr>
        <w:t>（特殊普通合伙）已对财务报表进行了审计并出具了无保留意见的审计报告。</w:t>
      </w:r>
    </w:p>
    <w:p w:rsidR="002E2E3D" w:rsidRPr="003E6510" w:rsidRDefault="00E15AB0" w:rsidP="003E6510">
      <w:pPr>
        <w:pStyle w:val="1"/>
        <w:spacing w:before="100" w:beforeAutospacing="1" w:after="100" w:afterAutospacing="1" w:line="360" w:lineRule="auto"/>
        <w:jc w:val="center"/>
        <w:rPr>
          <w:rStyle w:val="2CharCharChar"/>
          <w:rFonts w:ascii="Times New Roman" w:hAnsi="Times New Roman"/>
          <w:b/>
          <w:bCs w:val="0"/>
          <w:szCs w:val="24"/>
        </w:rPr>
      </w:pPr>
      <w:bookmarkStart w:id="6" w:name="_Toc447194471"/>
      <w:r w:rsidRPr="003E6510">
        <w:rPr>
          <w:rStyle w:val="2CharCharChar"/>
          <w:rFonts w:ascii="Times New Roman" w:hAnsi="Times New Roman" w:hint="eastAsia"/>
          <w:b/>
          <w:bCs w:val="0"/>
          <w:szCs w:val="24"/>
        </w:rPr>
        <w:t>四</w:t>
      </w:r>
      <w:r w:rsidR="002E2E3D" w:rsidRPr="003E6510">
        <w:rPr>
          <w:rStyle w:val="2CharCharChar"/>
          <w:rFonts w:ascii="Times New Roman" w:hAnsi="Times New Roman" w:hint="eastAsia"/>
          <w:b/>
          <w:bCs w:val="0"/>
          <w:szCs w:val="24"/>
        </w:rPr>
        <w:t>、清算情况</w:t>
      </w:r>
      <w:bookmarkEnd w:id="6"/>
    </w:p>
    <w:p w:rsidR="00516BEC" w:rsidRPr="00794F23" w:rsidRDefault="002E2E3D" w:rsidP="00516BEC">
      <w:pPr>
        <w:pStyle w:val="Default"/>
        <w:spacing w:line="360" w:lineRule="auto"/>
        <w:ind w:firstLineChars="200" w:firstLine="480"/>
        <w:rPr>
          <w:rFonts w:ascii="Times New Roman" w:hAnsi="宋体" w:cs="Times New Roman"/>
          <w:color w:val="auto"/>
        </w:rPr>
      </w:pPr>
      <w:r w:rsidRPr="00016C36">
        <w:rPr>
          <w:rFonts w:ascii="Times New Roman" w:cs="Times New Roman"/>
          <w:color w:val="auto"/>
        </w:rPr>
        <w:t>自</w:t>
      </w:r>
      <w:r w:rsidR="005E08EC">
        <w:rPr>
          <w:rFonts w:ascii="Times New Roman" w:cs="Times New Roman"/>
          <w:color w:val="auto"/>
        </w:rPr>
        <w:t>202</w:t>
      </w:r>
      <w:r w:rsidR="00D56B12">
        <w:rPr>
          <w:rFonts w:ascii="Times New Roman" w:cs="Times New Roman"/>
          <w:color w:val="auto"/>
        </w:rPr>
        <w:t>3</w:t>
      </w:r>
      <w:r w:rsidR="005E08EC">
        <w:rPr>
          <w:rFonts w:ascii="Times New Roman" w:cs="Times New Roman"/>
          <w:color w:val="auto"/>
        </w:rPr>
        <w:t>年</w:t>
      </w:r>
      <w:r w:rsidR="005E08EC">
        <w:rPr>
          <w:rFonts w:ascii="Times New Roman" w:cs="Times New Roman"/>
          <w:color w:val="auto"/>
        </w:rPr>
        <w:t>1</w:t>
      </w:r>
      <w:r w:rsidR="00D56B12">
        <w:rPr>
          <w:rFonts w:ascii="Times New Roman" w:cs="Times New Roman"/>
          <w:color w:val="auto"/>
        </w:rPr>
        <w:t>2</w:t>
      </w:r>
      <w:r w:rsidR="005E08EC">
        <w:rPr>
          <w:rFonts w:ascii="Times New Roman" w:cs="Times New Roman"/>
          <w:color w:val="auto"/>
        </w:rPr>
        <w:t>月</w:t>
      </w:r>
      <w:r w:rsidR="00D56B12">
        <w:rPr>
          <w:rFonts w:ascii="Times New Roman" w:cs="Times New Roman"/>
          <w:color w:val="auto"/>
        </w:rPr>
        <w:t>28</w:t>
      </w:r>
      <w:r w:rsidR="005E08EC">
        <w:rPr>
          <w:rFonts w:ascii="Times New Roman" w:cs="Times New Roman"/>
          <w:color w:val="auto"/>
        </w:rPr>
        <w:t>日</w:t>
      </w:r>
      <w:r w:rsidR="00B7310E">
        <w:rPr>
          <w:rFonts w:ascii="Times New Roman" w:cs="Times New Roman" w:hint="eastAsia"/>
          <w:color w:val="auto"/>
        </w:rPr>
        <w:t>起</w:t>
      </w:r>
      <w:r w:rsidRPr="00903847">
        <w:rPr>
          <w:rFonts w:ascii="Times New Roman" w:hAnsi="宋体" w:cs="Times New Roman"/>
          <w:color w:val="auto"/>
        </w:rPr>
        <w:t>至</w:t>
      </w:r>
      <w:r w:rsidR="004D0B3E">
        <w:rPr>
          <w:rFonts w:ascii="Times New Roman" w:cs="Times New Roman"/>
          <w:color w:val="auto"/>
        </w:rPr>
        <w:t>2024</w:t>
      </w:r>
      <w:r w:rsidR="004D0B3E">
        <w:rPr>
          <w:rFonts w:ascii="Times New Roman" w:cs="Times New Roman"/>
          <w:color w:val="auto"/>
        </w:rPr>
        <w:t>年</w:t>
      </w:r>
      <w:r w:rsidR="004D0B3E">
        <w:rPr>
          <w:rFonts w:ascii="Times New Roman" w:cs="Times New Roman"/>
          <w:color w:val="auto"/>
        </w:rPr>
        <w:t>1</w:t>
      </w:r>
      <w:r w:rsidR="004D0B3E">
        <w:rPr>
          <w:rFonts w:ascii="Times New Roman" w:cs="Times New Roman"/>
          <w:color w:val="auto"/>
        </w:rPr>
        <w:t>月</w:t>
      </w:r>
      <w:r w:rsidR="004D0B3E">
        <w:rPr>
          <w:rFonts w:ascii="Times New Roman" w:cs="Times New Roman" w:hint="eastAsia"/>
          <w:color w:val="auto"/>
        </w:rPr>
        <w:t>16</w:t>
      </w:r>
      <w:r w:rsidR="00DC1687">
        <w:rPr>
          <w:rFonts w:ascii="Times New Roman" w:cs="Times New Roman"/>
          <w:color w:val="auto"/>
        </w:rPr>
        <w:t>日</w:t>
      </w:r>
      <w:r w:rsidRPr="00903847">
        <w:rPr>
          <w:rFonts w:ascii="Times New Roman" w:hAnsi="宋体" w:cs="Times New Roman"/>
          <w:color w:val="auto"/>
        </w:rPr>
        <w:t>止</w:t>
      </w:r>
      <w:r w:rsidR="00903847">
        <w:rPr>
          <w:rFonts w:ascii="Times New Roman" w:hAnsi="宋体" w:cs="Times New Roman" w:hint="eastAsia"/>
          <w:color w:val="auto"/>
        </w:rPr>
        <w:t>为</w:t>
      </w:r>
      <w:r w:rsidR="00160528" w:rsidRPr="00794F23">
        <w:rPr>
          <w:rFonts w:ascii="Times New Roman" w:hAnsi="宋体" w:cs="Times New Roman" w:hint="eastAsia"/>
          <w:color w:val="auto"/>
        </w:rPr>
        <w:t>本基金</w:t>
      </w:r>
      <w:r w:rsidR="00160528" w:rsidRPr="00794F23">
        <w:rPr>
          <w:rFonts w:ascii="Times New Roman" w:hAnsi="宋体" w:cs="Times New Roman"/>
          <w:color w:val="auto"/>
        </w:rPr>
        <w:t>清算</w:t>
      </w:r>
      <w:r w:rsidR="00160528" w:rsidRPr="00794F23">
        <w:rPr>
          <w:rFonts w:ascii="Times New Roman" w:hAnsi="宋体" w:cs="Times New Roman" w:hint="eastAsia"/>
          <w:color w:val="auto"/>
        </w:rPr>
        <w:t>报告期</w:t>
      </w:r>
      <w:r w:rsidRPr="00903847">
        <w:rPr>
          <w:rFonts w:ascii="Times New Roman" w:hAnsi="宋体" w:cs="Times New Roman"/>
          <w:color w:val="auto"/>
        </w:rPr>
        <w:t>，</w:t>
      </w:r>
      <w:r w:rsidR="00516BEC" w:rsidRPr="00794F23">
        <w:rPr>
          <w:rFonts w:ascii="Times New Roman" w:hAnsi="宋体" w:cs="Times New Roman"/>
          <w:color w:val="auto"/>
        </w:rPr>
        <w:t>基金财产清算组</w:t>
      </w:r>
      <w:r w:rsidR="00516BEC" w:rsidRPr="00794F23">
        <w:rPr>
          <w:rFonts w:ascii="Times New Roman" w:hAnsi="宋体" w:cs="Times New Roman" w:hint="eastAsia"/>
          <w:color w:val="auto"/>
        </w:rPr>
        <w:t>按照法律法规及《基金合同》</w:t>
      </w:r>
      <w:r w:rsidR="007E789F">
        <w:rPr>
          <w:rFonts w:ascii="Times New Roman" w:hAnsi="宋体" w:cs="Times New Roman" w:hint="eastAsia"/>
          <w:color w:val="auto"/>
        </w:rPr>
        <w:t>等</w:t>
      </w:r>
      <w:r w:rsidR="00516BEC" w:rsidRPr="00794F23">
        <w:rPr>
          <w:rFonts w:ascii="Times New Roman" w:hAnsi="宋体" w:cs="Times New Roman" w:hint="eastAsia"/>
          <w:color w:val="auto"/>
        </w:rPr>
        <w:t>规定履行基金财产</w:t>
      </w:r>
      <w:r w:rsidR="00516BEC" w:rsidRPr="00794F23">
        <w:rPr>
          <w:rFonts w:ascii="Times New Roman" w:hAnsi="宋体" w:cs="Times New Roman"/>
          <w:color w:val="auto"/>
        </w:rPr>
        <w:t>清算</w:t>
      </w:r>
      <w:r w:rsidR="00516BEC" w:rsidRPr="00794F23">
        <w:rPr>
          <w:rFonts w:ascii="Times New Roman" w:hAnsi="宋体" w:cs="Times New Roman" w:hint="eastAsia"/>
          <w:color w:val="auto"/>
        </w:rPr>
        <w:t>程序</w:t>
      </w:r>
      <w:r w:rsidR="00516BEC" w:rsidRPr="00794F23">
        <w:rPr>
          <w:rFonts w:ascii="Times New Roman" w:hAnsi="宋体" w:cs="Times New Roman"/>
          <w:color w:val="auto"/>
        </w:rPr>
        <w:t>，全部工作按清算原则和清算手续进行。具体清算情况如下：</w:t>
      </w:r>
    </w:p>
    <w:p w:rsidR="00296416" w:rsidRDefault="00296416" w:rsidP="00C73FBF">
      <w:pPr>
        <w:pStyle w:val="Default"/>
        <w:spacing w:line="360" w:lineRule="auto"/>
        <w:ind w:firstLineChars="200" w:firstLine="480"/>
        <w:rPr>
          <w:rFonts w:ascii="Times New Roman" w:hAnsi="宋体" w:cs="Times New Roman" w:hint="eastAsia"/>
          <w:color w:val="auto"/>
        </w:rPr>
      </w:pPr>
      <w:r w:rsidRPr="00903847">
        <w:rPr>
          <w:rFonts w:ascii="Times New Roman" w:hAnsi="宋体" w:cs="Times New Roman" w:hint="eastAsia"/>
          <w:color w:val="auto"/>
        </w:rPr>
        <w:t>（一）清算费用</w:t>
      </w:r>
    </w:p>
    <w:p w:rsidR="00D56B12" w:rsidRDefault="00D56B12" w:rsidP="00C73FBF">
      <w:pPr>
        <w:pStyle w:val="Default"/>
        <w:spacing w:line="360" w:lineRule="auto"/>
        <w:ind w:firstLineChars="200" w:firstLine="480"/>
        <w:rPr>
          <w:rFonts w:ascii="Times New Roman" w:hAnsi="等线" w:cs="Times New Roman"/>
        </w:rPr>
      </w:pPr>
      <w:r w:rsidRPr="00D56B12">
        <w:rPr>
          <w:rFonts w:ascii="Times New Roman" w:hAnsi="等线" w:cs="Times New Roman" w:hint="eastAsia"/>
        </w:rPr>
        <w:t>清算费用是指基金财产清算小组在进行基金清算过程中发生的所有合理费用，清算费用由基金财产清算小组优先从基金财产中支付。</w:t>
      </w:r>
    </w:p>
    <w:p w:rsidR="006F5742" w:rsidRPr="00171C67" w:rsidRDefault="006F5742" w:rsidP="00C73FBF">
      <w:pPr>
        <w:pStyle w:val="Default"/>
        <w:spacing w:line="360" w:lineRule="auto"/>
        <w:ind w:firstLineChars="200" w:firstLine="480"/>
        <w:rPr>
          <w:rFonts w:ascii="Times New Roman" w:hAnsi="宋体" w:cs="Times New Roman" w:hint="eastAsia"/>
          <w:color w:val="auto"/>
        </w:rPr>
      </w:pPr>
      <w:r w:rsidRPr="00171C67">
        <w:rPr>
          <w:rFonts w:ascii="Times New Roman" w:hAnsi="宋体" w:cs="Times New Roman" w:hint="eastAsia"/>
          <w:color w:val="auto"/>
        </w:rPr>
        <w:t>（</w:t>
      </w:r>
      <w:r w:rsidR="00296416" w:rsidRPr="00171C67">
        <w:rPr>
          <w:rFonts w:ascii="Times New Roman" w:hAnsi="宋体" w:cs="Times New Roman" w:hint="eastAsia"/>
          <w:color w:val="auto"/>
        </w:rPr>
        <w:t>二</w:t>
      </w:r>
      <w:r w:rsidRPr="00171C67">
        <w:rPr>
          <w:rFonts w:ascii="Times New Roman" w:hAnsi="宋体" w:cs="Times New Roman" w:hint="eastAsia"/>
          <w:color w:val="auto"/>
        </w:rPr>
        <w:t>）</w:t>
      </w:r>
      <w:r w:rsidR="0041616A">
        <w:rPr>
          <w:rFonts w:ascii="Times New Roman" w:hAnsi="宋体" w:cs="Times New Roman" w:hint="eastAsia"/>
          <w:color w:val="auto"/>
        </w:rPr>
        <w:t>最后运作日</w:t>
      </w:r>
      <w:r w:rsidRPr="00171C67">
        <w:rPr>
          <w:rFonts w:ascii="Times New Roman" w:hAnsi="宋体" w:cs="Times New Roman" w:hint="eastAsia"/>
          <w:color w:val="auto"/>
        </w:rPr>
        <w:t>资产</w:t>
      </w:r>
      <w:r w:rsidR="00C2288D" w:rsidRPr="00171C67">
        <w:rPr>
          <w:rFonts w:ascii="Times New Roman" w:hAnsi="宋体" w:cs="Times New Roman" w:hint="eastAsia"/>
          <w:color w:val="auto"/>
        </w:rPr>
        <w:t>清算</w:t>
      </w:r>
      <w:r w:rsidRPr="00171C67">
        <w:rPr>
          <w:rFonts w:ascii="Times New Roman" w:hAnsi="宋体" w:cs="Times New Roman" w:hint="eastAsia"/>
          <w:color w:val="auto"/>
        </w:rPr>
        <w:t>情况</w:t>
      </w:r>
    </w:p>
    <w:p w:rsidR="00825CCA" w:rsidRDefault="009B743C" w:rsidP="00825CCA">
      <w:pPr>
        <w:pStyle w:val="Default"/>
        <w:spacing w:line="360" w:lineRule="auto"/>
        <w:ind w:firstLineChars="200" w:firstLine="480"/>
        <w:rPr>
          <w:rFonts w:hAnsi="宋体"/>
        </w:rPr>
      </w:pPr>
      <w:r>
        <w:rPr>
          <w:rFonts w:hAnsi="宋体" w:hint="eastAsia"/>
        </w:rPr>
        <w:t>截至</w:t>
      </w:r>
      <w:r w:rsidR="007E789F" w:rsidRPr="00794F23">
        <w:rPr>
          <w:rFonts w:ascii="Times New Roman" w:hAnsi="宋体" w:cs="Times New Roman" w:hint="eastAsia"/>
          <w:color w:val="auto"/>
        </w:rPr>
        <w:t>清算</w:t>
      </w:r>
      <w:r w:rsidR="007E789F" w:rsidRPr="00794F23">
        <w:rPr>
          <w:rFonts w:ascii="Times New Roman" w:hAnsi="宋体" w:cs="Times New Roman"/>
          <w:color w:val="auto"/>
        </w:rPr>
        <w:t>报告期结束日</w:t>
      </w:r>
      <w:r w:rsidR="00B2090A" w:rsidRPr="00016C36">
        <w:rPr>
          <w:rFonts w:hAnsi="宋体" w:hint="eastAsia"/>
        </w:rPr>
        <w:t>（</w:t>
      </w:r>
      <w:r w:rsidR="004D0B3E">
        <w:rPr>
          <w:rFonts w:ascii="Times New Roman" w:cs="Times New Roman"/>
        </w:rPr>
        <w:t>2024</w:t>
      </w:r>
      <w:r w:rsidR="004D0B3E">
        <w:rPr>
          <w:rFonts w:ascii="Times New Roman" w:cs="Times New Roman"/>
        </w:rPr>
        <w:t>年</w:t>
      </w:r>
      <w:r w:rsidR="004D0B3E">
        <w:rPr>
          <w:rFonts w:ascii="Times New Roman" w:cs="Times New Roman"/>
        </w:rPr>
        <w:t>1</w:t>
      </w:r>
      <w:r w:rsidR="004D0B3E">
        <w:rPr>
          <w:rFonts w:ascii="Times New Roman" w:cs="Times New Roman"/>
        </w:rPr>
        <w:t>月</w:t>
      </w:r>
      <w:r w:rsidR="004D0B3E">
        <w:rPr>
          <w:rFonts w:ascii="Times New Roman" w:cs="Times New Roman" w:hint="eastAsia"/>
        </w:rPr>
        <w:t>16</w:t>
      </w:r>
      <w:r w:rsidR="00B8434D">
        <w:rPr>
          <w:rFonts w:ascii="Times New Roman" w:cs="Times New Roman"/>
        </w:rPr>
        <w:t>日</w:t>
      </w:r>
      <w:r w:rsidR="00B2090A" w:rsidRPr="00016C36">
        <w:rPr>
          <w:rFonts w:hAnsi="宋体" w:hint="eastAsia"/>
        </w:rPr>
        <w:t>）</w:t>
      </w:r>
      <w:r w:rsidRPr="00016C36">
        <w:rPr>
          <w:rFonts w:hAnsi="宋体" w:hint="eastAsia"/>
        </w:rPr>
        <w:t>，</w:t>
      </w:r>
      <w:r w:rsidR="00825CCA" w:rsidRPr="00794F23">
        <w:rPr>
          <w:rFonts w:ascii="Times New Roman" w:hAnsi="宋体" w:cs="Times New Roman" w:hint="eastAsia"/>
          <w:color w:val="auto"/>
        </w:rPr>
        <w:t>本基金</w:t>
      </w:r>
      <w:r w:rsidR="00825CCA" w:rsidRPr="00794F23">
        <w:rPr>
          <w:rFonts w:ascii="Times New Roman" w:hAnsi="宋体" w:cs="Times New Roman"/>
          <w:color w:val="auto"/>
        </w:rPr>
        <w:t>最后运作日部分资产尚未收回</w:t>
      </w:r>
      <w:r w:rsidR="00825CCA" w:rsidRPr="00794F23">
        <w:rPr>
          <w:rFonts w:ascii="Times New Roman" w:hAnsi="宋体" w:cs="Times New Roman" w:hint="eastAsia"/>
          <w:color w:val="auto"/>
        </w:rPr>
        <w:t>。</w:t>
      </w:r>
      <w:r w:rsidR="00825CCA" w:rsidRPr="00794F23">
        <w:rPr>
          <w:rFonts w:hAnsi="宋体"/>
        </w:rPr>
        <w:t>为了提高清算效率，</w:t>
      </w:r>
      <w:r w:rsidR="00825CCA" w:rsidRPr="00794F23">
        <w:rPr>
          <w:rFonts w:hAnsi="宋体" w:hint="eastAsia"/>
        </w:rPr>
        <w:t>及时向基金份额持有人分配剩余财产，本基金</w:t>
      </w:r>
      <w:r w:rsidR="00825CCA" w:rsidRPr="00794F23">
        <w:rPr>
          <w:rFonts w:hAnsi="宋体"/>
        </w:rPr>
        <w:t>管理人以自有资金对尚未收回的</w:t>
      </w:r>
      <w:r w:rsidR="000808CD" w:rsidRPr="001A40C8">
        <w:rPr>
          <w:rFonts w:ascii="Times New Roman" w:cs="Times New Roman" w:hint="eastAsia"/>
          <w:color w:val="auto"/>
        </w:rPr>
        <w:t>银行存款</w:t>
      </w:r>
      <w:r w:rsidR="000808CD" w:rsidRPr="00794F23">
        <w:rPr>
          <w:rFonts w:hAnsi="宋体"/>
        </w:rPr>
        <w:t>应</w:t>
      </w:r>
      <w:r w:rsidR="000808CD">
        <w:rPr>
          <w:rFonts w:hAnsi="宋体" w:hint="eastAsia"/>
        </w:rPr>
        <w:t>计</w:t>
      </w:r>
      <w:r w:rsidR="000808CD" w:rsidRPr="00794F23">
        <w:rPr>
          <w:rFonts w:hAnsi="宋体"/>
        </w:rPr>
        <w:t>利息</w:t>
      </w:r>
      <w:r w:rsidR="000808CD">
        <w:rPr>
          <w:rFonts w:hAnsi="宋体" w:hint="eastAsia"/>
        </w:rPr>
        <w:t>、</w:t>
      </w:r>
      <w:r w:rsidR="00825CCA" w:rsidRPr="0023430E">
        <w:rPr>
          <w:rFonts w:hAnsi="宋体" w:hint="eastAsia"/>
        </w:rPr>
        <w:t>结算备付金</w:t>
      </w:r>
      <w:r w:rsidR="00825CCA">
        <w:rPr>
          <w:rFonts w:hAnsi="宋体" w:hint="eastAsia"/>
        </w:rPr>
        <w:t>、</w:t>
      </w:r>
      <w:r w:rsidR="00825CCA" w:rsidRPr="00794F23">
        <w:rPr>
          <w:rFonts w:hAnsi="宋体"/>
        </w:rPr>
        <w:t>存出保证金、</w:t>
      </w:r>
      <w:r w:rsidR="00147AB5" w:rsidRPr="00147AB5">
        <w:rPr>
          <w:rFonts w:hAnsi="宋体" w:hint="eastAsia"/>
        </w:rPr>
        <w:t>应收股利</w:t>
      </w:r>
      <w:r w:rsidR="00825CCA" w:rsidRPr="00794F23">
        <w:rPr>
          <w:rFonts w:hAnsi="宋体"/>
        </w:rPr>
        <w:t>进行垫付，</w:t>
      </w:r>
      <w:r w:rsidR="00825CCA" w:rsidRPr="00794F23">
        <w:rPr>
          <w:rFonts w:hAnsi="宋体" w:hint="eastAsia"/>
          <w:szCs w:val="21"/>
        </w:rPr>
        <w:t>该垫付资金将于收回款项、结息后返还给基金管理人。</w:t>
      </w:r>
      <w:r w:rsidR="00825CCA" w:rsidRPr="003A57E6">
        <w:rPr>
          <w:rFonts w:hAnsi="宋体" w:hint="eastAsia"/>
        </w:rPr>
        <w:t>各项资产清算情况如下：</w:t>
      </w:r>
    </w:p>
    <w:p w:rsidR="000808CD" w:rsidRPr="002A13A1" w:rsidRDefault="000808CD" w:rsidP="002A13A1">
      <w:pPr>
        <w:pStyle w:val="Default"/>
        <w:spacing w:line="360" w:lineRule="auto"/>
        <w:ind w:firstLineChars="200" w:firstLine="480"/>
        <w:rPr>
          <w:rFonts w:ascii="Times New Roman" w:cs="Times New Roman" w:hint="eastAsia"/>
          <w:color w:val="auto"/>
        </w:rPr>
      </w:pPr>
      <w:r w:rsidRPr="002A13A1">
        <w:rPr>
          <w:rFonts w:ascii="Times New Roman" w:cs="Times New Roman" w:hint="eastAsia"/>
          <w:color w:val="auto"/>
        </w:rPr>
        <w:t>1</w:t>
      </w:r>
      <w:r w:rsidRPr="002A13A1">
        <w:rPr>
          <w:rFonts w:ascii="Times New Roman" w:cs="Times New Roman" w:hint="eastAsia"/>
          <w:color w:val="auto"/>
        </w:rPr>
        <w:t>、本基金最后运作日银行存款应计利息共计人民币</w:t>
      </w:r>
      <w:r w:rsidRPr="002A13A1">
        <w:rPr>
          <w:rFonts w:ascii="Times New Roman" w:cs="Times New Roman"/>
          <w:color w:val="auto"/>
        </w:rPr>
        <w:t xml:space="preserve">76.73 </w:t>
      </w:r>
      <w:r w:rsidRPr="002A13A1">
        <w:rPr>
          <w:rFonts w:ascii="Times New Roman" w:cs="Times New Roman" w:hint="eastAsia"/>
          <w:color w:val="auto"/>
        </w:rPr>
        <w:t>元，已由基金管理人于</w:t>
      </w:r>
      <w:r w:rsidRPr="002A13A1">
        <w:rPr>
          <w:rFonts w:ascii="Times New Roman" w:cs="Times New Roman"/>
          <w:color w:val="auto"/>
        </w:rPr>
        <w:t>2024</w:t>
      </w:r>
      <w:r w:rsidRPr="002A13A1">
        <w:rPr>
          <w:rFonts w:ascii="Times New Roman" w:cs="Times New Roman" w:hint="eastAsia"/>
          <w:color w:val="auto"/>
        </w:rPr>
        <w:t>年</w:t>
      </w:r>
      <w:r w:rsidRPr="002A13A1">
        <w:rPr>
          <w:rFonts w:ascii="Times New Roman" w:cs="Times New Roman"/>
          <w:color w:val="auto"/>
        </w:rPr>
        <w:t>1</w:t>
      </w:r>
      <w:r w:rsidRPr="002A13A1">
        <w:rPr>
          <w:rFonts w:ascii="Times New Roman" w:cs="Times New Roman" w:hint="eastAsia"/>
          <w:color w:val="auto"/>
        </w:rPr>
        <w:t>月</w:t>
      </w:r>
      <w:r w:rsidRPr="002A13A1">
        <w:rPr>
          <w:rFonts w:ascii="Times New Roman" w:cs="Times New Roman"/>
          <w:color w:val="auto"/>
        </w:rPr>
        <w:t>8</w:t>
      </w:r>
      <w:r w:rsidRPr="002A13A1">
        <w:rPr>
          <w:rFonts w:ascii="Times New Roman" w:cs="Times New Roman" w:hint="eastAsia"/>
          <w:color w:val="auto"/>
        </w:rPr>
        <w:t>日以自有资金垫付至托管账户。</w:t>
      </w:r>
    </w:p>
    <w:p w:rsidR="00825CCA" w:rsidRPr="004F1B09" w:rsidRDefault="003D44A3" w:rsidP="004E775B">
      <w:pPr>
        <w:pStyle w:val="Default"/>
        <w:spacing w:line="360" w:lineRule="auto"/>
        <w:ind w:firstLineChars="200" w:firstLine="480"/>
        <w:rPr>
          <w:rFonts w:ascii="Times New Roman" w:cs="Times New Roman"/>
          <w:color w:val="auto"/>
        </w:rPr>
      </w:pPr>
      <w:r>
        <w:rPr>
          <w:rFonts w:ascii="Times New Roman" w:cs="Times New Roman"/>
          <w:color w:val="auto"/>
        </w:rPr>
        <w:t>2</w:t>
      </w:r>
      <w:r w:rsidR="00825CCA" w:rsidRPr="004F1B09">
        <w:rPr>
          <w:rFonts w:ascii="Times New Roman" w:cs="Times New Roman" w:hint="eastAsia"/>
          <w:color w:val="auto"/>
        </w:rPr>
        <w:t>、</w:t>
      </w:r>
      <w:r w:rsidR="00825CCA" w:rsidRPr="004F1B09">
        <w:rPr>
          <w:rFonts w:ascii="Times New Roman" w:cs="Times New Roman"/>
          <w:color w:val="auto"/>
        </w:rPr>
        <w:t>本基金最后运作日</w:t>
      </w:r>
      <w:r w:rsidR="00825CCA" w:rsidRPr="004F1B09">
        <w:rPr>
          <w:rFonts w:ascii="Times New Roman" w:cs="Times New Roman" w:hint="eastAsia"/>
        </w:rPr>
        <w:t>结算备付金</w:t>
      </w:r>
      <w:r w:rsidR="00825CCA" w:rsidRPr="004F1B09">
        <w:rPr>
          <w:rFonts w:ascii="Times New Roman" w:cs="Times New Roman"/>
          <w:color w:val="auto"/>
        </w:rPr>
        <w:t>为人民</w:t>
      </w:r>
      <w:r w:rsidR="00825CCA" w:rsidRPr="004F1B09">
        <w:rPr>
          <w:rFonts w:ascii="Times New Roman" w:cs="Times New Roman" w:hint="eastAsia"/>
          <w:color w:val="auto"/>
        </w:rPr>
        <w:t>币</w:t>
      </w:r>
      <w:r w:rsidR="00121A5C" w:rsidRPr="00121A5C">
        <w:rPr>
          <w:rFonts w:ascii="Times New Roman" w:cs="Times New Roman"/>
          <w:color w:val="auto"/>
        </w:rPr>
        <w:t>69</w:t>
      </w:r>
      <w:r w:rsidR="00121A5C">
        <w:rPr>
          <w:rFonts w:ascii="Times New Roman" w:cs="Times New Roman"/>
          <w:color w:val="auto"/>
        </w:rPr>
        <w:t>,</w:t>
      </w:r>
      <w:r w:rsidR="00121A5C" w:rsidRPr="00121A5C">
        <w:rPr>
          <w:rFonts w:ascii="Times New Roman" w:cs="Times New Roman"/>
          <w:color w:val="auto"/>
        </w:rPr>
        <w:t>279.41</w:t>
      </w:r>
      <w:r w:rsidR="00825CCA" w:rsidRPr="004F1B09">
        <w:rPr>
          <w:rFonts w:ascii="Times New Roman" w:cs="Times New Roman" w:hint="eastAsia"/>
          <w:color w:val="auto"/>
        </w:rPr>
        <w:t>元，</w:t>
      </w:r>
      <w:r w:rsidR="00825CCA" w:rsidRPr="004F1B09">
        <w:rPr>
          <w:rFonts w:ascii="Times New Roman" w:cs="Times New Roman" w:hint="eastAsia"/>
        </w:rPr>
        <w:t>已</w:t>
      </w:r>
      <w:r w:rsidR="00825CCA" w:rsidRPr="004F1B09">
        <w:rPr>
          <w:rFonts w:ascii="Times New Roman" w:cs="Times New Roman" w:hint="eastAsia"/>
          <w:color w:val="auto"/>
        </w:rPr>
        <w:t>由基金管理人于</w:t>
      </w:r>
      <w:r w:rsidR="008F5299" w:rsidRPr="0007069C">
        <w:rPr>
          <w:rFonts w:ascii="Times New Roman" w:cs="Times New Roman"/>
          <w:color w:val="auto"/>
        </w:rPr>
        <w:t>202</w:t>
      </w:r>
      <w:r w:rsidR="00121A5C">
        <w:rPr>
          <w:rFonts w:ascii="Times New Roman" w:cs="Times New Roman" w:hint="eastAsia"/>
          <w:color w:val="auto"/>
        </w:rPr>
        <w:t>4</w:t>
      </w:r>
      <w:r w:rsidR="00825CCA" w:rsidRPr="0007069C">
        <w:rPr>
          <w:rFonts w:ascii="Times New Roman" w:cs="Times New Roman" w:hint="eastAsia"/>
          <w:color w:val="auto"/>
        </w:rPr>
        <w:t>年</w:t>
      </w:r>
      <w:r w:rsidR="00DD7963">
        <w:rPr>
          <w:rFonts w:ascii="Times New Roman" w:cs="Times New Roman" w:hint="eastAsia"/>
          <w:color w:val="auto"/>
        </w:rPr>
        <w:t>1</w:t>
      </w:r>
      <w:r w:rsidR="00825CCA" w:rsidRPr="0007069C">
        <w:rPr>
          <w:rFonts w:ascii="Times New Roman" w:cs="Times New Roman" w:hint="eastAsia"/>
          <w:color w:val="auto"/>
        </w:rPr>
        <w:t>月</w:t>
      </w:r>
      <w:r w:rsidR="00DD7963">
        <w:rPr>
          <w:rFonts w:ascii="Times New Roman" w:cs="Times New Roman" w:hint="eastAsia"/>
          <w:color w:val="auto"/>
        </w:rPr>
        <w:t>8</w:t>
      </w:r>
      <w:r w:rsidR="00825CCA" w:rsidRPr="0007069C">
        <w:rPr>
          <w:rFonts w:ascii="Times New Roman" w:cs="Times New Roman" w:hint="eastAsia"/>
          <w:color w:val="auto"/>
        </w:rPr>
        <w:t>日</w:t>
      </w:r>
      <w:r w:rsidR="00825CCA" w:rsidRPr="004F1B09">
        <w:rPr>
          <w:rFonts w:ascii="Times New Roman" w:cs="Times New Roman" w:hint="eastAsia"/>
          <w:color w:val="auto"/>
        </w:rPr>
        <w:t>以自有资金垫付至托管账户。</w:t>
      </w:r>
    </w:p>
    <w:p w:rsidR="00825CCA" w:rsidRPr="004F1B09" w:rsidRDefault="003D44A3" w:rsidP="00825CCA">
      <w:pPr>
        <w:pStyle w:val="Default"/>
        <w:spacing w:line="360" w:lineRule="auto"/>
        <w:ind w:firstLineChars="200" w:firstLine="480"/>
        <w:rPr>
          <w:rFonts w:ascii="Times New Roman" w:cs="Times New Roman"/>
          <w:color w:val="auto"/>
        </w:rPr>
      </w:pPr>
      <w:r>
        <w:rPr>
          <w:rFonts w:ascii="Times New Roman" w:cs="Times New Roman"/>
          <w:color w:val="auto"/>
        </w:rPr>
        <w:t>3</w:t>
      </w:r>
      <w:r w:rsidR="00825CCA" w:rsidRPr="004F1B09">
        <w:rPr>
          <w:rFonts w:ascii="Times New Roman" w:cs="Times New Roman" w:hint="eastAsia"/>
          <w:color w:val="auto"/>
        </w:rPr>
        <w:t>、</w:t>
      </w:r>
      <w:r w:rsidR="00825CCA" w:rsidRPr="004F1B09">
        <w:rPr>
          <w:rFonts w:ascii="Times New Roman" w:cs="Times New Roman"/>
          <w:color w:val="auto"/>
        </w:rPr>
        <w:t>本基金最后运作日存出保证金为人民</w:t>
      </w:r>
      <w:r w:rsidR="00825CCA" w:rsidRPr="004F1B09">
        <w:rPr>
          <w:rFonts w:ascii="Times New Roman" w:cs="Times New Roman" w:hint="eastAsia"/>
          <w:color w:val="auto"/>
        </w:rPr>
        <w:t>币</w:t>
      </w:r>
      <w:r w:rsidR="00121A5C" w:rsidRPr="00121A5C">
        <w:rPr>
          <w:rFonts w:ascii="Times New Roman" w:cs="Times New Roman"/>
          <w:color w:val="auto"/>
        </w:rPr>
        <w:t>916.92</w:t>
      </w:r>
      <w:r w:rsidR="00825CCA" w:rsidRPr="004F1B09">
        <w:rPr>
          <w:rFonts w:ascii="Times New Roman" w:cs="Times New Roman" w:hint="eastAsia"/>
          <w:color w:val="auto"/>
        </w:rPr>
        <w:t>元，</w:t>
      </w:r>
      <w:r w:rsidR="00825CCA" w:rsidRPr="004F1B09">
        <w:rPr>
          <w:rFonts w:ascii="Times New Roman" w:cs="Times New Roman" w:hint="eastAsia"/>
        </w:rPr>
        <w:t>已</w:t>
      </w:r>
      <w:r w:rsidR="00825CCA" w:rsidRPr="004F1B09">
        <w:rPr>
          <w:rFonts w:ascii="Times New Roman" w:cs="Times New Roman" w:hint="eastAsia"/>
          <w:color w:val="auto"/>
        </w:rPr>
        <w:t>由基金管理人于</w:t>
      </w:r>
      <w:r w:rsidR="00821AEA" w:rsidRPr="0007069C">
        <w:rPr>
          <w:rFonts w:ascii="Times New Roman" w:cs="Times New Roman"/>
          <w:color w:val="auto"/>
        </w:rPr>
        <w:t>202</w:t>
      </w:r>
      <w:r w:rsidR="00121A5C">
        <w:rPr>
          <w:rFonts w:ascii="Times New Roman" w:cs="Times New Roman" w:hint="eastAsia"/>
          <w:color w:val="auto"/>
        </w:rPr>
        <w:t>4</w:t>
      </w:r>
      <w:r w:rsidR="00821AEA" w:rsidRPr="0007069C">
        <w:rPr>
          <w:rFonts w:ascii="Times New Roman" w:cs="Times New Roman" w:hint="eastAsia"/>
          <w:color w:val="auto"/>
        </w:rPr>
        <w:t>年</w:t>
      </w:r>
      <w:r w:rsidR="005909E1">
        <w:rPr>
          <w:rFonts w:ascii="Times New Roman" w:cs="Times New Roman" w:hint="eastAsia"/>
          <w:color w:val="auto"/>
        </w:rPr>
        <w:t>1</w:t>
      </w:r>
      <w:r w:rsidR="00821AEA" w:rsidRPr="0007069C">
        <w:rPr>
          <w:rFonts w:ascii="Times New Roman" w:cs="Times New Roman" w:hint="eastAsia"/>
          <w:color w:val="auto"/>
        </w:rPr>
        <w:t>月</w:t>
      </w:r>
      <w:r w:rsidR="005909E1">
        <w:rPr>
          <w:rFonts w:ascii="Times New Roman" w:cs="Times New Roman" w:hint="eastAsia"/>
          <w:color w:val="auto"/>
        </w:rPr>
        <w:t>8</w:t>
      </w:r>
      <w:r w:rsidR="00821AEA" w:rsidRPr="0007069C">
        <w:rPr>
          <w:rFonts w:ascii="Times New Roman" w:cs="Times New Roman" w:hint="eastAsia"/>
          <w:color w:val="auto"/>
        </w:rPr>
        <w:t>日</w:t>
      </w:r>
      <w:r w:rsidR="00825CCA" w:rsidRPr="004F1B09">
        <w:rPr>
          <w:rFonts w:ascii="Times New Roman" w:cs="Times New Roman" w:hint="eastAsia"/>
          <w:color w:val="auto"/>
        </w:rPr>
        <w:t>以自有资金垫付至托管账户。</w:t>
      </w:r>
    </w:p>
    <w:p w:rsidR="00ED01C1" w:rsidRDefault="003D44A3" w:rsidP="00121A5C">
      <w:pPr>
        <w:pStyle w:val="Default"/>
        <w:spacing w:line="360" w:lineRule="auto"/>
        <w:ind w:firstLineChars="200" w:firstLine="480"/>
        <w:rPr>
          <w:rFonts w:ascii="Times New Roman" w:cs="Times New Roman" w:hint="eastAsia"/>
          <w:color w:val="auto"/>
        </w:rPr>
      </w:pPr>
      <w:r>
        <w:rPr>
          <w:rFonts w:ascii="Times New Roman" w:cs="Times New Roman"/>
          <w:color w:val="auto"/>
        </w:rPr>
        <w:t>4</w:t>
      </w:r>
      <w:r w:rsidR="008F5299" w:rsidRPr="004F1B09">
        <w:rPr>
          <w:rFonts w:ascii="Times New Roman" w:cs="Times New Roman" w:hint="eastAsia"/>
          <w:color w:val="auto"/>
        </w:rPr>
        <w:t>、</w:t>
      </w:r>
      <w:r w:rsidR="008F5299" w:rsidRPr="004F1B09">
        <w:rPr>
          <w:rFonts w:ascii="Times New Roman" w:cs="Times New Roman"/>
          <w:color w:val="auto"/>
        </w:rPr>
        <w:t>本基金最后运作日</w:t>
      </w:r>
      <w:r w:rsidR="008F5299" w:rsidRPr="004F1B09">
        <w:rPr>
          <w:rFonts w:ascii="Times New Roman" w:cs="Times New Roman" w:hint="eastAsia"/>
          <w:color w:val="auto"/>
        </w:rPr>
        <w:t>股票</w:t>
      </w:r>
      <w:r w:rsidR="00A32EBF">
        <w:rPr>
          <w:rFonts w:ascii="Times New Roman" w:cs="Times New Roman" w:hint="eastAsia"/>
          <w:color w:val="auto"/>
        </w:rPr>
        <w:t>投资</w:t>
      </w:r>
      <w:r w:rsidR="008F5299" w:rsidRPr="004F1B09">
        <w:rPr>
          <w:rFonts w:ascii="Times New Roman" w:cs="Times New Roman" w:hint="eastAsia"/>
          <w:color w:val="auto"/>
        </w:rPr>
        <w:t>为人民币</w:t>
      </w:r>
      <w:r w:rsidR="00121A5C" w:rsidRPr="00121A5C">
        <w:rPr>
          <w:rFonts w:ascii="Times New Roman" w:cs="Times New Roman"/>
          <w:color w:val="auto"/>
        </w:rPr>
        <w:t>15</w:t>
      </w:r>
      <w:r w:rsidR="00121A5C">
        <w:rPr>
          <w:rFonts w:ascii="Times New Roman" w:cs="Times New Roman"/>
          <w:color w:val="auto"/>
        </w:rPr>
        <w:t>,</w:t>
      </w:r>
      <w:r w:rsidR="00121A5C" w:rsidRPr="00121A5C">
        <w:rPr>
          <w:rFonts w:ascii="Times New Roman" w:cs="Times New Roman"/>
          <w:color w:val="auto"/>
        </w:rPr>
        <w:t>221</w:t>
      </w:r>
      <w:r w:rsidR="00121A5C">
        <w:rPr>
          <w:rFonts w:ascii="Times New Roman" w:cs="Times New Roman" w:hint="eastAsia"/>
          <w:color w:val="auto"/>
        </w:rPr>
        <w:t>,</w:t>
      </w:r>
      <w:r w:rsidR="00121A5C" w:rsidRPr="00121A5C">
        <w:rPr>
          <w:rFonts w:ascii="Times New Roman" w:cs="Times New Roman"/>
          <w:color w:val="auto"/>
        </w:rPr>
        <w:t>817.77</w:t>
      </w:r>
      <w:r w:rsidR="008F5299" w:rsidRPr="004F1B09">
        <w:rPr>
          <w:rFonts w:hint="eastAsia"/>
        </w:rPr>
        <w:t>元，</w:t>
      </w:r>
      <w:r w:rsidR="004E775B">
        <w:rPr>
          <w:rFonts w:ascii="Times New Roman" w:cs="Times New Roman" w:hint="eastAsia"/>
          <w:color w:val="auto"/>
        </w:rPr>
        <w:t>截</w:t>
      </w:r>
      <w:r w:rsidR="004E775B" w:rsidRPr="00E94EE5">
        <w:rPr>
          <w:rFonts w:ascii="Times New Roman" w:cs="Times New Roman" w:hint="eastAsia"/>
          <w:color w:val="auto"/>
        </w:rPr>
        <w:t>至</w:t>
      </w:r>
      <w:r w:rsidR="004E775B">
        <w:rPr>
          <w:rFonts w:ascii="Times New Roman" w:cs="Times New Roman"/>
          <w:color w:val="auto"/>
        </w:rPr>
        <w:t>202</w:t>
      </w:r>
      <w:r w:rsidR="00121A5C">
        <w:rPr>
          <w:rFonts w:ascii="Times New Roman" w:cs="Times New Roman" w:hint="eastAsia"/>
          <w:color w:val="auto"/>
        </w:rPr>
        <w:t>4</w:t>
      </w:r>
      <w:r w:rsidR="004E775B" w:rsidRPr="00E94EE5">
        <w:rPr>
          <w:rFonts w:ascii="Times New Roman" w:cs="Times New Roman" w:hint="eastAsia"/>
          <w:color w:val="auto"/>
        </w:rPr>
        <w:t>年</w:t>
      </w:r>
      <w:r w:rsidR="00B51F61">
        <w:rPr>
          <w:rFonts w:ascii="Times New Roman" w:cs="Times New Roman" w:hint="eastAsia"/>
          <w:color w:val="auto"/>
        </w:rPr>
        <w:t>1</w:t>
      </w:r>
      <w:r w:rsidR="004E775B" w:rsidRPr="00E94EE5">
        <w:rPr>
          <w:rFonts w:ascii="Times New Roman" w:cs="Times New Roman" w:hint="eastAsia"/>
          <w:color w:val="auto"/>
        </w:rPr>
        <w:t>月</w:t>
      </w:r>
      <w:r w:rsidR="00B51F61">
        <w:rPr>
          <w:rFonts w:ascii="Times New Roman" w:cs="Times New Roman" w:hint="eastAsia"/>
          <w:color w:val="auto"/>
        </w:rPr>
        <w:t>8</w:t>
      </w:r>
      <w:r w:rsidR="004E775B" w:rsidRPr="00E94EE5">
        <w:rPr>
          <w:rFonts w:ascii="Times New Roman" w:cs="Times New Roman" w:hint="eastAsia"/>
          <w:color w:val="auto"/>
        </w:rPr>
        <w:t>日已处置变现，处置产生的清算款</w:t>
      </w:r>
      <w:r w:rsidR="004E775B">
        <w:rPr>
          <w:rFonts w:ascii="Times New Roman" w:cs="Times New Roman" w:hint="eastAsia"/>
          <w:color w:val="auto"/>
        </w:rPr>
        <w:t>为</w:t>
      </w:r>
      <w:r w:rsidR="004E775B" w:rsidRPr="00E94EE5">
        <w:rPr>
          <w:rFonts w:ascii="Times New Roman" w:cs="Times New Roman" w:hint="eastAsia"/>
          <w:color w:val="auto"/>
        </w:rPr>
        <w:t>人民币</w:t>
      </w:r>
      <w:r w:rsidR="00B802C7" w:rsidRPr="00B802C7">
        <w:rPr>
          <w:rFonts w:ascii="Times New Roman" w:cs="Times New Roman"/>
          <w:color w:val="auto"/>
        </w:rPr>
        <w:t>15,287,403.69</w:t>
      </w:r>
      <w:r w:rsidR="004E775B" w:rsidRPr="00E94EE5">
        <w:rPr>
          <w:rFonts w:ascii="Times New Roman" w:cs="Times New Roman" w:hint="eastAsia"/>
          <w:color w:val="auto"/>
        </w:rPr>
        <w:t>元，</w:t>
      </w:r>
      <w:r w:rsidR="00222199">
        <w:rPr>
          <w:rFonts w:ascii="Times New Roman" w:cs="Times New Roman" w:hint="eastAsia"/>
          <w:color w:val="auto"/>
        </w:rPr>
        <w:t>至</w:t>
      </w:r>
      <w:r w:rsidR="004F5EF0">
        <w:rPr>
          <w:rFonts w:ascii="Times New Roman" w:cs="Times New Roman"/>
          <w:color w:val="auto"/>
        </w:rPr>
        <w:t>202</w:t>
      </w:r>
      <w:r w:rsidR="004F5EF0">
        <w:rPr>
          <w:rFonts w:ascii="Times New Roman" w:cs="Times New Roman" w:hint="eastAsia"/>
          <w:color w:val="auto"/>
        </w:rPr>
        <w:t>4</w:t>
      </w:r>
      <w:r w:rsidR="004F5EF0" w:rsidRPr="00E94EE5">
        <w:rPr>
          <w:rFonts w:ascii="Times New Roman" w:cs="Times New Roman" w:hint="eastAsia"/>
          <w:color w:val="auto"/>
        </w:rPr>
        <w:t>年</w:t>
      </w:r>
      <w:r w:rsidR="004F5EF0">
        <w:rPr>
          <w:rFonts w:ascii="Times New Roman" w:cs="Times New Roman" w:hint="eastAsia"/>
          <w:color w:val="auto"/>
        </w:rPr>
        <w:t>1</w:t>
      </w:r>
      <w:r w:rsidR="004F5EF0" w:rsidRPr="00E94EE5">
        <w:rPr>
          <w:rFonts w:ascii="Times New Roman" w:cs="Times New Roman" w:hint="eastAsia"/>
          <w:color w:val="auto"/>
        </w:rPr>
        <w:t>月</w:t>
      </w:r>
      <w:r w:rsidR="004F5EF0">
        <w:rPr>
          <w:rFonts w:ascii="Times New Roman" w:cs="Times New Roman" w:hint="eastAsia"/>
          <w:color w:val="auto"/>
        </w:rPr>
        <w:t>11</w:t>
      </w:r>
      <w:r w:rsidR="004F5EF0" w:rsidRPr="00E94EE5">
        <w:rPr>
          <w:rFonts w:ascii="Times New Roman" w:cs="Times New Roman" w:hint="eastAsia"/>
          <w:color w:val="auto"/>
        </w:rPr>
        <w:t>日</w:t>
      </w:r>
      <w:r w:rsidR="00434FE1">
        <w:rPr>
          <w:rFonts w:ascii="Times New Roman" w:cs="Times New Roman" w:hint="eastAsia"/>
          <w:color w:val="auto"/>
        </w:rPr>
        <w:t>已</w:t>
      </w:r>
      <w:r w:rsidR="004E775B" w:rsidRPr="00E94EE5">
        <w:rPr>
          <w:rFonts w:ascii="Times New Roman" w:cs="Times New Roman" w:hint="eastAsia"/>
          <w:color w:val="auto"/>
        </w:rPr>
        <w:t>划</w:t>
      </w:r>
      <w:r w:rsidR="004E775B">
        <w:rPr>
          <w:rFonts w:ascii="Times New Roman" w:cs="Times New Roman" w:hint="eastAsia"/>
          <w:color w:val="auto"/>
        </w:rPr>
        <w:t>至</w:t>
      </w:r>
      <w:r w:rsidR="004E775B" w:rsidRPr="00E94EE5">
        <w:rPr>
          <w:rFonts w:ascii="Times New Roman" w:cs="Times New Roman" w:hint="eastAsia"/>
          <w:color w:val="auto"/>
        </w:rPr>
        <w:t>托管账户。</w:t>
      </w:r>
    </w:p>
    <w:p w:rsidR="00121A5C" w:rsidRDefault="003D44A3" w:rsidP="00121A5C">
      <w:pPr>
        <w:pStyle w:val="Default"/>
        <w:spacing w:line="360" w:lineRule="auto"/>
        <w:ind w:firstLineChars="200" w:firstLine="480"/>
        <w:rPr>
          <w:rFonts w:ascii="Times New Roman" w:cs="Times New Roman"/>
          <w:color w:val="auto"/>
        </w:rPr>
      </w:pPr>
      <w:r>
        <w:rPr>
          <w:rFonts w:ascii="Times New Roman" w:cs="Times New Roman"/>
          <w:color w:val="auto"/>
        </w:rPr>
        <w:t>5</w:t>
      </w:r>
      <w:r w:rsidR="00825CCA" w:rsidRPr="004F1B09">
        <w:rPr>
          <w:rFonts w:ascii="Times New Roman" w:cs="Times New Roman" w:hint="eastAsia"/>
          <w:color w:val="auto"/>
        </w:rPr>
        <w:t>、本基金最后运作日应收</w:t>
      </w:r>
      <w:r w:rsidR="008F5299" w:rsidRPr="004F1B09">
        <w:rPr>
          <w:rFonts w:ascii="Times New Roman" w:cs="Times New Roman" w:hint="eastAsia"/>
          <w:color w:val="auto"/>
        </w:rPr>
        <w:t>清算款</w:t>
      </w:r>
      <w:r w:rsidR="00BB4E59" w:rsidRPr="004F1B09">
        <w:rPr>
          <w:rFonts w:ascii="Times New Roman" w:cs="Times New Roman" w:hint="eastAsia"/>
        </w:rPr>
        <w:t>为</w:t>
      </w:r>
      <w:r w:rsidR="00825CCA" w:rsidRPr="004F1B09">
        <w:rPr>
          <w:rFonts w:ascii="Times New Roman" w:cs="Times New Roman" w:hint="eastAsia"/>
        </w:rPr>
        <w:t>人民币</w:t>
      </w:r>
      <w:r w:rsidR="00121A5C" w:rsidRPr="00121A5C">
        <w:rPr>
          <w:rFonts w:ascii="Times New Roman" w:cs="Times New Roman"/>
          <w:color w:val="auto"/>
        </w:rPr>
        <w:t>6</w:t>
      </w:r>
      <w:r w:rsidR="00121A5C">
        <w:rPr>
          <w:rFonts w:ascii="Times New Roman" w:cs="Times New Roman"/>
          <w:color w:val="auto"/>
        </w:rPr>
        <w:t>,</w:t>
      </w:r>
      <w:r w:rsidR="00121A5C" w:rsidRPr="00121A5C">
        <w:rPr>
          <w:rFonts w:ascii="Times New Roman" w:cs="Times New Roman"/>
          <w:color w:val="auto"/>
        </w:rPr>
        <w:t>468</w:t>
      </w:r>
      <w:r w:rsidR="00121A5C">
        <w:rPr>
          <w:rFonts w:ascii="Times New Roman" w:cs="Times New Roman"/>
          <w:color w:val="auto"/>
        </w:rPr>
        <w:t>,</w:t>
      </w:r>
      <w:r w:rsidR="00121A5C" w:rsidRPr="00121A5C">
        <w:rPr>
          <w:rFonts w:ascii="Times New Roman" w:cs="Times New Roman"/>
          <w:color w:val="auto"/>
        </w:rPr>
        <w:t>783.77</w:t>
      </w:r>
      <w:r w:rsidR="00825CCA" w:rsidRPr="004F1B09">
        <w:rPr>
          <w:rFonts w:ascii="Times New Roman" w:cs="Times New Roman" w:hint="eastAsia"/>
          <w:color w:val="auto"/>
        </w:rPr>
        <w:t>元</w:t>
      </w:r>
      <w:r w:rsidR="00825CCA" w:rsidRPr="004F1B09">
        <w:rPr>
          <w:rFonts w:ascii="Times New Roman" w:cs="Times New Roman" w:hint="eastAsia"/>
        </w:rPr>
        <w:t>，</w:t>
      </w:r>
      <w:r w:rsidR="00434FE1">
        <w:rPr>
          <w:rFonts w:ascii="Times New Roman" w:cs="Times New Roman" w:hint="eastAsia"/>
        </w:rPr>
        <w:t>至</w:t>
      </w:r>
      <w:r w:rsidR="00F0319E">
        <w:rPr>
          <w:rFonts w:ascii="Times New Roman" w:cs="Times New Roman" w:hint="eastAsia"/>
          <w:color w:val="auto"/>
        </w:rPr>
        <w:t>2024</w:t>
      </w:r>
      <w:r w:rsidR="0058157D">
        <w:rPr>
          <w:rFonts w:ascii="Times New Roman" w:cs="Times New Roman" w:hint="eastAsia"/>
          <w:color w:val="auto"/>
        </w:rPr>
        <w:t>年</w:t>
      </w:r>
      <w:r w:rsidR="00F0319E">
        <w:rPr>
          <w:rFonts w:ascii="Times New Roman" w:cs="Times New Roman" w:hint="eastAsia"/>
          <w:color w:val="auto"/>
        </w:rPr>
        <w:t>1</w:t>
      </w:r>
      <w:r w:rsidR="0058157D">
        <w:rPr>
          <w:rFonts w:ascii="Times New Roman" w:cs="Times New Roman" w:hint="eastAsia"/>
          <w:color w:val="auto"/>
        </w:rPr>
        <w:t>月</w:t>
      </w:r>
      <w:r w:rsidR="00F0319E">
        <w:rPr>
          <w:rFonts w:ascii="Times New Roman" w:cs="Times New Roman" w:hint="eastAsia"/>
          <w:color w:val="auto"/>
        </w:rPr>
        <w:t>10</w:t>
      </w:r>
      <w:r w:rsidR="0058157D">
        <w:rPr>
          <w:rFonts w:ascii="Times New Roman" w:cs="Times New Roman" w:hint="eastAsia"/>
          <w:color w:val="auto"/>
        </w:rPr>
        <w:t>日</w:t>
      </w:r>
      <w:r w:rsidR="00434FE1">
        <w:rPr>
          <w:rFonts w:ascii="Times New Roman" w:cs="Times New Roman" w:hint="eastAsia"/>
          <w:color w:val="auto"/>
        </w:rPr>
        <w:t>已</w:t>
      </w:r>
      <w:r w:rsidR="004E775B" w:rsidRPr="00E94EE5">
        <w:rPr>
          <w:rFonts w:ascii="Times New Roman" w:cs="Times New Roman" w:hint="eastAsia"/>
          <w:color w:val="auto"/>
        </w:rPr>
        <w:t>划</w:t>
      </w:r>
      <w:r w:rsidR="004E775B">
        <w:rPr>
          <w:rFonts w:ascii="Times New Roman" w:cs="Times New Roman" w:hint="eastAsia"/>
          <w:color w:val="auto"/>
        </w:rPr>
        <w:t>至</w:t>
      </w:r>
      <w:r w:rsidR="004E775B" w:rsidRPr="00E94EE5">
        <w:rPr>
          <w:rFonts w:ascii="Times New Roman" w:cs="Times New Roman" w:hint="eastAsia"/>
          <w:color w:val="auto"/>
        </w:rPr>
        <w:t>托管账户</w:t>
      </w:r>
      <w:r w:rsidR="00825CCA" w:rsidRPr="004F1B09">
        <w:rPr>
          <w:rFonts w:ascii="Times New Roman" w:cs="Times New Roman" w:hint="eastAsia"/>
          <w:color w:val="auto"/>
        </w:rPr>
        <w:t>。</w:t>
      </w:r>
    </w:p>
    <w:p w:rsidR="00825CCA" w:rsidRPr="001E0357" w:rsidRDefault="003D44A3" w:rsidP="00ED01C1">
      <w:pPr>
        <w:pStyle w:val="Default"/>
        <w:spacing w:line="360" w:lineRule="auto"/>
        <w:ind w:firstLineChars="200" w:firstLine="480"/>
        <w:rPr>
          <w:rFonts w:ascii="Times New Roman" w:cs="Times New Roman"/>
          <w:color w:val="auto"/>
          <w:lang/>
        </w:rPr>
      </w:pPr>
      <w:r>
        <w:rPr>
          <w:rFonts w:ascii="Times New Roman" w:cs="Times New Roman"/>
          <w:color w:val="auto"/>
        </w:rPr>
        <w:t>6</w:t>
      </w:r>
      <w:r w:rsidR="00121A5C">
        <w:rPr>
          <w:rFonts w:ascii="Times New Roman" w:cs="Times New Roman" w:hint="eastAsia"/>
          <w:color w:val="auto"/>
        </w:rPr>
        <w:t>、本基金</w:t>
      </w:r>
      <w:r w:rsidR="00121A5C" w:rsidRPr="004F1B09">
        <w:rPr>
          <w:rFonts w:ascii="Times New Roman" w:cs="Times New Roman"/>
          <w:color w:val="auto"/>
        </w:rPr>
        <w:t>最后运作日</w:t>
      </w:r>
      <w:r w:rsidR="00121A5C" w:rsidRPr="00121A5C">
        <w:rPr>
          <w:rFonts w:ascii="Times New Roman" w:cs="Times New Roman" w:hint="eastAsia"/>
          <w:color w:val="auto"/>
        </w:rPr>
        <w:t>应收</w:t>
      </w:r>
      <w:r w:rsidR="00121A5C">
        <w:rPr>
          <w:rFonts w:ascii="Times New Roman" w:cs="Times New Roman" w:hint="eastAsia"/>
          <w:color w:val="auto"/>
        </w:rPr>
        <w:t>股利为人民币</w:t>
      </w:r>
      <w:r w:rsidR="00121A5C">
        <w:rPr>
          <w:rFonts w:ascii="Times New Roman" w:cs="Times New Roman" w:hint="eastAsia"/>
          <w:color w:val="auto"/>
        </w:rPr>
        <w:t>7,651.14</w:t>
      </w:r>
      <w:r w:rsidR="00121A5C">
        <w:rPr>
          <w:rFonts w:ascii="Times New Roman" w:cs="Times New Roman" w:hint="eastAsia"/>
          <w:color w:val="auto"/>
        </w:rPr>
        <w:t>元，</w:t>
      </w:r>
      <w:r w:rsidR="00FF3E7B">
        <w:rPr>
          <w:rFonts w:ascii="Times New Roman" w:cs="Times New Roman" w:hint="eastAsia"/>
          <w:color w:val="auto"/>
        </w:rPr>
        <w:t>其中</w:t>
      </w:r>
      <w:r w:rsidR="00FF3E7B" w:rsidRPr="00FF3E7B">
        <w:rPr>
          <w:rFonts w:ascii="Times New Roman" w:cs="Times New Roman"/>
          <w:color w:val="auto"/>
        </w:rPr>
        <w:t>4</w:t>
      </w:r>
      <w:r w:rsidR="00FF3E7B">
        <w:rPr>
          <w:rFonts w:ascii="Times New Roman" w:cs="Times New Roman" w:hint="eastAsia"/>
          <w:color w:val="auto"/>
        </w:rPr>
        <w:t>,</w:t>
      </w:r>
      <w:r w:rsidR="00FF3E7B" w:rsidRPr="00FF3E7B">
        <w:rPr>
          <w:rFonts w:ascii="Times New Roman" w:cs="Times New Roman"/>
          <w:color w:val="auto"/>
        </w:rPr>
        <w:t>005.98</w:t>
      </w:r>
      <w:r w:rsidR="00224E32">
        <w:rPr>
          <w:rFonts w:ascii="Times New Roman" w:cs="Times New Roman" w:hint="eastAsia"/>
          <w:color w:val="auto"/>
        </w:rPr>
        <w:t>元</w:t>
      </w:r>
      <w:r w:rsidR="00ED01C1" w:rsidRPr="004F1B09">
        <w:rPr>
          <w:rFonts w:ascii="Times New Roman" w:cs="Times New Roman" w:hint="eastAsia"/>
        </w:rPr>
        <w:t>已</w:t>
      </w:r>
      <w:r w:rsidR="00ED01C1" w:rsidRPr="004F1B09">
        <w:rPr>
          <w:rFonts w:ascii="Times New Roman" w:cs="Times New Roman" w:hint="eastAsia"/>
          <w:color w:val="auto"/>
        </w:rPr>
        <w:t>于</w:t>
      </w:r>
      <w:r w:rsidR="00ED01C1" w:rsidRPr="004F1B09">
        <w:rPr>
          <w:rFonts w:ascii="Times New Roman" w:cs="Times New Roman" w:hint="eastAsia"/>
          <w:color w:val="auto"/>
        </w:rPr>
        <w:t>202</w:t>
      </w:r>
      <w:r w:rsidR="004B0442">
        <w:rPr>
          <w:rFonts w:ascii="Times New Roman" w:cs="Times New Roman" w:hint="eastAsia"/>
          <w:color w:val="auto"/>
        </w:rPr>
        <w:t>3</w:t>
      </w:r>
      <w:r w:rsidR="00ED01C1" w:rsidRPr="004F1B09">
        <w:rPr>
          <w:rFonts w:ascii="Times New Roman" w:cs="Times New Roman" w:hint="eastAsia"/>
          <w:color w:val="auto"/>
        </w:rPr>
        <w:t>年</w:t>
      </w:r>
      <w:r w:rsidR="004B0442">
        <w:rPr>
          <w:rFonts w:ascii="Times New Roman" w:cs="Times New Roman" w:hint="eastAsia"/>
          <w:color w:val="auto"/>
        </w:rPr>
        <w:t>12</w:t>
      </w:r>
      <w:r w:rsidR="00ED01C1" w:rsidRPr="004F1B09">
        <w:rPr>
          <w:rFonts w:ascii="Times New Roman" w:cs="Times New Roman" w:hint="eastAsia"/>
          <w:color w:val="auto"/>
        </w:rPr>
        <w:t>月</w:t>
      </w:r>
      <w:r w:rsidR="004B0442">
        <w:rPr>
          <w:rFonts w:ascii="Times New Roman" w:cs="Times New Roman" w:hint="eastAsia"/>
          <w:color w:val="auto"/>
        </w:rPr>
        <w:t>28</w:t>
      </w:r>
      <w:r w:rsidR="00ED01C1" w:rsidRPr="004F1B09">
        <w:rPr>
          <w:rFonts w:ascii="Times New Roman" w:cs="Times New Roman" w:hint="eastAsia"/>
          <w:color w:val="auto"/>
        </w:rPr>
        <w:t>日</w:t>
      </w:r>
      <w:r w:rsidR="00ED01C1" w:rsidRPr="00E94EE5">
        <w:rPr>
          <w:rFonts w:ascii="Times New Roman" w:cs="Times New Roman" w:hint="eastAsia"/>
          <w:color w:val="auto"/>
        </w:rPr>
        <w:t>划</w:t>
      </w:r>
      <w:r w:rsidR="00ED01C1">
        <w:rPr>
          <w:rFonts w:ascii="Times New Roman" w:cs="Times New Roman" w:hint="eastAsia"/>
          <w:color w:val="auto"/>
        </w:rPr>
        <w:t>至</w:t>
      </w:r>
      <w:r w:rsidR="00ED01C1" w:rsidRPr="00E94EE5">
        <w:rPr>
          <w:rFonts w:ascii="Times New Roman" w:cs="Times New Roman" w:hint="eastAsia"/>
          <w:color w:val="auto"/>
        </w:rPr>
        <w:t>托管账户</w:t>
      </w:r>
      <w:r w:rsidR="00E80209">
        <w:rPr>
          <w:rFonts w:ascii="Times New Roman" w:cs="Times New Roman" w:hint="eastAsia"/>
          <w:color w:val="auto"/>
        </w:rPr>
        <w:t>，</w:t>
      </w:r>
      <w:r w:rsidR="001E0357">
        <w:rPr>
          <w:rFonts w:ascii="Times New Roman" w:cs="Times New Roman" w:hint="eastAsia"/>
          <w:color w:val="auto"/>
          <w:lang/>
        </w:rPr>
        <w:t>剩余</w:t>
      </w:r>
      <w:r w:rsidR="00E80209">
        <w:rPr>
          <w:rFonts w:ascii="Times New Roman" w:cs="Times New Roman" w:hint="eastAsia"/>
          <w:color w:val="auto"/>
          <w:lang/>
        </w:rPr>
        <w:t>未回款</w:t>
      </w:r>
      <w:r w:rsidR="00C16009" w:rsidRPr="00C16009">
        <w:t xml:space="preserve"> </w:t>
      </w:r>
      <w:r w:rsidR="00C16009" w:rsidRPr="00C16009">
        <w:rPr>
          <w:rFonts w:ascii="Times New Roman" w:cs="Times New Roman"/>
          <w:color w:val="auto"/>
          <w:lang/>
        </w:rPr>
        <w:t>3</w:t>
      </w:r>
      <w:r w:rsidR="00C16009">
        <w:rPr>
          <w:rFonts w:ascii="Times New Roman" w:cs="Times New Roman" w:hint="eastAsia"/>
          <w:color w:val="auto"/>
          <w:lang/>
        </w:rPr>
        <w:t>,</w:t>
      </w:r>
      <w:r w:rsidR="00C16009" w:rsidRPr="00C16009">
        <w:rPr>
          <w:rFonts w:ascii="Times New Roman" w:cs="Times New Roman"/>
          <w:color w:val="auto"/>
          <w:lang/>
        </w:rPr>
        <w:t>645.16</w:t>
      </w:r>
      <w:r w:rsidR="00C16009">
        <w:rPr>
          <w:rFonts w:ascii="Times New Roman" w:cs="Times New Roman" w:hint="eastAsia"/>
          <w:color w:val="auto"/>
          <w:lang/>
        </w:rPr>
        <w:t>元</w:t>
      </w:r>
      <w:r w:rsidR="00E80209">
        <w:rPr>
          <w:rFonts w:ascii="Times New Roman" w:cs="Times New Roman" w:hint="eastAsia"/>
          <w:color w:val="auto"/>
          <w:lang/>
        </w:rPr>
        <w:t>，</w:t>
      </w:r>
      <w:r w:rsidR="001E0357" w:rsidRPr="004F1B09">
        <w:rPr>
          <w:rFonts w:ascii="Times New Roman" w:cs="Times New Roman" w:hint="eastAsia"/>
        </w:rPr>
        <w:t>已</w:t>
      </w:r>
      <w:r w:rsidR="001E0357" w:rsidRPr="004F1B09">
        <w:rPr>
          <w:rFonts w:ascii="Times New Roman" w:cs="Times New Roman" w:hint="eastAsia"/>
          <w:color w:val="auto"/>
        </w:rPr>
        <w:t>由基金管理人于</w:t>
      </w:r>
      <w:r w:rsidR="001E0357" w:rsidRPr="0007069C">
        <w:rPr>
          <w:rFonts w:ascii="Times New Roman" w:cs="Times New Roman"/>
          <w:color w:val="auto"/>
        </w:rPr>
        <w:t>202</w:t>
      </w:r>
      <w:r w:rsidR="001E0357">
        <w:rPr>
          <w:rFonts w:ascii="Times New Roman" w:cs="Times New Roman" w:hint="eastAsia"/>
          <w:color w:val="auto"/>
        </w:rPr>
        <w:t>4</w:t>
      </w:r>
      <w:r w:rsidR="001E0357" w:rsidRPr="0007069C">
        <w:rPr>
          <w:rFonts w:ascii="Times New Roman" w:cs="Times New Roman" w:hint="eastAsia"/>
          <w:color w:val="auto"/>
        </w:rPr>
        <w:t>年</w:t>
      </w:r>
      <w:r w:rsidR="001E0357">
        <w:rPr>
          <w:rFonts w:ascii="Times New Roman" w:cs="Times New Roman" w:hint="eastAsia"/>
          <w:color w:val="auto"/>
        </w:rPr>
        <w:t>1</w:t>
      </w:r>
      <w:r w:rsidR="001E0357" w:rsidRPr="0007069C">
        <w:rPr>
          <w:rFonts w:ascii="Times New Roman" w:cs="Times New Roman" w:hint="eastAsia"/>
          <w:color w:val="auto"/>
        </w:rPr>
        <w:t>月</w:t>
      </w:r>
      <w:r w:rsidR="001E0357">
        <w:rPr>
          <w:rFonts w:ascii="Times New Roman" w:cs="Times New Roman" w:hint="eastAsia"/>
          <w:color w:val="auto"/>
        </w:rPr>
        <w:t>8</w:t>
      </w:r>
      <w:r w:rsidR="001E0357" w:rsidRPr="0007069C">
        <w:rPr>
          <w:rFonts w:ascii="Times New Roman" w:cs="Times New Roman" w:hint="eastAsia"/>
          <w:color w:val="auto"/>
        </w:rPr>
        <w:t>日</w:t>
      </w:r>
      <w:r w:rsidR="001E0357" w:rsidRPr="004F1B09">
        <w:rPr>
          <w:rFonts w:ascii="Times New Roman" w:cs="Times New Roman" w:hint="eastAsia"/>
          <w:color w:val="auto"/>
        </w:rPr>
        <w:t>以自有资金垫付至托管账户</w:t>
      </w:r>
      <w:r w:rsidR="001E0357">
        <w:rPr>
          <w:rFonts w:ascii="Times New Roman" w:cs="Times New Roman" w:hint="eastAsia"/>
          <w:color w:val="auto"/>
        </w:rPr>
        <w:t>。</w:t>
      </w:r>
    </w:p>
    <w:p w:rsidR="006F5742" w:rsidRPr="004F1B09" w:rsidRDefault="006F5742" w:rsidP="00825CCA">
      <w:pPr>
        <w:pStyle w:val="Default"/>
        <w:spacing w:line="360" w:lineRule="auto"/>
        <w:ind w:firstLineChars="200" w:firstLine="480"/>
        <w:rPr>
          <w:rFonts w:ascii="Times New Roman" w:hAnsi="宋体" w:cs="Times New Roman" w:hint="eastAsia"/>
          <w:color w:val="auto"/>
        </w:rPr>
      </w:pPr>
      <w:r w:rsidRPr="004F1B09">
        <w:rPr>
          <w:rFonts w:ascii="Times New Roman" w:hAnsi="宋体" w:cs="Times New Roman" w:hint="eastAsia"/>
          <w:color w:val="auto"/>
        </w:rPr>
        <w:t>（</w:t>
      </w:r>
      <w:r w:rsidR="00296416" w:rsidRPr="004F1B09">
        <w:rPr>
          <w:rFonts w:ascii="Times New Roman" w:hAnsi="宋体" w:cs="Times New Roman" w:hint="eastAsia"/>
          <w:color w:val="auto"/>
        </w:rPr>
        <w:t>三</w:t>
      </w:r>
      <w:r w:rsidRPr="004F1B09">
        <w:rPr>
          <w:rFonts w:ascii="Times New Roman" w:hAnsi="宋体" w:cs="Times New Roman" w:hint="eastAsia"/>
          <w:color w:val="auto"/>
        </w:rPr>
        <w:t>）负债清偿情况</w:t>
      </w:r>
    </w:p>
    <w:p w:rsidR="00DA7AE8" w:rsidRPr="004F1B09" w:rsidRDefault="002C2A2E" w:rsidP="00825CCA">
      <w:pPr>
        <w:pStyle w:val="Default"/>
        <w:spacing w:line="360" w:lineRule="auto"/>
        <w:ind w:firstLineChars="200" w:firstLine="480"/>
        <w:rPr>
          <w:rFonts w:ascii="Times New Roman" w:cs="Times New Roman"/>
          <w:color w:val="auto"/>
        </w:rPr>
      </w:pPr>
      <w:r w:rsidRPr="004F1B09">
        <w:rPr>
          <w:rFonts w:ascii="Times New Roman" w:cs="Times New Roman"/>
          <w:color w:val="auto"/>
        </w:rPr>
        <w:t>1</w:t>
      </w:r>
      <w:r w:rsidRPr="004F1B09">
        <w:rPr>
          <w:rFonts w:ascii="Times New Roman" w:hAnsi="宋体" w:cs="Times New Roman"/>
          <w:color w:val="auto"/>
        </w:rPr>
        <w:t>、</w:t>
      </w:r>
      <w:r w:rsidR="00DA7AE8" w:rsidRPr="00196823">
        <w:rPr>
          <w:rFonts w:ascii="Times New Roman" w:hAnsi="宋体" w:cs="Times New Roman"/>
          <w:color w:val="auto"/>
        </w:rPr>
        <w:t>本基金最后运作日应付</w:t>
      </w:r>
      <w:r w:rsidR="008F5299" w:rsidRPr="00196823">
        <w:rPr>
          <w:rFonts w:ascii="Times New Roman" w:hAnsi="宋体" w:cs="Times New Roman" w:hint="eastAsia"/>
          <w:color w:val="auto"/>
        </w:rPr>
        <w:t>清算款</w:t>
      </w:r>
      <w:r w:rsidR="00DA7AE8" w:rsidRPr="00196823">
        <w:rPr>
          <w:rFonts w:ascii="Times New Roman" w:hAnsi="宋体" w:cs="Times New Roman"/>
          <w:color w:val="auto"/>
        </w:rPr>
        <w:t>为人民币</w:t>
      </w:r>
      <w:r w:rsidR="00121A5C">
        <w:rPr>
          <w:rFonts w:ascii="Times New Roman" w:cs="Times New Roman" w:hint="eastAsia"/>
        </w:rPr>
        <w:t>565</w:t>
      </w:r>
      <w:r w:rsidR="00121A5C">
        <w:rPr>
          <w:rFonts w:ascii="Times New Roman" w:cs="Times New Roman"/>
        </w:rPr>
        <w:t>,324.99</w:t>
      </w:r>
      <w:r w:rsidR="00DA7AE8" w:rsidRPr="00196823">
        <w:rPr>
          <w:rFonts w:ascii="Times New Roman" w:hAnsi="宋体" w:cs="Times New Roman"/>
          <w:color w:val="auto"/>
        </w:rPr>
        <w:t>元，该款项已于</w:t>
      </w:r>
      <w:r w:rsidR="0024407F" w:rsidRPr="00196823">
        <w:rPr>
          <w:rFonts w:ascii="Times New Roman" w:cs="Times New Roman" w:hint="eastAsia"/>
          <w:color w:val="auto"/>
        </w:rPr>
        <w:t>202</w:t>
      </w:r>
      <w:r w:rsidR="0024407F">
        <w:rPr>
          <w:rFonts w:ascii="Times New Roman" w:cs="Times New Roman" w:hint="eastAsia"/>
          <w:color w:val="auto"/>
        </w:rPr>
        <w:t>3</w:t>
      </w:r>
      <w:r w:rsidR="009B5F0B" w:rsidRPr="00196823">
        <w:rPr>
          <w:rFonts w:ascii="Times New Roman" w:cs="Times New Roman" w:hint="eastAsia"/>
          <w:color w:val="auto"/>
        </w:rPr>
        <w:t>年</w:t>
      </w:r>
      <w:r w:rsidR="0024407F">
        <w:rPr>
          <w:rFonts w:ascii="Times New Roman" w:cs="Times New Roman" w:hint="eastAsia"/>
          <w:color w:val="auto"/>
        </w:rPr>
        <w:t>12</w:t>
      </w:r>
      <w:r w:rsidR="009B5F0B" w:rsidRPr="00196823">
        <w:rPr>
          <w:rFonts w:ascii="Times New Roman" w:cs="Times New Roman" w:hint="eastAsia"/>
          <w:color w:val="auto"/>
        </w:rPr>
        <w:t>月</w:t>
      </w:r>
      <w:r w:rsidR="0024407F">
        <w:rPr>
          <w:rFonts w:ascii="Times New Roman" w:cs="Times New Roman" w:hint="eastAsia"/>
          <w:color w:val="auto"/>
        </w:rPr>
        <w:t>28</w:t>
      </w:r>
      <w:r w:rsidR="009B5F0B" w:rsidRPr="0010121A">
        <w:rPr>
          <w:rFonts w:ascii="Times New Roman" w:cs="Times New Roman" w:hint="eastAsia"/>
          <w:color w:val="auto"/>
        </w:rPr>
        <w:t>日</w:t>
      </w:r>
      <w:r w:rsidR="0024407F">
        <w:rPr>
          <w:rFonts w:ascii="Times New Roman" w:cs="Times New Roman" w:hint="eastAsia"/>
          <w:color w:val="auto"/>
        </w:rPr>
        <w:t>、</w:t>
      </w:r>
      <w:r w:rsidR="0024407F">
        <w:rPr>
          <w:rFonts w:ascii="Times New Roman" w:cs="Times New Roman" w:hint="eastAsia"/>
          <w:color w:val="auto"/>
        </w:rPr>
        <w:t>2024</w:t>
      </w:r>
      <w:r w:rsidR="0024407F">
        <w:rPr>
          <w:rFonts w:ascii="Times New Roman" w:cs="Times New Roman" w:hint="eastAsia"/>
          <w:color w:val="auto"/>
        </w:rPr>
        <w:t>年</w:t>
      </w:r>
      <w:r w:rsidR="0024407F">
        <w:rPr>
          <w:rFonts w:ascii="Times New Roman" w:cs="Times New Roman" w:hint="eastAsia"/>
          <w:color w:val="auto"/>
        </w:rPr>
        <w:t>1</w:t>
      </w:r>
      <w:r w:rsidR="0024407F">
        <w:rPr>
          <w:rFonts w:ascii="Times New Roman" w:cs="Times New Roman" w:hint="eastAsia"/>
          <w:color w:val="auto"/>
        </w:rPr>
        <w:t>月</w:t>
      </w:r>
      <w:r w:rsidR="0024407F">
        <w:rPr>
          <w:rFonts w:ascii="Times New Roman" w:cs="Times New Roman" w:hint="eastAsia"/>
          <w:color w:val="auto"/>
        </w:rPr>
        <w:t>2</w:t>
      </w:r>
      <w:r w:rsidR="0024407F">
        <w:rPr>
          <w:rFonts w:ascii="Times New Roman" w:cs="Times New Roman" w:hint="eastAsia"/>
          <w:color w:val="auto"/>
        </w:rPr>
        <w:t>日</w:t>
      </w:r>
      <w:r w:rsidR="007C4E29" w:rsidRPr="0007069C">
        <w:rPr>
          <w:rFonts w:ascii="Times New Roman" w:hAnsi="宋体" w:cs="Times New Roman"/>
          <w:color w:val="auto"/>
        </w:rPr>
        <w:t>支</w:t>
      </w:r>
      <w:r w:rsidR="007C4E29" w:rsidRPr="004F1B09">
        <w:rPr>
          <w:rFonts w:ascii="Times New Roman" w:hAnsi="宋体" w:cs="Times New Roman"/>
          <w:color w:val="auto"/>
        </w:rPr>
        <w:t>付</w:t>
      </w:r>
      <w:r w:rsidR="00DA7AE8" w:rsidRPr="0007069C">
        <w:rPr>
          <w:rFonts w:ascii="Times New Roman" w:hAnsi="宋体" w:cs="Times New Roman"/>
          <w:color w:val="auto"/>
        </w:rPr>
        <w:t>。</w:t>
      </w:r>
    </w:p>
    <w:p w:rsidR="000674FC" w:rsidRPr="004F1B09" w:rsidRDefault="00825CCA" w:rsidP="00DA7AE8">
      <w:pPr>
        <w:pStyle w:val="Default"/>
        <w:spacing w:line="360" w:lineRule="auto"/>
        <w:ind w:firstLineChars="200" w:firstLine="480"/>
        <w:rPr>
          <w:rFonts w:ascii="Times New Roman" w:hAnsi="宋体" w:cs="Times New Roman"/>
          <w:color w:val="auto"/>
        </w:rPr>
      </w:pPr>
      <w:r w:rsidRPr="004F1B09">
        <w:rPr>
          <w:rFonts w:ascii="Times New Roman" w:cs="Times New Roman"/>
          <w:color w:val="auto"/>
        </w:rPr>
        <w:t>2</w:t>
      </w:r>
      <w:r w:rsidR="000674FC" w:rsidRPr="004F1B09">
        <w:rPr>
          <w:rFonts w:ascii="Times New Roman" w:hAnsi="宋体" w:cs="Times New Roman"/>
          <w:color w:val="auto"/>
        </w:rPr>
        <w:t>、</w:t>
      </w:r>
      <w:r w:rsidR="00DA7AE8" w:rsidRPr="004F1B09">
        <w:rPr>
          <w:rFonts w:ascii="Times New Roman" w:hAnsi="宋体" w:cs="Times New Roman"/>
          <w:color w:val="auto"/>
        </w:rPr>
        <w:t>本基金最后运作日</w:t>
      </w:r>
      <w:r w:rsidR="008F5299" w:rsidRPr="004F1B09">
        <w:rPr>
          <w:rFonts w:ascii="Times New Roman" w:hAnsi="宋体" w:cs="Times New Roman" w:hint="eastAsia"/>
          <w:color w:val="auto"/>
        </w:rPr>
        <w:t>应付管理人报酬</w:t>
      </w:r>
      <w:r w:rsidR="00DA7AE8" w:rsidRPr="004F1B09">
        <w:rPr>
          <w:rFonts w:ascii="Times New Roman" w:hAnsi="宋体" w:cs="Times New Roman"/>
          <w:color w:val="auto"/>
        </w:rPr>
        <w:t>为人民币</w:t>
      </w:r>
      <w:r w:rsidR="00121A5C">
        <w:rPr>
          <w:rFonts w:ascii="Times New Roman" w:cs="Times New Roman"/>
        </w:rPr>
        <w:t>6,063.52</w:t>
      </w:r>
      <w:r w:rsidR="00DA7AE8" w:rsidRPr="004F1B09">
        <w:rPr>
          <w:rFonts w:ascii="Times New Roman" w:hAnsi="宋体" w:cs="Times New Roman"/>
          <w:color w:val="auto"/>
        </w:rPr>
        <w:t>元，该款项已于</w:t>
      </w:r>
      <w:r w:rsidR="004352C5" w:rsidRPr="0007069C">
        <w:rPr>
          <w:rFonts w:ascii="Times New Roman" w:cs="Times New Roman"/>
          <w:color w:val="auto"/>
        </w:rPr>
        <w:t>20</w:t>
      </w:r>
      <w:r w:rsidR="004352C5">
        <w:rPr>
          <w:rFonts w:ascii="Times New Roman" w:cs="Times New Roman" w:hint="eastAsia"/>
          <w:color w:val="auto"/>
        </w:rPr>
        <w:t>23</w:t>
      </w:r>
      <w:r w:rsidR="009B5F0B" w:rsidRPr="0007069C">
        <w:rPr>
          <w:rFonts w:ascii="Times New Roman" w:cs="Times New Roman" w:hint="eastAsia"/>
          <w:color w:val="auto"/>
        </w:rPr>
        <w:t>年</w:t>
      </w:r>
      <w:r w:rsidR="004352C5">
        <w:rPr>
          <w:rFonts w:ascii="Times New Roman" w:cs="Times New Roman" w:hint="eastAsia"/>
          <w:color w:val="auto"/>
        </w:rPr>
        <w:t>12</w:t>
      </w:r>
      <w:r w:rsidR="009B5F0B" w:rsidRPr="0007069C">
        <w:rPr>
          <w:rFonts w:ascii="Times New Roman" w:cs="Times New Roman" w:hint="eastAsia"/>
          <w:color w:val="auto"/>
        </w:rPr>
        <w:t>月</w:t>
      </w:r>
      <w:r w:rsidR="004352C5">
        <w:rPr>
          <w:rFonts w:ascii="Times New Roman" w:cs="Times New Roman" w:hint="eastAsia"/>
          <w:color w:val="auto"/>
        </w:rPr>
        <w:t>29</w:t>
      </w:r>
      <w:r w:rsidR="00821AEA" w:rsidRPr="0007069C">
        <w:rPr>
          <w:rFonts w:ascii="Times New Roman" w:cs="Times New Roman" w:hint="eastAsia"/>
          <w:color w:val="auto"/>
        </w:rPr>
        <w:t>日</w:t>
      </w:r>
      <w:r w:rsidR="002C2A2E" w:rsidRPr="0007069C">
        <w:rPr>
          <w:rFonts w:ascii="Times New Roman" w:hAnsi="宋体" w:cs="Times New Roman"/>
          <w:color w:val="auto"/>
        </w:rPr>
        <w:t>支</w:t>
      </w:r>
      <w:r w:rsidR="002C2A2E" w:rsidRPr="004F1B09">
        <w:rPr>
          <w:rFonts w:ascii="Times New Roman" w:hAnsi="宋体" w:cs="Times New Roman"/>
          <w:color w:val="auto"/>
        </w:rPr>
        <w:t>付</w:t>
      </w:r>
      <w:r w:rsidR="00DA7AE8" w:rsidRPr="004F1B09">
        <w:rPr>
          <w:rFonts w:ascii="Times New Roman" w:hAnsi="宋体" w:cs="Times New Roman"/>
          <w:color w:val="auto"/>
        </w:rPr>
        <w:t>。</w:t>
      </w:r>
    </w:p>
    <w:p w:rsidR="008F5299" w:rsidRDefault="008F5299" w:rsidP="008F5299">
      <w:pPr>
        <w:pStyle w:val="Default"/>
        <w:spacing w:line="360" w:lineRule="auto"/>
        <w:ind w:firstLineChars="200" w:firstLine="480"/>
        <w:rPr>
          <w:rFonts w:ascii="Times New Roman" w:hAnsi="宋体" w:cs="Times New Roman"/>
          <w:color w:val="auto"/>
        </w:rPr>
      </w:pPr>
      <w:r w:rsidRPr="004F1B09">
        <w:rPr>
          <w:rFonts w:ascii="Times New Roman" w:hAnsi="宋体" w:cs="Times New Roman" w:hint="eastAsia"/>
          <w:color w:val="auto"/>
        </w:rPr>
        <w:t>3</w:t>
      </w:r>
      <w:r w:rsidRPr="004F1B09">
        <w:rPr>
          <w:rFonts w:ascii="Times New Roman" w:hAnsi="宋体" w:cs="Times New Roman" w:hint="eastAsia"/>
          <w:color w:val="auto"/>
        </w:rPr>
        <w:t>、本基金最后运作日应付托管费为人民币</w:t>
      </w:r>
      <w:r w:rsidR="00121A5C" w:rsidRPr="00121A5C">
        <w:rPr>
          <w:rFonts w:ascii="Times New Roman" w:hAnsi="宋体" w:cs="Times New Roman"/>
          <w:color w:val="auto"/>
        </w:rPr>
        <w:t>2021.16</w:t>
      </w:r>
      <w:r w:rsidRPr="004F1B09">
        <w:rPr>
          <w:rFonts w:ascii="Times New Roman" w:hAnsi="宋体" w:cs="Times New Roman"/>
          <w:color w:val="auto"/>
        </w:rPr>
        <w:t>元，该款项已于</w:t>
      </w:r>
      <w:r w:rsidR="004352C5" w:rsidRPr="0007069C">
        <w:rPr>
          <w:rFonts w:ascii="Times New Roman" w:cs="Times New Roman"/>
          <w:color w:val="auto"/>
        </w:rPr>
        <w:t>202</w:t>
      </w:r>
      <w:r w:rsidR="004352C5">
        <w:rPr>
          <w:rFonts w:ascii="Times New Roman" w:cs="Times New Roman" w:hint="eastAsia"/>
          <w:color w:val="auto"/>
        </w:rPr>
        <w:t>3</w:t>
      </w:r>
      <w:r w:rsidR="009B5F0B" w:rsidRPr="0007069C">
        <w:rPr>
          <w:rFonts w:ascii="Times New Roman" w:cs="Times New Roman" w:hint="eastAsia"/>
          <w:color w:val="auto"/>
        </w:rPr>
        <w:t>年</w:t>
      </w:r>
      <w:r w:rsidR="004352C5">
        <w:rPr>
          <w:rFonts w:ascii="Times New Roman" w:cs="Times New Roman" w:hint="eastAsia"/>
          <w:color w:val="auto"/>
        </w:rPr>
        <w:t>12</w:t>
      </w:r>
      <w:r w:rsidR="009B5F0B" w:rsidRPr="0007069C">
        <w:rPr>
          <w:rFonts w:ascii="Times New Roman" w:cs="Times New Roman" w:hint="eastAsia"/>
          <w:color w:val="auto"/>
        </w:rPr>
        <w:t>月</w:t>
      </w:r>
      <w:r w:rsidR="004352C5">
        <w:rPr>
          <w:rFonts w:ascii="Times New Roman" w:cs="Times New Roman" w:hint="eastAsia"/>
          <w:color w:val="auto"/>
        </w:rPr>
        <w:t>29</w:t>
      </w:r>
      <w:r w:rsidR="00821AEA" w:rsidRPr="0007069C">
        <w:rPr>
          <w:rFonts w:ascii="Times New Roman" w:cs="Times New Roman" w:hint="eastAsia"/>
          <w:color w:val="auto"/>
        </w:rPr>
        <w:t>日</w:t>
      </w:r>
      <w:r w:rsidRPr="0007069C">
        <w:rPr>
          <w:rFonts w:ascii="Times New Roman" w:hAnsi="宋体" w:cs="Times New Roman"/>
          <w:color w:val="auto"/>
        </w:rPr>
        <w:t>支</w:t>
      </w:r>
      <w:r w:rsidRPr="004F1B09">
        <w:rPr>
          <w:rFonts w:ascii="Times New Roman" w:hAnsi="宋体" w:cs="Times New Roman"/>
          <w:color w:val="auto"/>
        </w:rPr>
        <w:t>付。</w:t>
      </w:r>
    </w:p>
    <w:p w:rsidR="008F5299" w:rsidRPr="0010121A" w:rsidRDefault="0057726E" w:rsidP="002368F4">
      <w:pPr>
        <w:pStyle w:val="Default"/>
        <w:spacing w:line="360" w:lineRule="auto"/>
        <w:ind w:firstLineChars="200" w:firstLine="480"/>
        <w:rPr>
          <w:rFonts w:ascii="Times New Roman" w:hAnsi="宋体" w:cs="Times New Roman" w:hint="eastAsia"/>
          <w:color w:val="auto"/>
        </w:rPr>
      </w:pPr>
      <w:r>
        <w:rPr>
          <w:rFonts w:ascii="Times New Roman" w:cs="Times New Roman"/>
          <w:color w:val="auto"/>
        </w:rPr>
        <w:t>4</w:t>
      </w:r>
      <w:r w:rsidR="008F5299" w:rsidRPr="0010121A">
        <w:rPr>
          <w:rFonts w:ascii="Times New Roman" w:hAnsi="宋体" w:cs="Times New Roman" w:hint="eastAsia"/>
          <w:color w:val="auto"/>
        </w:rPr>
        <w:t>、本基金最后运作日其他负债为</w:t>
      </w:r>
      <w:r w:rsidR="00BD3720" w:rsidRPr="00BD3720">
        <w:rPr>
          <w:rFonts w:ascii="Times New Roman" w:hAnsi="宋体" w:cs="Times New Roman" w:hint="eastAsia"/>
          <w:color w:val="auto"/>
        </w:rPr>
        <w:t>应付交易费用</w:t>
      </w:r>
      <w:r w:rsidR="00BD3720">
        <w:rPr>
          <w:rFonts w:ascii="Times New Roman" w:hAnsi="宋体" w:cs="Times New Roman" w:hint="eastAsia"/>
          <w:color w:val="auto"/>
        </w:rPr>
        <w:t>、</w:t>
      </w:r>
      <w:r w:rsidR="00BD3720" w:rsidRPr="00BD3720">
        <w:rPr>
          <w:rFonts w:ascii="Times New Roman" w:hAnsi="宋体" w:cs="Times New Roman" w:hint="eastAsia"/>
          <w:color w:val="auto"/>
        </w:rPr>
        <w:t>预提审计费</w:t>
      </w:r>
      <w:r w:rsidR="00BD3720">
        <w:rPr>
          <w:rFonts w:ascii="Times New Roman" w:hAnsi="宋体" w:cs="Times New Roman" w:hint="eastAsia"/>
          <w:color w:val="auto"/>
        </w:rPr>
        <w:t>、</w:t>
      </w:r>
      <w:r w:rsidR="00BD3720" w:rsidRPr="00BD3720">
        <w:rPr>
          <w:rFonts w:ascii="Times New Roman" w:hAnsi="宋体" w:cs="Times New Roman" w:hint="eastAsia"/>
          <w:color w:val="auto"/>
        </w:rPr>
        <w:t>预提信息披露费</w:t>
      </w:r>
      <w:r w:rsidR="00BD3720">
        <w:rPr>
          <w:rFonts w:ascii="Times New Roman" w:hAnsi="宋体" w:cs="Times New Roman" w:hint="eastAsia"/>
          <w:color w:val="auto"/>
        </w:rPr>
        <w:t>、</w:t>
      </w:r>
      <w:r w:rsidR="00BD3720" w:rsidRPr="00BD3720">
        <w:rPr>
          <w:rFonts w:ascii="Times New Roman" w:hAnsi="宋体" w:cs="Times New Roman" w:hint="eastAsia"/>
          <w:color w:val="auto"/>
        </w:rPr>
        <w:t>指数使用费</w:t>
      </w:r>
      <w:r w:rsidR="00BD3720">
        <w:rPr>
          <w:rFonts w:ascii="Times New Roman" w:hAnsi="宋体" w:cs="Times New Roman" w:hint="eastAsia"/>
          <w:color w:val="auto"/>
        </w:rPr>
        <w:t>、应退退补款</w:t>
      </w:r>
      <w:r w:rsidR="00434FE1">
        <w:rPr>
          <w:rFonts w:ascii="Times New Roman" w:hAnsi="宋体" w:cs="Times New Roman" w:hint="eastAsia"/>
          <w:color w:val="auto"/>
        </w:rPr>
        <w:t>，共计</w:t>
      </w:r>
      <w:r w:rsidR="008F5299" w:rsidRPr="0010121A">
        <w:rPr>
          <w:rFonts w:ascii="Times New Roman" w:hAnsi="宋体" w:cs="Times New Roman" w:hint="eastAsia"/>
          <w:color w:val="auto"/>
        </w:rPr>
        <w:t>人民</w:t>
      </w:r>
      <w:r w:rsidR="008F5299" w:rsidRPr="0010121A">
        <w:rPr>
          <w:rFonts w:ascii="Times New Roman" w:cs="Times New Roman"/>
          <w:color w:val="auto"/>
        </w:rPr>
        <w:t>币</w:t>
      </w:r>
      <w:r w:rsidRPr="0057726E">
        <w:rPr>
          <w:rFonts w:ascii="Times New Roman" w:cs="Times New Roman"/>
        </w:rPr>
        <w:t>655,236.79</w:t>
      </w:r>
      <w:r w:rsidR="008F5299" w:rsidRPr="0010121A">
        <w:rPr>
          <w:rFonts w:ascii="Times New Roman" w:cs="Times New Roman"/>
          <w:sz w:val="22"/>
          <w:szCs w:val="22"/>
        </w:rPr>
        <w:t>元</w:t>
      </w:r>
      <w:r w:rsidR="00121A5C">
        <w:rPr>
          <w:rFonts w:ascii="Times New Roman" w:cs="Times New Roman" w:hint="eastAsia"/>
          <w:sz w:val="22"/>
          <w:szCs w:val="22"/>
        </w:rPr>
        <w:t>，</w:t>
      </w:r>
      <w:r w:rsidR="00953E64">
        <w:rPr>
          <w:rFonts w:ascii="Times New Roman" w:cs="Times New Roman" w:hint="eastAsia"/>
          <w:sz w:val="22"/>
          <w:szCs w:val="22"/>
        </w:rPr>
        <w:t>其中</w:t>
      </w:r>
      <w:r w:rsidR="00953E64">
        <w:rPr>
          <w:rFonts w:ascii="Times New Roman" w:hAnsi="宋体" w:cs="Times New Roman" w:hint="eastAsia"/>
          <w:color w:val="auto"/>
        </w:rPr>
        <w:t>应退退补款</w:t>
      </w:r>
      <w:r w:rsidR="005A2ACE">
        <w:rPr>
          <w:rFonts w:ascii="Times New Roman" w:hAnsi="宋体" w:cs="Times New Roman" w:hint="eastAsia"/>
          <w:color w:val="auto"/>
        </w:rPr>
        <w:t>519,037.19</w:t>
      </w:r>
      <w:r w:rsidR="005A2ACE">
        <w:rPr>
          <w:rFonts w:ascii="Times New Roman" w:hAnsi="宋体" w:cs="Times New Roman" w:hint="eastAsia"/>
          <w:color w:val="auto"/>
        </w:rPr>
        <w:t>元</w:t>
      </w:r>
      <w:r w:rsidR="00121A5C" w:rsidRPr="004F1B09">
        <w:rPr>
          <w:rFonts w:ascii="Times New Roman" w:hAnsi="宋体" w:cs="Times New Roman"/>
          <w:color w:val="auto"/>
        </w:rPr>
        <w:t>已于</w:t>
      </w:r>
      <w:r w:rsidR="00121A5C" w:rsidRPr="0007069C">
        <w:rPr>
          <w:rFonts w:ascii="Times New Roman" w:cs="Times New Roman"/>
          <w:color w:val="auto"/>
        </w:rPr>
        <w:t>202</w:t>
      </w:r>
      <w:r w:rsidR="00121A5C">
        <w:rPr>
          <w:rFonts w:ascii="Times New Roman" w:cs="Times New Roman"/>
          <w:color w:val="auto"/>
        </w:rPr>
        <w:t>4</w:t>
      </w:r>
      <w:r w:rsidR="00121A5C" w:rsidRPr="0007069C">
        <w:rPr>
          <w:rFonts w:ascii="Times New Roman" w:cs="Times New Roman" w:hint="eastAsia"/>
          <w:color w:val="auto"/>
        </w:rPr>
        <w:t>年</w:t>
      </w:r>
      <w:r w:rsidR="00953E64">
        <w:rPr>
          <w:rFonts w:ascii="Times New Roman" w:cs="Times New Roman" w:hint="eastAsia"/>
          <w:color w:val="auto"/>
        </w:rPr>
        <w:t>1</w:t>
      </w:r>
      <w:r w:rsidR="00121A5C" w:rsidRPr="0007069C">
        <w:rPr>
          <w:rFonts w:ascii="Times New Roman" w:cs="Times New Roman" w:hint="eastAsia"/>
          <w:color w:val="auto"/>
        </w:rPr>
        <w:t>月</w:t>
      </w:r>
      <w:r w:rsidR="00953E64">
        <w:rPr>
          <w:rFonts w:ascii="Times New Roman" w:cs="Times New Roman" w:hint="eastAsia"/>
          <w:color w:val="auto"/>
        </w:rPr>
        <w:t>3</w:t>
      </w:r>
      <w:r w:rsidR="00121A5C" w:rsidRPr="0007069C">
        <w:rPr>
          <w:rFonts w:ascii="Times New Roman" w:cs="Times New Roman" w:hint="eastAsia"/>
          <w:color w:val="auto"/>
        </w:rPr>
        <w:t>日</w:t>
      </w:r>
      <w:r w:rsidR="00953E64">
        <w:rPr>
          <w:rFonts w:ascii="Times New Roman" w:cs="Times New Roman" w:hint="eastAsia"/>
          <w:color w:val="auto"/>
        </w:rPr>
        <w:t>、</w:t>
      </w:r>
      <w:r w:rsidR="00953E64">
        <w:rPr>
          <w:rFonts w:ascii="Times New Roman" w:cs="Times New Roman" w:hint="eastAsia"/>
          <w:color w:val="auto"/>
        </w:rPr>
        <w:t>2024</w:t>
      </w:r>
      <w:r w:rsidR="00953E64">
        <w:rPr>
          <w:rFonts w:ascii="Times New Roman" w:cs="Times New Roman" w:hint="eastAsia"/>
          <w:color w:val="auto"/>
        </w:rPr>
        <w:t>年</w:t>
      </w:r>
      <w:r w:rsidR="00953E64">
        <w:rPr>
          <w:rFonts w:ascii="Times New Roman" w:cs="Times New Roman" w:hint="eastAsia"/>
          <w:color w:val="auto"/>
        </w:rPr>
        <w:t>1</w:t>
      </w:r>
      <w:r w:rsidR="00953E64">
        <w:rPr>
          <w:rFonts w:ascii="Times New Roman" w:cs="Times New Roman" w:hint="eastAsia"/>
          <w:color w:val="auto"/>
        </w:rPr>
        <w:t>月</w:t>
      </w:r>
      <w:r w:rsidR="00953E64">
        <w:rPr>
          <w:rFonts w:ascii="Times New Roman" w:cs="Times New Roman" w:hint="eastAsia"/>
          <w:color w:val="auto"/>
        </w:rPr>
        <w:t>4</w:t>
      </w:r>
      <w:r w:rsidR="00953E64">
        <w:rPr>
          <w:rFonts w:ascii="Times New Roman" w:cs="Times New Roman" w:hint="eastAsia"/>
          <w:color w:val="auto"/>
        </w:rPr>
        <w:t>日</w:t>
      </w:r>
      <w:r w:rsidR="00121A5C" w:rsidRPr="0007069C">
        <w:rPr>
          <w:rFonts w:ascii="Times New Roman" w:hAnsi="宋体" w:cs="Times New Roman"/>
          <w:color w:val="auto"/>
        </w:rPr>
        <w:t>支</w:t>
      </w:r>
      <w:r w:rsidR="00121A5C" w:rsidRPr="004F1B09">
        <w:rPr>
          <w:rFonts w:ascii="Times New Roman" w:hAnsi="宋体" w:cs="Times New Roman"/>
          <w:color w:val="auto"/>
        </w:rPr>
        <w:t>付</w:t>
      </w:r>
      <w:r w:rsidR="00953E64">
        <w:rPr>
          <w:rFonts w:ascii="Times New Roman" w:hAnsi="宋体" w:cs="Times New Roman" w:hint="eastAsia"/>
          <w:color w:val="auto"/>
        </w:rPr>
        <w:t>，</w:t>
      </w:r>
      <w:r w:rsidR="00434FE1">
        <w:rPr>
          <w:rFonts w:ascii="Times New Roman" w:hAnsi="宋体" w:cs="Times New Roman" w:hint="eastAsia"/>
          <w:color w:val="auto"/>
        </w:rPr>
        <w:t>其余将于剩余财产分配前支付</w:t>
      </w:r>
      <w:r w:rsidR="00121A5C" w:rsidRPr="004F1B09">
        <w:rPr>
          <w:rFonts w:ascii="Times New Roman" w:hAnsi="宋体" w:cs="Times New Roman"/>
          <w:color w:val="auto"/>
        </w:rPr>
        <w:t>。</w:t>
      </w:r>
    </w:p>
    <w:p w:rsidR="002E2E3D" w:rsidRPr="00C5635C" w:rsidRDefault="006F5742" w:rsidP="006F5742">
      <w:pPr>
        <w:pStyle w:val="Default"/>
        <w:spacing w:line="360" w:lineRule="auto"/>
        <w:ind w:firstLineChars="200" w:firstLine="480"/>
        <w:rPr>
          <w:rFonts w:ascii="Times New Roman" w:hAnsi="宋体" w:cs="Times New Roman"/>
          <w:color w:val="auto"/>
        </w:rPr>
      </w:pPr>
      <w:r w:rsidRPr="00C5635C">
        <w:rPr>
          <w:rFonts w:ascii="Times New Roman" w:hAnsi="宋体" w:cs="Times New Roman" w:hint="eastAsia"/>
          <w:color w:val="auto"/>
        </w:rPr>
        <w:t>（</w:t>
      </w:r>
      <w:r w:rsidR="00296416" w:rsidRPr="00C5635C">
        <w:rPr>
          <w:rFonts w:ascii="Times New Roman" w:hAnsi="宋体" w:cs="Times New Roman" w:hint="eastAsia"/>
          <w:color w:val="auto"/>
        </w:rPr>
        <w:t>四</w:t>
      </w:r>
      <w:r w:rsidRPr="00C5635C">
        <w:rPr>
          <w:rFonts w:ascii="Times New Roman" w:hAnsi="宋体" w:cs="Times New Roman" w:hint="eastAsia"/>
          <w:color w:val="auto"/>
        </w:rPr>
        <w:t>）</w:t>
      </w:r>
      <w:r w:rsidR="00903847">
        <w:rPr>
          <w:rFonts w:ascii="Times New Roman" w:hAnsi="宋体" w:cs="Times New Roman" w:hint="eastAsia"/>
          <w:color w:val="auto"/>
        </w:rPr>
        <w:t>本次</w:t>
      </w:r>
      <w:r w:rsidR="002E2E3D" w:rsidRPr="00C5635C">
        <w:rPr>
          <w:rFonts w:ascii="Times New Roman" w:hAnsi="宋体" w:cs="Times New Roman" w:hint="eastAsia"/>
          <w:color w:val="auto"/>
        </w:rPr>
        <w:t>清算期间的清算损益情况</w:t>
      </w:r>
    </w:p>
    <w:p w:rsidR="006F5742" w:rsidRPr="00C5635C" w:rsidRDefault="006F5742" w:rsidP="006F5742">
      <w:pPr>
        <w:spacing w:line="360" w:lineRule="auto"/>
        <w:ind w:rightChars="2" w:right="4"/>
        <w:jc w:val="right"/>
        <w:rPr>
          <w:b/>
          <w:sz w:val="22"/>
          <w:szCs w:val="22"/>
        </w:rPr>
      </w:pPr>
      <w:r w:rsidRPr="00C5635C">
        <w:rPr>
          <w:rFonts w:hAnsi="宋体"/>
          <w:sz w:val="22"/>
          <w:szCs w:val="22"/>
        </w:rPr>
        <w:t>单位：人民币元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2664"/>
      </w:tblGrid>
      <w:tr w:rsidR="004F1045" w:rsidRPr="00C5635C" w:rsidTr="009B36C8">
        <w:trPr>
          <w:trHeight w:val="80"/>
        </w:trPr>
        <w:tc>
          <w:tcPr>
            <w:tcW w:w="5812" w:type="dxa"/>
            <w:vAlign w:val="bottom"/>
          </w:tcPr>
          <w:p w:rsidR="004F1045" w:rsidRPr="00C5635C" w:rsidRDefault="004F1045" w:rsidP="009B36C8">
            <w:pPr>
              <w:overflowPunct w:val="0"/>
              <w:autoSpaceDE w:val="0"/>
              <w:autoSpaceDN w:val="0"/>
              <w:snapToGrid w:val="0"/>
              <w:ind w:left="34"/>
              <w:jc w:val="left"/>
              <w:rPr>
                <w:szCs w:val="21"/>
              </w:rPr>
            </w:pPr>
            <w:r w:rsidRPr="00C5635C">
              <w:rPr>
                <w:rFonts w:hAnsi="宋体"/>
                <w:szCs w:val="21"/>
              </w:rPr>
              <w:t>项目</w:t>
            </w:r>
          </w:p>
        </w:tc>
        <w:tc>
          <w:tcPr>
            <w:tcW w:w="2664" w:type="dxa"/>
            <w:vAlign w:val="bottom"/>
          </w:tcPr>
          <w:p w:rsidR="004F1045" w:rsidRPr="00C5635C" w:rsidRDefault="004F1045" w:rsidP="009B36C8">
            <w:pPr>
              <w:overflowPunct w:val="0"/>
              <w:autoSpaceDE w:val="0"/>
              <w:autoSpaceDN w:val="0"/>
              <w:snapToGrid w:val="0"/>
              <w:ind w:leftChars="-84" w:left="-176"/>
              <w:jc w:val="right"/>
              <w:rPr>
                <w:szCs w:val="21"/>
              </w:rPr>
            </w:pPr>
            <w:r w:rsidRPr="00C5635C">
              <w:rPr>
                <w:rFonts w:hAnsi="宋体"/>
                <w:szCs w:val="21"/>
              </w:rPr>
              <w:t>自</w:t>
            </w:r>
            <w:r w:rsidR="005E08EC">
              <w:rPr>
                <w:szCs w:val="21"/>
              </w:rPr>
              <w:t>202</w:t>
            </w:r>
            <w:r w:rsidR="007C4E29">
              <w:rPr>
                <w:szCs w:val="21"/>
              </w:rPr>
              <w:t>3</w:t>
            </w:r>
            <w:r w:rsidR="005E08EC">
              <w:rPr>
                <w:szCs w:val="21"/>
              </w:rPr>
              <w:t>年</w:t>
            </w:r>
            <w:r w:rsidR="005E08EC">
              <w:rPr>
                <w:szCs w:val="21"/>
              </w:rPr>
              <w:t>1</w:t>
            </w:r>
            <w:r w:rsidR="007C4E29">
              <w:rPr>
                <w:szCs w:val="21"/>
              </w:rPr>
              <w:t>2</w:t>
            </w:r>
            <w:r w:rsidR="005E08EC">
              <w:rPr>
                <w:szCs w:val="21"/>
              </w:rPr>
              <w:t>月</w:t>
            </w:r>
            <w:r w:rsidR="007C4E29">
              <w:rPr>
                <w:szCs w:val="21"/>
              </w:rPr>
              <w:t>28</w:t>
            </w:r>
            <w:r w:rsidR="005E08EC">
              <w:rPr>
                <w:szCs w:val="21"/>
              </w:rPr>
              <w:t>日</w:t>
            </w:r>
            <w:r w:rsidR="00864088">
              <w:rPr>
                <w:rFonts w:hint="eastAsia"/>
                <w:szCs w:val="21"/>
              </w:rPr>
              <w:t>起</w:t>
            </w:r>
          </w:p>
          <w:p w:rsidR="004F1045" w:rsidRPr="00C5635C" w:rsidRDefault="004F1045" w:rsidP="009B36C8">
            <w:pPr>
              <w:tabs>
                <w:tab w:val="left" w:pos="2517"/>
              </w:tabs>
              <w:overflowPunct w:val="0"/>
              <w:autoSpaceDE w:val="0"/>
              <w:autoSpaceDN w:val="0"/>
              <w:snapToGrid w:val="0"/>
              <w:jc w:val="right"/>
              <w:rPr>
                <w:szCs w:val="21"/>
              </w:rPr>
            </w:pPr>
            <w:r w:rsidRPr="00C5635C">
              <w:rPr>
                <w:rFonts w:hAnsi="宋体"/>
                <w:szCs w:val="21"/>
              </w:rPr>
              <w:t>至</w:t>
            </w:r>
            <w:r w:rsidR="00B8434D">
              <w:rPr>
                <w:szCs w:val="21"/>
              </w:rPr>
              <w:t>202</w:t>
            </w:r>
            <w:r w:rsidR="007C4E29">
              <w:rPr>
                <w:szCs w:val="21"/>
              </w:rPr>
              <w:t>4</w:t>
            </w:r>
            <w:r w:rsidR="00B8434D">
              <w:rPr>
                <w:szCs w:val="21"/>
              </w:rPr>
              <w:t>年</w:t>
            </w:r>
            <w:r w:rsidR="00B8434D">
              <w:rPr>
                <w:szCs w:val="21"/>
              </w:rPr>
              <w:t>1</w:t>
            </w:r>
            <w:r w:rsidR="00B8434D">
              <w:rPr>
                <w:szCs w:val="21"/>
              </w:rPr>
              <w:t>月</w:t>
            </w:r>
            <w:r w:rsidR="0057726E">
              <w:rPr>
                <w:szCs w:val="21"/>
              </w:rPr>
              <w:t>16</w:t>
            </w:r>
            <w:r w:rsidR="00B8434D">
              <w:rPr>
                <w:szCs w:val="21"/>
              </w:rPr>
              <w:t>日</w:t>
            </w:r>
          </w:p>
          <w:p w:rsidR="004F1045" w:rsidRPr="00C5635C" w:rsidRDefault="004F1045" w:rsidP="009B36C8">
            <w:pPr>
              <w:overflowPunct w:val="0"/>
              <w:autoSpaceDE w:val="0"/>
              <w:autoSpaceDN w:val="0"/>
              <w:snapToGrid w:val="0"/>
              <w:jc w:val="right"/>
              <w:rPr>
                <w:szCs w:val="21"/>
              </w:rPr>
            </w:pPr>
            <w:r w:rsidRPr="00C5635C">
              <w:rPr>
                <w:rFonts w:hAnsi="宋体"/>
                <w:szCs w:val="21"/>
              </w:rPr>
              <w:t>止清算期间</w:t>
            </w:r>
          </w:p>
        </w:tc>
      </w:tr>
      <w:tr w:rsidR="004F1045" w:rsidRPr="00C5635C" w:rsidTr="009B36C8">
        <w:trPr>
          <w:trHeight w:val="271"/>
        </w:trPr>
        <w:tc>
          <w:tcPr>
            <w:tcW w:w="5812" w:type="dxa"/>
            <w:vAlign w:val="bottom"/>
          </w:tcPr>
          <w:p w:rsidR="004F1045" w:rsidRPr="00C5635C" w:rsidRDefault="004F1045" w:rsidP="009B36C8">
            <w:pPr>
              <w:overflowPunct w:val="0"/>
              <w:autoSpaceDE w:val="0"/>
              <w:autoSpaceDN w:val="0"/>
              <w:snapToGrid w:val="0"/>
              <w:ind w:left="34"/>
              <w:jc w:val="left"/>
              <w:rPr>
                <w:szCs w:val="21"/>
              </w:rPr>
            </w:pPr>
            <w:r w:rsidRPr="00C5635C">
              <w:rPr>
                <w:rFonts w:hAnsi="宋体"/>
                <w:szCs w:val="21"/>
              </w:rPr>
              <w:t>一、清算收益</w:t>
            </w:r>
          </w:p>
        </w:tc>
        <w:tc>
          <w:tcPr>
            <w:tcW w:w="2664" w:type="dxa"/>
            <w:vAlign w:val="bottom"/>
          </w:tcPr>
          <w:p w:rsidR="004F1045" w:rsidRPr="00C5635C" w:rsidRDefault="004F1045" w:rsidP="009B36C8">
            <w:pPr>
              <w:overflowPunct w:val="0"/>
              <w:autoSpaceDE w:val="0"/>
              <w:autoSpaceDN w:val="0"/>
              <w:snapToGrid w:val="0"/>
              <w:jc w:val="right"/>
              <w:rPr>
                <w:szCs w:val="21"/>
              </w:rPr>
            </w:pPr>
          </w:p>
        </w:tc>
      </w:tr>
      <w:tr w:rsidR="004F1045" w:rsidRPr="00C5635C" w:rsidTr="009B36C8">
        <w:trPr>
          <w:trHeight w:val="80"/>
        </w:trPr>
        <w:tc>
          <w:tcPr>
            <w:tcW w:w="5812" w:type="dxa"/>
            <w:vAlign w:val="bottom"/>
          </w:tcPr>
          <w:p w:rsidR="004F1045" w:rsidRPr="00C5635C" w:rsidRDefault="004F1045" w:rsidP="009B36C8">
            <w:pPr>
              <w:overflowPunct w:val="0"/>
              <w:autoSpaceDE w:val="0"/>
              <w:autoSpaceDN w:val="0"/>
              <w:snapToGrid w:val="0"/>
              <w:ind w:left="459"/>
              <w:jc w:val="left"/>
              <w:rPr>
                <w:szCs w:val="21"/>
              </w:rPr>
            </w:pPr>
            <w:r w:rsidRPr="00C5635C">
              <w:rPr>
                <w:szCs w:val="21"/>
              </w:rPr>
              <w:t>1</w:t>
            </w:r>
            <w:r w:rsidRPr="00C5635C">
              <w:rPr>
                <w:rFonts w:hAnsi="宋体"/>
                <w:szCs w:val="21"/>
              </w:rPr>
              <w:t>、</w:t>
            </w:r>
            <w:r w:rsidR="00224E32" w:rsidRPr="00224E32">
              <w:rPr>
                <w:rFonts w:hAnsi="宋体" w:hint="eastAsia"/>
                <w:szCs w:val="21"/>
              </w:rPr>
              <w:t>利息收入</w:t>
            </w:r>
            <w:r w:rsidRPr="00C5635C">
              <w:rPr>
                <w:rFonts w:hAnsi="宋体"/>
                <w:szCs w:val="21"/>
              </w:rPr>
              <w:t>（注</w:t>
            </w:r>
            <w:r w:rsidRPr="00C5635C">
              <w:rPr>
                <w:szCs w:val="21"/>
              </w:rPr>
              <w:t>1</w:t>
            </w:r>
            <w:r w:rsidRPr="00C5635C">
              <w:rPr>
                <w:rFonts w:hAnsi="宋体"/>
                <w:szCs w:val="21"/>
              </w:rPr>
              <w:t>）</w:t>
            </w:r>
          </w:p>
        </w:tc>
        <w:tc>
          <w:tcPr>
            <w:tcW w:w="2664" w:type="dxa"/>
            <w:vAlign w:val="bottom"/>
          </w:tcPr>
          <w:p w:rsidR="004F1045" w:rsidRPr="0057726E" w:rsidRDefault="00D56595" w:rsidP="009B36C8">
            <w:pPr>
              <w:overflowPunct w:val="0"/>
              <w:autoSpaceDE w:val="0"/>
              <w:autoSpaceDN w:val="0"/>
              <w:snapToGrid w:val="0"/>
              <w:ind w:right="-24"/>
              <w:jc w:val="right"/>
              <w:rPr>
                <w:szCs w:val="21"/>
                <w:highlight w:val="yellow"/>
              </w:rPr>
            </w:pPr>
            <w:r w:rsidRPr="00D56595">
              <w:rPr>
                <w:szCs w:val="21"/>
              </w:rPr>
              <w:t>4,907.83</w:t>
            </w:r>
          </w:p>
        </w:tc>
      </w:tr>
      <w:tr w:rsidR="00EC7C28" w:rsidRPr="00C5635C" w:rsidTr="009B36C8">
        <w:trPr>
          <w:trHeight w:val="80"/>
        </w:trPr>
        <w:tc>
          <w:tcPr>
            <w:tcW w:w="5812" w:type="dxa"/>
            <w:vAlign w:val="bottom"/>
          </w:tcPr>
          <w:p w:rsidR="00EC7C28" w:rsidRPr="00C5635C" w:rsidRDefault="00EC7C28" w:rsidP="00457147">
            <w:pPr>
              <w:overflowPunct w:val="0"/>
              <w:autoSpaceDE w:val="0"/>
              <w:autoSpaceDN w:val="0"/>
              <w:snapToGrid w:val="0"/>
              <w:ind w:left="459"/>
              <w:jc w:val="left"/>
              <w:rPr>
                <w:szCs w:val="21"/>
              </w:rPr>
            </w:pPr>
            <w:r w:rsidRPr="00EC7C28">
              <w:rPr>
                <w:rFonts w:hint="eastAsia"/>
                <w:szCs w:val="21"/>
              </w:rPr>
              <w:t>2</w:t>
            </w:r>
            <w:r w:rsidRPr="00EC7C28">
              <w:rPr>
                <w:rFonts w:hint="eastAsia"/>
                <w:szCs w:val="21"/>
              </w:rPr>
              <w:t>、投资收益</w:t>
            </w:r>
            <w:r w:rsidR="00457147" w:rsidRPr="00C5635C">
              <w:rPr>
                <w:rFonts w:hAnsi="宋体"/>
                <w:szCs w:val="21"/>
              </w:rPr>
              <w:t>（注</w:t>
            </w:r>
            <w:r w:rsidR="00457147">
              <w:rPr>
                <w:rFonts w:hint="eastAsia"/>
                <w:szCs w:val="21"/>
              </w:rPr>
              <w:t>2</w:t>
            </w:r>
            <w:r w:rsidR="00457147" w:rsidRPr="00C5635C">
              <w:rPr>
                <w:rFonts w:hAnsi="宋体"/>
                <w:szCs w:val="21"/>
              </w:rPr>
              <w:t>）</w:t>
            </w:r>
          </w:p>
        </w:tc>
        <w:tc>
          <w:tcPr>
            <w:tcW w:w="2664" w:type="dxa"/>
            <w:vAlign w:val="bottom"/>
          </w:tcPr>
          <w:p w:rsidR="00EC7C28" w:rsidRPr="004D0B3E" w:rsidRDefault="00791D98" w:rsidP="009B36C8">
            <w:pPr>
              <w:overflowPunct w:val="0"/>
              <w:autoSpaceDE w:val="0"/>
              <w:autoSpaceDN w:val="0"/>
              <w:snapToGrid w:val="0"/>
              <w:ind w:right="-24"/>
              <w:jc w:val="right"/>
              <w:rPr>
                <w:szCs w:val="21"/>
              </w:rPr>
            </w:pPr>
            <w:r w:rsidRPr="004D0B3E">
              <w:rPr>
                <w:szCs w:val="21"/>
              </w:rPr>
              <w:t>-2,193,840.67</w:t>
            </w:r>
          </w:p>
        </w:tc>
      </w:tr>
      <w:tr w:rsidR="00EC7C28" w:rsidRPr="00C5635C" w:rsidTr="009B36C8">
        <w:trPr>
          <w:trHeight w:val="80"/>
        </w:trPr>
        <w:tc>
          <w:tcPr>
            <w:tcW w:w="5812" w:type="dxa"/>
            <w:vAlign w:val="bottom"/>
          </w:tcPr>
          <w:p w:rsidR="00EC7C28" w:rsidRPr="00EC7C28" w:rsidRDefault="00EC7C28" w:rsidP="00457147">
            <w:pPr>
              <w:overflowPunct w:val="0"/>
              <w:autoSpaceDE w:val="0"/>
              <w:autoSpaceDN w:val="0"/>
              <w:snapToGrid w:val="0"/>
              <w:ind w:left="459"/>
              <w:jc w:val="left"/>
              <w:rPr>
                <w:rFonts w:hint="eastAsia"/>
                <w:szCs w:val="21"/>
              </w:rPr>
            </w:pPr>
            <w:r w:rsidRPr="00EC7C28">
              <w:rPr>
                <w:rFonts w:hint="eastAsia"/>
                <w:szCs w:val="21"/>
              </w:rPr>
              <w:t>3</w:t>
            </w:r>
            <w:r w:rsidRPr="00EC7C28">
              <w:rPr>
                <w:rFonts w:hint="eastAsia"/>
                <w:szCs w:val="21"/>
              </w:rPr>
              <w:t>、公允价值变动损益</w:t>
            </w:r>
            <w:r w:rsidR="00457147" w:rsidRPr="00C5635C">
              <w:rPr>
                <w:rFonts w:hAnsi="宋体"/>
                <w:szCs w:val="21"/>
              </w:rPr>
              <w:t>（注</w:t>
            </w:r>
            <w:r w:rsidR="00457147">
              <w:rPr>
                <w:rFonts w:hint="eastAsia"/>
                <w:szCs w:val="21"/>
              </w:rPr>
              <w:t>3</w:t>
            </w:r>
            <w:r w:rsidR="00457147" w:rsidRPr="00C5635C">
              <w:rPr>
                <w:rFonts w:hAnsi="宋体"/>
                <w:szCs w:val="21"/>
              </w:rPr>
              <w:t>）</w:t>
            </w:r>
          </w:p>
        </w:tc>
        <w:tc>
          <w:tcPr>
            <w:tcW w:w="2664" w:type="dxa"/>
            <w:vAlign w:val="bottom"/>
          </w:tcPr>
          <w:p w:rsidR="00EC7C28" w:rsidRPr="004D0B3E" w:rsidRDefault="00A56FEC" w:rsidP="009B36C8">
            <w:pPr>
              <w:overflowPunct w:val="0"/>
              <w:autoSpaceDE w:val="0"/>
              <w:autoSpaceDN w:val="0"/>
              <w:snapToGrid w:val="0"/>
              <w:ind w:right="-24"/>
              <w:jc w:val="right"/>
              <w:rPr>
                <w:szCs w:val="21"/>
              </w:rPr>
            </w:pPr>
            <w:r w:rsidRPr="004D0B3E">
              <w:rPr>
                <w:szCs w:val="21"/>
              </w:rPr>
              <w:t>2,268,288.99</w:t>
            </w:r>
          </w:p>
        </w:tc>
      </w:tr>
      <w:tr w:rsidR="004F1045" w:rsidRPr="00C5635C" w:rsidTr="009B36C8">
        <w:trPr>
          <w:trHeight w:val="80"/>
        </w:trPr>
        <w:tc>
          <w:tcPr>
            <w:tcW w:w="5812" w:type="dxa"/>
            <w:vAlign w:val="bottom"/>
          </w:tcPr>
          <w:p w:rsidR="004F1045" w:rsidRPr="00C5635C" w:rsidRDefault="004F1045" w:rsidP="009B36C8">
            <w:pPr>
              <w:overflowPunct w:val="0"/>
              <w:autoSpaceDE w:val="0"/>
              <w:autoSpaceDN w:val="0"/>
              <w:snapToGrid w:val="0"/>
              <w:jc w:val="left"/>
              <w:rPr>
                <w:szCs w:val="21"/>
              </w:rPr>
            </w:pPr>
            <w:r w:rsidRPr="00C5635C">
              <w:rPr>
                <w:rFonts w:hAnsi="宋体"/>
                <w:szCs w:val="21"/>
              </w:rPr>
              <w:t>清算收入小计</w:t>
            </w:r>
          </w:p>
        </w:tc>
        <w:tc>
          <w:tcPr>
            <w:tcW w:w="2664" w:type="dxa"/>
            <w:vAlign w:val="bottom"/>
          </w:tcPr>
          <w:p w:rsidR="004F1045" w:rsidRPr="004D0B3E" w:rsidRDefault="00D56595" w:rsidP="004D0B3E">
            <w:pPr>
              <w:overflowPunct w:val="0"/>
              <w:autoSpaceDE w:val="0"/>
              <w:autoSpaceDN w:val="0"/>
              <w:snapToGrid w:val="0"/>
              <w:ind w:right="-24"/>
              <w:jc w:val="right"/>
              <w:rPr>
                <w:szCs w:val="21"/>
              </w:rPr>
            </w:pPr>
            <w:r w:rsidRPr="00D56595">
              <w:rPr>
                <w:szCs w:val="21"/>
              </w:rPr>
              <w:t>79,356.15</w:t>
            </w:r>
          </w:p>
        </w:tc>
      </w:tr>
      <w:tr w:rsidR="004F1045" w:rsidRPr="00C5635C" w:rsidTr="009B36C8">
        <w:trPr>
          <w:trHeight w:val="80"/>
        </w:trPr>
        <w:tc>
          <w:tcPr>
            <w:tcW w:w="5812" w:type="dxa"/>
            <w:vAlign w:val="bottom"/>
          </w:tcPr>
          <w:p w:rsidR="004F1045" w:rsidRPr="00C5635C" w:rsidRDefault="004F1045" w:rsidP="009B36C8">
            <w:pPr>
              <w:overflowPunct w:val="0"/>
              <w:autoSpaceDE w:val="0"/>
              <w:autoSpaceDN w:val="0"/>
              <w:snapToGrid w:val="0"/>
              <w:jc w:val="left"/>
              <w:rPr>
                <w:szCs w:val="21"/>
              </w:rPr>
            </w:pPr>
            <w:r w:rsidRPr="00C5635C">
              <w:rPr>
                <w:rFonts w:hAnsi="宋体"/>
                <w:szCs w:val="21"/>
              </w:rPr>
              <w:t>二、清算费用</w:t>
            </w:r>
          </w:p>
        </w:tc>
        <w:tc>
          <w:tcPr>
            <w:tcW w:w="2664" w:type="dxa"/>
            <w:vAlign w:val="bottom"/>
          </w:tcPr>
          <w:p w:rsidR="004F1045" w:rsidRPr="004D0B3E" w:rsidRDefault="004F1045" w:rsidP="004D0B3E">
            <w:pPr>
              <w:overflowPunct w:val="0"/>
              <w:autoSpaceDE w:val="0"/>
              <w:autoSpaceDN w:val="0"/>
              <w:snapToGrid w:val="0"/>
              <w:ind w:right="-24"/>
              <w:jc w:val="right"/>
              <w:rPr>
                <w:szCs w:val="21"/>
              </w:rPr>
            </w:pPr>
          </w:p>
        </w:tc>
      </w:tr>
      <w:tr w:rsidR="00EC7C28" w:rsidRPr="00C5635C" w:rsidTr="009B36C8">
        <w:trPr>
          <w:trHeight w:val="80"/>
        </w:trPr>
        <w:tc>
          <w:tcPr>
            <w:tcW w:w="5812" w:type="dxa"/>
            <w:vAlign w:val="bottom"/>
          </w:tcPr>
          <w:p w:rsidR="00EC7C28" w:rsidRPr="00C5635C" w:rsidRDefault="00EC7C28" w:rsidP="0007069C">
            <w:pPr>
              <w:overflowPunct w:val="0"/>
              <w:autoSpaceDE w:val="0"/>
              <w:autoSpaceDN w:val="0"/>
              <w:snapToGrid w:val="0"/>
              <w:ind w:firstLineChars="200" w:firstLine="420"/>
              <w:jc w:val="left"/>
              <w:rPr>
                <w:rFonts w:hAnsi="宋体"/>
                <w:szCs w:val="21"/>
              </w:rPr>
            </w:pPr>
            <w:r>
              <w:rPr>
                <w:rFonts w:hAnsi="宋体" w:hint="eastAsia"/>
                <w:szCs w:val="21"/>
              </w:rPr>
              <w:t>1</w:t>
            </w:r>
            <w:r>
              <w:rPr>
                <w:rFonts w:hAnsi="宋体" w:hint="eastAsia"/>
                <w:szCs w:val="21"/>
              </w:rPr>
              <w:t>、交易费用</w:t>
            </w:r>
            <w:r w:rsidR="00457147" w:rsidRPr="00C5635C">
              <w:rPr>
                <w:rFonts w:hAnsi="宋体"/>
                <w:szCs w:val="21"/>
              </w:rPr>
              <w:t>（注</w:t>
            </w:r>
            <w:r w:rsidR="00457147">
              <w:rPr>
                <w:rFonts w:hint="eastAsia"/>
                <w:szCs w:val="21"/>
              </w:rPr>
              <w:t>4</w:t>
            </w:r>
            <w:r w:rsidR="00457147" w:rsidRPr="00C5635C">
              <w:rPr>
                <w:rFonts w:hAnsi="宋体"/>
                <w:szCs w:val="21"/>
              </w:rPr>
              <w:t>）</w:t>
            </w:r>
          </w:p>
        </w:tc>
        <w:tc>
          <w:tcPr>
            <w:tcW w:w="2664" w:type="dxa"/>
            <w:vAlign w:val="bottom"/>
          </w:tcPr>
          <w:p w:rsidR="00EC7C28" w:rsidRPr="004D0B3E" w:rsidRDefault="007B2965" w:rsidP="004D0B3E">
            <w:pPr>
              <w:overflowPunct w:val="0"/>
              <w:autoSpaceDE w:val="0"/>
              <w:autoSpaceDN w:val="0"/>
              <w:snapToGrid w:val="0"/>
              <w:ind w:right="-24"/>
              <w:jc w:val="right"/>
              <w:rPr>
                <w:szCs w:val="21"/>
              </w:rPr>
            </w:pPr>
            <w:r w:rsidRPr="004D0B3E">
              <w:rPr>
                <w:szCs w:val="21"/>
              </w:rPr>
              <w:t>15,690.26</w:t>
            </w:r>
          </w:p>
        </w:tc>
      </w:tr>
      <w:tr w:rsidR="00CD4D20" w:rsidRPr="00C5635C" w:rsidTr="009B36C8">
        <w:trPr>
          <w:trHeight w:val="80"/>
        </w:trPr>
        <w:tc>
          <w:tcPr>
            <w:tcW w:w="5812" w:type="dxa"/>
            <w:vAlign w:val="bottom"/>
          </w:tcPr>
          <w:p w:rsidR="00CD4D20" w:rsidRPr="00C5635C" w:rsidRDefault="00CD4D20" w:rsidP="00457147">
            <w:pPr>
              <w:overflowPunct w:val="0"/>
              <w:autoSpaceDE w:val="0"/>
              <w:autoSpaceDN w:val="0"/>
              <w:snapToGrid w:val="0"/>
              <w:jc w:val="left"/>
              <w:rPr>
                <w:rFonts w:hAnsi="宋体"/>
                <w:szCs w:val="21"/>
              </w:rPr>
            </w:pPr>
            <w:r>
              <w:rPr>
                <w:rFonts w:hAnsi="宋体" w:hint="eastAsia"/>
                <w:szCs w:val="21"/>
              </w:rPr>
              <w:t xml:space="preserve">        </w:t>
            </w:r>
            <w:r w:rsidR="00EC7C28">
              <w:rPr>
                <w:rFonts w:hAnsi="宋体" w:hint="eastAsia"/>
                <w:szCs w:val="21"/>
              </w:rPr>
              <w:t>2</w:t>
            </w:r>
            <w:r>
              <w:rPr>
                <w:rFonts w:hAnsi="宋体" w:hint="eastAsia"/>
                <w:szCs w:val="21"/>
              </w:rPr>
              <w:t>、其他费用</w:t>
            </w:r>
            <w:r w:rsidR="001163EA" w:rsidRPr="00C5635C">
              <w:rPr>
                <w:rFonts w:hAnsi="宋体"/>
                <w:szCs w:val="21"/>
              </w:rPr>
              <w:t>（注</w:t>
            </w:r>
            <w:r w:rsidR="00457147">
              <w:rPr>
                <w:rFonts w:hint="eastAsia"/>
                <w:szCs w:val="21"/>
              </w:rPr>
              <w:t>5</w:t>
            </w:r>
            <w:r w:rsidR="001163EA" w:rsidRPr="00C5635C">
              <w:rPr>
                <w:rFonts w:hAnsi="宋体"/>
                <w:szCs w:val="21"/>
              </w:rPr>
              <w:t>）</w:t>
            </w:r>
          </w:p>
        </w:tc>
        <w:tc>
          <w:tcPr>
            <w:tcW w:w="2664" w:type="dxa"/>
            <w:vAlign w:val="bottom"/>
          </w:tcPr>
          <w:p w:rsidR="00CD4D20" w:rsidRPr="004D0B3E" w:rsidRDefault="007B2965" w:rsidP="004D0B3E">
            <w:pPr>
              <w:overflowPunct w:val="0"/>
              <w:autoSpaceDE w:val="0"/>
              <w:autoSpaceDN w:val="0"/>
              <w:snapToGrid w:val="0"/>
              <w:ind w:right="-24"/>
              <w:jc w:val="right"/>
              <w:rPr>
                <w:szCs w:val="21"/>
              </w:rPr>
            </w:pPr>
            <w:r w:rsidRPr="004D0B3E">
              <w:rPr>
                <w:szCs w:val="21"/>
              </w:rPr>
              <w:t>45.00</w:t>
            </w:r>
          </w:p>
        </w:tc>
      </w:tr>
      <w:tr w:rsidR="004F1045" w:rsidRPr="00C5635C" w:rsidTr="009B36C8">
        <w:trPr>
          <w:trHeight w:val="80"/>
        </w:trPr>
        <w:tc>
          <w:tcPr>
            <w:tcW w:w="5812" w:type="dxa"/>
            <w:vAlign w:val="bottom"/>
          </w:tcPr>
          <w:p w:rsidR="004F1045" w:rsidRPr="00C5635C" w:rsidRDefault="004F1045" w:rsidP="00457147">
            <w:pPr>
              <w:overflowPunct w:val="0"/>
              <w:autoSpaceDE w:val="0"/>
              <w:autoSpaceDN w:val="0"/>
              <w:snapToGrid w:val="0"/>
              <w:jc w:val="left"/>
              <w:rPr>
                <w:szCs w:val="21"/>
              </w:rPr>
            </w:pPr>
            <w:r w:rsidRPr="00C5635C">
              <w:rPr>
                <w:rFonts w:hAnsi="宋体"/>
                <w:szCs w:val="21"/>
              </w:rPr>
              <w:t>清算费用小计</w:t>
            </w:r>
            <w:r w:rsidR="001163EA" w:rsidRPr="00C5635C">
              <w:rPr>
                <w:rFonts w:hAnsi="宋体"/>
                <w:szCs w:val="21"/>
              </w:rPr>
              <w:t>（注</w:t>
            </w:r>
            <w:r w:rsidR="00457147">
              <w:rPr>
                <w:rFonts w:hint="eastAsia"/>
                <w:szCs w:val="21"/>
              </w:rPr>
              <w:t>6</w:t>
            </w:r>
            <w:r w:rsidR="001163EA" w:rsidRPr="00C5635C">
              <w:rPr>
                <w:rFonts w:hAnsi="宋体"/>
                <w:szCs w:val="21"/>
              </w:rPr>
              <w:t>）</w:t>
            </w:r>
          </w:p>
        </w:tc>
        <w:tc>
          <w:tcPr>
            <w:tcW w:w="2664" w:type="dxa"/>
            <w:vAlign w:val="bottom"/>
          </w:tcPr>
          <w:p w:rsidR="004F1045" w:rsidRPr="004D0B3E" w:rsidRDefault="007B2965" w:rsidP="004D0B3E">
            <w:pPr>
              <w:overflowPunct w:val="0"/>
              <w:autoSpaceDE w:val="0"/>
              <w:autoSpaceDN w:val="0"/>
              <w:snapToGrid w:val="0"/>
              <w:ind w:right="-24"/>
              <w:jc w:val="right"/>
              <w:rPr>
                <w:szCs w:val="21"/>
              </w:rPr>
            </w:pPr>
            <w:r w:rsidRPr="004D0B3E">
              <w:rPr>
                <w:szCs w:val="21"/>
              </w:rPr>
              <w:t>15,735.26</w:t>
            </w:r>
          </w:p>
        </w:tc>
      </w:tr>
      <w:tr w:rsidR="004F1045" w:rsidRPr="00C5635C" w:rsidTr="009B36C8">
        <w:trPr>
          <w:trHeight w:val="80"/>
        </w:trPr>
        <w:tc>
          <w:tcPr>
            <w:tcW w:w="5812" w:type="dxa"/>
            <w:vAlign w:val="bottom"/>
          </w:tcPr>
          <w:p w:rsidR="004F1045" w:rsidRPr="00C5635C" w:rsidRDefault="004F1045" w:rsidP="009B36C8">
            <w:pPr>
              <w:overflowPunct w:val="0"/>
              <w:autoSpaceDE w:val="0"/>
              <w:autoSpaceDN w:val="0"/>
              <w:snapToGrid w:val="0"/>
              <w:jc w:val="left"/>
              <w:rPr>
                <w:szCs w:val="21"/>
              </w:rPr>
            </w:pPr>
            <w:r w:rsidRPr="00C5635C">
              <w:rPr>
                <w:rFonts w:hAnsi="宋体"/>
                <w:szCs w:val="21"/>
              </w:rPr>
              <w:t>三、清算净收益</w:t>
            </w:r>
          </w:p>
        </w:tc>
        <w:tc>
          <w:tcPr>
            <w:tcW w:w="2664" w:type="dxa"/>
            <w:vAlign w:val="bottom"/>
          </w:tcPr>
          <w:p w:rsidR="004F1045" w:rsidRPr="004D0B3E" w:rsidRDefault="007432D3" w:rsidP="004D0B3E">
            <w:pPr>
              <w:overflowPunct w:val="0"/>
              <w:autoSpaceDE w:val="0"/>
              <w:autoSpaceDN w:val="0"/>
              <w:snapToGrid w:val="0"/>
              <w:ind w:right="-24"/>
              <w:jc w:val="right"/>
              <w:rPr>
                <w:szCs w:val="21"/>
              </w:rPr>
            </w:pPr>
            <w:r w:rsidRPr="007432D3">
              <w:rPr>
                <w:szCs w:val="21"/>
              </w:rPr>
              <w:t>63,620.89</w:t>
            </w:r>
          </w:p>
        </w:tc>
      </w:tr>
    </w:tbl>
    <w:p w:rsidR="003B2CE7" w:rsidRPr="005E2BC1" w:rsidRDefault="003B2CE7" w:rsidP="005E2BC1">
      <w:pPr>
        <w:spacing w:line="360" w:lineRule="auto"/>
        <w:ind w:firstLineChars="200" w:firstLine="420"/>
        <w:rPr>
          <w:rFonts w:hAnsi="宋体" w:hint="eastAsia"/>
          <w:szCs w:val="21"/>
        </w:rPr>
      </w:pPr>
      <w:r w:rsidRPr="005E2BC1">
        <w:rPr>
          <w:rFonts w:hAnsi="宋体" w:hint="eastAsia"/>
          <w:szCs w:val="21"/>
        </w:rPr>
        <w:t>表中相关项目具体说明如下：</w:t>
      </w:r>
    </w:p>
    <w:p w:rsidR="00152189" w:rsidRDefault="0008453A" w:rsidP="00152189">
      <w:pPr>
        <w:spacing w:line="360" w:lineRule="auto"/>
        <w:ind w:firstLineChars="200" w:firstLine="420"/>
        <w:rPr>
          <w:rFonts w:hAnsi="宋体"/>
          <w:szCs w:val="21"/>
        </w:rPr>
      </w:pPr>
      <w:r>
        <w:rPr>
          <w:rFonts w:hAnsi="宋体" w:hint="eastAsia"/>
          <w:szCs w:val="21"/>
        </w:rPr>
        <w:t>注</w:t>
      </w:r>
      <w:r w:rsidR="003B2CE7" w:rsidRPr="00016C36">
        <w:rPr>
          <w:rFonts w:hAnsi="宋体" w:hint="eastAsia"/>
          <w:szCs w:val="21"/>
        </w:rPr>
        <w:t>1</w:t>
      </w:r>
      <w:r>
        <w:rPr>
          <w:rFonts w:hAnsi="宋体" w:hint="eastAsia"/>
          <w:szCs w:val="21"/>
        </w:rPr>
        <w:t>：</w:t>
      </w:r>
      <w:r w:rsidR="00152189">
        <w:rPr>
          <w:rFonts w:hAnsi="宋体"/>
          <w:szCs w:val="21"/>
        </w:rPr>
        <w:t>利息收入系以当前适用的利率计提的自</w:t>
      </w:r>
      <w:r w:rsidR="00152189">
        <w:rPr>
          <w:rFonts w:hAnsi="宋体" w:hint="eastAsia"/>
          <w:szCs w:val="21"/>
        </w:rPr>
        <w:t>2023</w:t>
      </w:r>
      <w:r w:rsidR="00152189">
        <w:rPr>
          <w:rFonts w:hAnsi="宋体"/>
          <w:szCs w:val="21"/>
        </w:rPr>
        <w:t>年</w:t>
      </w:r>
      <w:r w:rsidR="00152189">
        <w:rPr>
          <w:rFonts w:hAnsi="宋体" w:hint="eastAsia"/>
          <w:szCs w:val="21"/>
        </w:rPr>
        <w:t>12</w:t>
      </w:r>
      <w:r w:rsidR="00152189">
        <w:rPr>
          <w:rFonts w:hAnsi="宋体"/>
          <w:szCs w:val="21"/>
        </w:rPr>
        <w:t>月</w:t>
      </w:r>
      <w:r w:rsidR="00152189">
        <w:rPr>
          <w:rFonts w:hAnsi="宋体" w:hint="eastAsia"/>
          <w:szCs w:val="21"/>
        </w:rPr>
        <w:t>28</w:t>
      </w:r>
      <w:r w:rsidR="00152189">
        <w:rPr>
          <w:rFonts w:hAnsi="宋体"/>
          <w:szCs w:val="21"/>
        </w:rPr>
        <w:t>日至</w:t>
      </w:r>
      <w:r w:rsidR="00152189">
        <w:rPr>
          <w:rFonts w:hAnsi="宋体" w:hint="eastAsia"/>
          <w:szCs w:val="21"/>
        </w:rPr>
        <w:t>2024</w:t>
      </w:r>
      <w:r w:rsidR="00152189">
        <w:rPr>
          <w:rFonts w:hAnsi="宋体"/>
          <w:szCs w:val="21"/>
        </w:rPr>
        <w:t>年</w:t>
      </w:r>
      <w:r w:rsidR="00152189">
        <w:rPr>
          <w:rFonts w:hAnsi="宋体" w:hint="eastAsia"/>
          <w:szCs w:val="21"/>
        </w:rPr>
        <w:t>1</w:t>
      </w:r>
      <w:r w:rsidR="00152189">
        <w:rPr>
          <w:rFonts w:hAnsi="宋体"/>
          <w:szCs w:val="21"/>
        </w:rPr>
        <w:t>月</w:t>
      </w:r>
      <w:r w:rsidR="0057726E">
        <w:rPr>
          <w:rFonts w:hAnsi="宋体" w:hint="eastAsia"/>
          <w:szCs w:val="21"/>
        </w:rPr>
        <w:t>1</w:t>
      </w:r>
      <w:r w:rsidR="0057726E">
        <w:rPr>
          <w:rFonts w:hAnsi="宋体"/>
          <w:szCs w:val="21"/>
        </w:rPr>
        <w:t>6</w:t>
      </w:r>
      <w:r w:rsidR="00152189">
        <w:rPr>
          <w:rFonts w:hAnsi="宋体"/>
          <w:szCs w:val="21"/>
        </w:rPr>
        <w:t>日止清算</w:t>
      </w:r>
      <w:r w:rsidR="00152189">
        <w:rPr>
          <w:rFonts w:hAnsi="宋体" w:hint="eastAsia"/>
          <w:szCs w:val="21"/>
        </w:rPr>
        <w:t>报告</w:t>
      </w:r>
      <w:r w:rsidR="00152189">
        <w:rPr>
          <w:rFonts w:hAnsi="宋体"/>
          <w:szCs w:val="21"/>
        </w:rPr>
        <w:t>期间的银行存款利息</w:t>
      </w:r>
      <w:r w:rsidR="00152189">
        <w:rPr>
          <w:rFonts w:hAnsi="宋体" w:hint="eastAsia"/>
          <w:szCs w:val="21"/>
        </w:rPr>
        <w:t>、</w:t>
      </w:r>
      <w:r w:rsidR="0074544B">
        <w:rPr>
          <w:rFonts w:hAnsi="宋体" w:hint="eastAsia"/>
          <w:szCs w:val="21"/>
        </w:rPr>
        <w:t>结算</w:t>
      </w:r>
      <w:r w:rsidR="00152189">
        <w:rPr>
          <w:rFonts w:hAnsi="宋体" w:hint="eastAsia"/>
          <w:szCs w:val="21"/>
        </w:rPr>
        <w:t>备付金利息</w:t>
      </w:r>
      <w:r w:rsidR="00152189">
        <w:rPr>
          <w:rFonts w:hAnsi="宋体"/>
          <w:szCs w:val="21"/>
        </w:rPr>
        <w:t>及存出保证金利息。</w:t>
      </w:r>
    </w:p>
    <w:p w:rsidR="00152189" w:rsidRDefault="00152189" w:rsidP="00152189">
      <w:pPr>
        <w:spacing w:line="360" w:lineRule="auto"/>
        <w:ind w:firstLineChars="200" w:firstLine="420"/>
        <w:rPr>
          <w:rFonts w:hAnsi="宋体"/>
          <w:szCs w:val="21"/>
        </w:rPr>
      </w:pPr>
      <w:r>
        <w:rPr>
          <w:rFonts w:hAnsi="宋体" w:hint="eastAsia"/>
          <w:szCs w:val="21"/>
        </w:rPr>
        <w:t>注</w:t>
      </w:r>
      <w:r>
        <w:rPr>
          <w:rFonts w:hAnsi="宋体" w:hint="eastAsia"/>
          <w:szCs w:val="21"/>
        </w:rPr>
        <w:t>2</w:t>
      </w:r>
      <w:r>
        <w:rPr>
          <w:rFonts w:hAnsi="宋体" w:hint="eastAsia"/>
          <w:szCs w:val="21"/>
        </w:rPr>
        <w:t>：投资收益系基金</w:t>
      </w:r>
      <w:r>
        <w:t>最后运作日</w:t>
      </w:r>
      <w:r>
        <w:rPr>
          <w:rFonts w:hint="eastAsia"/>
        </w:rPr>
        <w:t>持有的</w:t>
      </w:r>
      <w:r w:rsidR="007B51D2">
        <w:rPr>
          <w:rFonts w:hint="eastAsia"/>
        </w:rPr>
        <w:t>股票</w:t>
      </w:r>
      <w:r>
        <w:rPr>
          <w:rFonts w:hint="eastAsia"/>
        </w:rPr>
        <w:t>资产变现产生的收益</w:t>
      </w:r>
      <w:r w:rsidR="000C78C7">
        <w:rPr>
          <w:rFonts w:hint="eastAsia"/>
        </w:rPr>
        <w:t>和股利收入</w:t>
      </w:r>
      <w:r>
        <w:rPr>
          <w:rFonts w:hint="eastAsia"/>
        </w:rPr>
        <w:t>。</w:t>
      </w:r>
    </w:p>
    <w:p w:rsidR="00152189" w:rsidRDefault="00152189" w:rsidP="00152189">
      <w:pPr>
        <w:spacing w:line="360" w:lineRule="auto"/>
        <w:ind w:firstLineChars="200" w:firstLine="420"/>
        <w:rPr>
          <w:rFonts w:hAnsi="宋体"/>
          <w:szCs w:val="21"/>
        </w:rPr>
      </w:pPr>
      <w:r>
        <w:rPr>
          <w:rFonts w:hAnsi="宋体" w:hint="eastAsia"/>
          <w:szCs w:val="21"/>
        </w:rPr>
        <w:t>注</w:t>
      </w:r>
      <w:r>
        <w:rPr>
          <w:rFonts w:hAnsi="宋体" w:hint="eastAsia"/>
          <w:szCs w:val="21"/>
        </w:rPr>
        <w:t>3</w:t>
      </w:r>
      <w:r>
        <w:rPr>
          <w:rFonts w:hAnsi="宋体" w:hint="eastAsia"/>
          <w:szCs w:val="21"/>
        </w:rPr>
        <w:t>：公允价值变动损益系基金</w:t>
      </w:r>
      <w:r>
        <w:rPr>
          <w:rFonts w:hAnsi="宋体"/>
          <w:szCs w:val="21"/>
        </w:rPr>
        <w:t>最后运作日</w:t>
      </w:r>
      <w:r>
        <w:rPr>
          <w:rFonts w:hAnsi="宋体" w:hint="eastAsia"/>
          <w:szCs w:val="21"/>
        </w:rPr>
        <w:t>持有的</w:t>
      </w:r>
      <w:r w:rsidR="007B51D2">
        <w:rPr>
          <w:rFonts w:hint="eastAsia"/>
        </w:rPr>
        <w:t>股票</w:t>
      </w:r>
      <w:r>
        <w:rPr>
          <w:rFonts w:hAnsi="宋体" w:hint="eastAsia"/>
          <w:szCs w:val="21"/>
        </w:rPr>
        <w:t>资产产生</w:t>
      </w:r>
      <w:r>
        <w:rPr>
          <w:rFonts w:hint="eastAsia"/>
        </w:rPr>
        <w:t>的公允价值变动损益。</w:t>
      </w:r>
    </w:p>
    <w:p w:rsidR="00152189" w:rsidRDefault="00152189" w:rsidP="00152189">
      <w:pPr>
        <w:spacing w:line="360" w:lineRule="auto"/>
        <w:ind w:firstLineChars="200" w:firstLine="420"/>
        <w:rPr>
          <w:rFonts w:hAnsi="宋体"/>
          <w:szCs w:val="21"/>
        </w:rPr>
      </w:pPr>
      <w:r>
        <w:rPr>
          <w:rFonts w:hAnsi="宋体" w:hint="eastAsia"/>
          <w:szCs w:val="21"/>
        </w:rPr>
        <w:t>注</w:t>
      </w:r>
      <w:r w:rsidR="00551A5F">
        <w:rPr>
          <w:rFonts w:hAnsi="宋体" w:hint="eastAsia"/>
          <w:szCs w:val="21"/>
        </w:rPr>
        <w:t>4</w:t>
      </w:r>
      <w:r>
        <w:rPr>
          <w:rFonts w:hAnsi="宋体" w:hint="eastAsia"/>
          <w:szCs w:val="21"/>
        </w:rPr>
        <w:t>：交易费用系基金</w:t>
      </w:r>
      <w:r>
        <w:t>最后运作日</w:t>
      </w:r>
      <w:r>
        <w:rPr>
          <w:rFonts w:hint="eastAsia"/>
        </w:rPr>
        <w:t>持有的</w:t>
      </w:r>
      <w:r w:rsidR="007B51D2">
        <w:rPr>
          <w:rFonts w:hint="eastAsia"/>
        </w:rPr>
        <w:t>股票</w:t>
      </w:r>
      <w:r>
        <w:rPr>
          <w:rFonts w:hint="eastAsia"/>
        </w:rPr>
        <w:t>资产变现产生的费用。</w:t>
      </w:r>
    </w:p>
    <w:p w:rsidR="00152189" w:rsidRDefault="00152189" w:rsidP="00152189">
      <w:pPr>
        <w:spacing w:line="360" w:lineRule="auto"/>
        <w:ind w:firstLineChars="200" w:firstLine="420"/>
        <w:rPr>
          <w:rFonts w:hAnsi="宋体"/>
          <w:szCs w:val="21"/>
        </w:rPr>
      </w:pPr>
      <w:r>
        <w:rPr>
          <w:rFonts w:hAnsi="宋体" w:hint="eastAsia"/>
          <w:szCs w:val="21"/>
        </w:rPr>
        <w:t>注</w:t>
      </w:r>
      <w:r w:rsidR="00551A5F">
        <w:rPr>
          <w:rFonts w:hAnsi="宋体" w:hint="eastAsia"/>
          <w:szCs w:val="21"/>
        </w:rPr>
        <w:t>5</w:t>
      </w:r>
      <w:r>
        <w:rPr>
          <w:rFonts w:hAnsi="宋体" w:hint="eastAsia"/>
          <w:szCs w:val="21"/>
        </w:rPr>
        <w:t>：其他</w:t>
      </w:r>
      <w:r>
        <w:rPr>
          <w:rFonts w:hAnsi="宋体"/>
          <w:szCs w:val="21"/>
        </w:rPr>
        <w:t>费用</w:t>
      </w:r>
      <w:r>
        <w:rPr>
          <w:rFonts w:hAnsi="宋体" w:hint="eastAsia"/>
          <w:szCs w:val="21"/>
        </w:rPr>
        <w:t>系清算期间产生的银行费用。</w:t>
      </w:r>
    </w:p>
    <w:p w:rsidR="00152189" w:rsidRDefault="00152189" w:rsidP="00152189">
      <w:pPr>
        <w:spacing w:line="360" w:lineRule="auto"/>
        <w:ind w:firstLineChars="200" w:firstLine="420"/>
        <w:rPr>
          <w:rFonts w:hAnsi="宋体"/>
          <w:szCs w:val="21"/>
        </w:rPr>
      </w:pPr>
      <w:r>
        <w:rPr>
          <w:rFonts w:hAnsi="宋体" w:hint="eastAsia"/>
          <w:szCs w:val="21"/>
        </w:rPr>
        <w:t>注</w:t>
      </w:r>
      <w:r w:rsidR="00551A5F">
        <w:rPr>
          <w:rFonts w:hAnsi="宋体" w:hint="eastAsia"/>
          <w:szCs w:val="21"/>
        </w:rPr>
        <w:t>6</w:t>
      </w:r>
      <w:r>
        <w:rPr>
          <w:rFonts w:hAnsi="宋体" w:hint="eastAsia"/>
          <w:szCs w:val="21"/>
        </w:rPr>
        <w:t>：</w:t>
      </w:r>
      <w:r>
        <w:rPr>
          <w:rFonts w:hAnsi="宋体" w:hint="eastAsia"/>
        </w:rPr>
        <w:t>本基金的清算费用由基金财产清算小组优先从基金财产中支付。</w:t>
      </w:r>
    </w:p>
    <w:p w:rsidR="002E2E3D" w:rsidRPr="006F5742" w:rsidRDefault="00296416" w:rsidP="00016C36">
      <w:pPr>
        <w:pStyle w:val="28"/>
        <w:spacing w:line="360" w:lineRule="auto"/>
        <w:ind w:firstLine="420"/>
        <w:rPr>
          <w:rFonts w:hAnsi="宋体" w:hint="eastAsia"/>
        </w:rPr>
      </w:pPr>
      <w:r>
        <w:rPr>
          <w:rFonts w:hAnsi="宋体" w:hint="eastAsia"/>
        </w:rPr>
        <w:t>（五）</w:t>
      </w:r>
      <w:r w:rsidR="006D7145">
        <w:rPr>
          <w:rFonts w:hAnsi="宋体" w:hint="eastAsia"/>
        </w:rPr>
        <w:t>截至</w:t>
      </w:r>
      <w:r w:rsidR="00903847">
        <w:rPr>
          <w:rFonts w:hAnsi="宋体" w:hint="eastAsia"/>
        </w:rPr>
        <w:t>本次</w:t>
      </w:r>
      <w:r w:rsidR="006D7145">
        <w:rPr>
          <w:rFonts w:hAnsi="宋体" w:hint="eastAsia"/>
        </w:rPr>
        <w:t>清算期结束日</w:t>
      </w:r>
      <w:r w:rsidR="00B97498">
        <w:rPr>
          <w:rFonts w:hAnsi="宋体" w:hint="eastAsia"/>
        </w:rPr>
        <w:t>的剩余财</w:t>
      </w:r>
      <w:r w:rsidR="002E2E3D" w:rsidRPr="006F5742">
        <w:rPr>
          <w:rFonts w:hAnsi="宋体" w:hint="eastAsia"/>
        </w:rPr>
        <w:t>产情况</w:t>
      </w:r>
    </w:p>
    <w:p w:rsidR="002E2E3D" w:rsidRPr="006F5742" w:rsidRDefault="002E2E3D" w:rsidP="006F5742">
      <w:pPr>
        <w:spacing w:line="360" w:lineRule="auto"/>
        <w:ind w:rightChars="2" w:right="4"/>
        <w:jc w:val="right"/>
        <w:rPr>
          <w:rFonts w:hAnsi="宋体" w:hint="eastAsia"/>
          <w:sz w:val="22"/>
          <w:szCs w:val="22"/>
        </w:rPr>
      </w:pPr>
      <w:r w:rsidRPr="006F5742">
        <w:rPr>
          <w:rFonts w:hAnsi="宋体" w:hint="eastAsia"/>
          <w:sz w:val="22"/>
          <w:szCs w:val="22"/>
        </w:rPr>
        <w:t>单位：人民币元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3117"/>
      </w:tblGrid>
      <w:tr w:rsidR="006E7570" w:rsidRPr="006F5742" w:rsidTr="009B36C8">
        <w:tc>
          <w:tcPr>
            <w:tcW w:w="5387" w:type="dxa"/>
          </w:tcPr>
          <w:p w:rsidR="006E7570" w:rsidRPr="006F5742" w:rsidRDefault="006E7570" w:rsidP="009B36C8">
            <w:pPr>
              <w:rPr>
                <w:szCs w:val="21"/>
              </w:rPr>
            </w:pPr>
            <w:r w:rsidRPr="006F5742">
              <w:rPr>
                <w:rFonts w:hAnsi="宋体"/>
                <w:szCs w:val="21"/>
              </w:rPr>
              <w:t>项目</w:t>
            </w:r>
          </w:p>
        </w:tc>
        <w:tc>
          <w:tcPr>
            <w:tcW w:w="3117" w:type="dxa"/>
          </w:tcPr>
          <w:p w:rsidR="006E7570" w:rsidRPr="006F5742" w:rsidRDefault="006E7570" w:rsidP="009B36C8">
            <w:pPr>
              <w:jc w:val="right"/>
              <w:rPr>
                <w:szCs w:val="21"/>
              </w:rPr>
            </w:pPr>
            <w:r w:rsidRPr="006F5742">
              <w:rPr>
                <w:rFonts w:hAnsi="宋体"/>
                <w:szCs w:val="21"/>
              </w:rPr>
              <w:t>金额</w:t>
            </w:r>
          </w:p>
        </w:tc>
      </w:tr>
      <w:tr w:rsidR="006E7570" w:rsidRPr="006F5742" w:rsidTr="009B36C8">
        <w:tc>
          <w:tcPr>
            <w:tcW w:w="5387" w:type="dxa"/>
          </w:tcPr>
          <w:p w:rsidR="006E7570" w:rsidRPr="006F5742" w:rsidRDefault="006E7570" w:rsidP="004C639E">
            <w:pPr>
              <w:overflowPunct w:val="0"/>
              <w:autoSpaceDE w:val="0"/>
              <w:autoSpaceDN w:val="0"/>
              <w:snapToGrid w:val="0"/>
              <w:rPr>
                <w:szCs w:val="21"/>
              </w:rPr>
            </w:pPr>
            <w:r w:rsidRPr="006F5742">
              <w:rPr>
                <w:rFonts w:hAnsi="宋体"/>
                <w:szCs w:val="21"/>
              </w:rPr>
              <w:t>一、最后运作日</w:t>
            </w:r>
            <w:r w:rsidR="005E08EC">
              <w:rPr>
                <w:szCs w:val="21"/>
              </w:rPr>
              <w:t>202</w:t>
            </w:r>
            <w:r w:rsidR="007C4E29">
              <w:rPr>
                <w:szCs w:val="21"/>
              </w:rPr>
              <w:t>3</w:t>
            </w:r>
            <w:r w:rsidR="005E08EC">
              <w:rPr>
                <w:szCs w:val="21"/>
              </w:rPr>
              <w:t>年</w:t>
            </w:r>
            <w:r w:rsidR="005E08EC">
              <w:rPr>
                <w:szCs w:val="21"/>
              </w:rPr>
              <w:t>1</w:t>
            </w:r>
            <w:r w:rsidR="007C4E29">
              <w:rPr>
                <w:szCs w:val="21"/>
              </w:rPr>
              <w:t>2</w:t>
            </w:r>
            <w:r w:rsidR="005E08EC">
              <w:rPr>
                <w:szCs w:val="21"/>
              </w:rPr>
              <w:t>月</w:t>
            </w:r>
            <w:r w:rsidR="005E08EC">
              <w:rPr>
                <w:szCs w:val="21"/>
              </w:rPr>
              <w:t>2</w:t>
            </w:r>
            <w:r w:rsidR="007C4E29">
              <w:rPr>
                <w:szCs w:val="21"/>
              </w:rPr>
              <w:t>7</w:t>
            </w:r>
            <w:r w:rsidR="005E08EC">
              <w:rPr>
                <w:szCs w:val="21"/>
              </w:rPr>
              <w:t>日</w:t>
            </w:r>
            <w:r w:rsidRPr="006F5742">
              <w:rPr>
                <w:rFonts w:hAnsi="宋体"/>
                <w:szCs w:val="21"/>
              </w:rPr>
              <w:t>基金净资产</w:t>
            </w:r>
          </w:p>
        </w:tc>
        <w:tc>
          <w:tcPr>
            <w:tcW w:w="3117" w:type="dxa"/>
            <w:vAlign w:val="center"/>
          </w:tcPr>
          <w:p w:rsidR="006E7570" w:rsidRPr="006F5742" w:rsidRDefault="009971A9" w:rsidP="009B36C8">
            <w:pPr>
              <w:overflowPunct w:val="0"/>
              <w:autoSpaceDE w:val="0"/>
              <w:autoSpaceDN w:val="0"/>
              <w:snapToGrid w:val="0"/>
              <w:jc w:val="right"/>
              <w:rPr>
                <w:szCs w:val="21"/>
              </w:rPr>
            </w:pPr>
            <w:r w:rsidRPr="009971A9">
              <w:rPr>
                <w:szCs w:val="21"/>
              </w:rPr>
              <w:t>22,448,749.21</w:t>
            </w:r>
          </w:p>
        </w:tc>
      </w:tr>
      <w:tr w:rsidR="004E775B" w:rsidRPr="006F5742" w:rsidTr="009B36C8">
        <w:tc>
          <w:tcPr>
            <w:tcW w:w="5387" w:type="dxa"/>
          </w:tcPr>
          <w:p w:rsidR="004E775B" w:rsidRPr="006F5742" w:rsidRDefault="004E775B" w:rsidP="004E775B">
            <w:pPr>
              <w:overflowPunct w:val="0"/>
              <w:autoSpaceDE w:val="0"/>
              <w:autoSpaceDN w:val="0"/>
              <w:snapToGrid w:val="0"/>
              <w:rPr>
                <w:rFonts w:hAnsi="宋体"/>
                <w:szCs w:val="21"/>
              </w:rPr>
            </w:pPr>
            <w:r w:rsidRPr="007A30EC">
              <w:rPr>
                <w:szCs w:val="21"/>
              </w:rPr>
              <w:t>减：最后运作日有效赎回申请对应</w:t>
            </w:r>
            <w:r>
              <w:rPr>
                <w:rFonts w:hint="eastAsia"/>
                <w:szCs w:val="21"/>
              </w:rPr>
              <w:t>的赎回对价</w:t>
            </w:r>
          </w:p>
        </w:tc>
        <w:tc>
          <w:tcPr>
            <w:tcW w:w="3117" w:type="dxa"/>
            <w:vAlign w:val="center"/>
          </w:tcPr>
          <w:p w:rsidR="004E775B" w:rsidRPr="004864CD" w:rsidRDefault="006A50FC" w:rsidP="009B36C8">
            <w:pPr>
              <w:overflowPunct w:val="0"/>
              <w:autoSpaceDE w:val="0"/>
              <w:autoSpaceDN w:val="0"/>
              <w:snapToGrid w:val="0"/>
              <w:jc w:val="right"/>
            </w:pPr>
            <w:r>
              <w:rPr>
                <w:rFonts w:hint="eastAsia"/>
              </w:rPr>
              <w:t>-</w:t>
            </w:r>
          </w:p>
        </w:tc>
      </w:tr>
      <w:tr w:rsidR="006E7570" w:rsidRPr="006F5742" w:rsidTr="009B36C8">
        <w:tc>
          <w:tcPr>
            <w:tcW w:w="5387" w:type="dxa"/>
          </w:tcPr>
          <w:p w:rsidR="006E7570" w:rsidRPr="006F5742" w:rsidRDefault="006E7570" w:rsidP="009B36C8">
            <w:pPr>
              <w:overflowPunct w:val="0"/>
              <w:autoSpaceDE w:val="0"/>
              <w:autoSpaceDN w:val="0"/>
              <w:snapToGrid w:val="0"/>
              <w:rPr>
                <w:szCs w:val="21"/>
              </w:rPr>
            </w:pPr>
            <w:r w:rsidRPr="006F5742">
              <w:rPr>
                <w:rFonts w:hAnsi="宋体"/>
                <w:szCs w:val="21"/>
              </w:rPr>
              <w:t>加：清算期间净收益</w:t>
            </w:r>
          </w:p>
        </w:tc>
        <w:tc>
          <w:tcPr>
            <w:tcW w:w="3117" w:type="dxa"/>
            <w:vAlign w:val="center"/>
          </w:tcPr>
          <w:p w:rsidR="006E7570" w:rsidRPr="0057726E" w:rsidRDefault="005245E4" w:rsidP="009B36C8">
            <w:pPr>
              <w:overflowPunct w:val="0"/>
              <w:autoSpaceDE w:val="0"/>
              <w:autoSpaceDN w:val="0"/>
              <w:snapToGrid w:val="0"/>
              <w:jc w:val="right"/>
              <w:rPr>
                <w:szCs w:val="21"/>
                <w:highlight w:val="yellow"/>
              </w:rPr>
            </w:pPr>
            <w:r w:rsidRPr="005245E4">
              <w:rPr>
                <w:szCs w:val="21"/>
              </w:rPr>
              <w:t>63,620.89</w:t>
            </w:r>
          </w:p>
        </w:tc>
      </w:tr>
      <w:tr w:rsidR="006E7570" w:rsidRPr="006F5742" w:rsidTr="009B36C8">
        <w:trPr>
          <w:trHeight w:val="101"/>
        </w:trPr>
        <w:tc>
          <w:tcPr>
            <w:tcW w:w="5387" w:type="dxa"/>
          </w:tcPr>
          <w:p w:rsidR="006E7570" w:rsidRPr="006F5742" w:rsidRDefault="006E7570" w:rsidP="003F1D92">
            <w:pPr>
              <w:overflowPunct w:val="0"/>
              <w:autoSpaceDE w:val="0"/>
              <w:autoSpaceDN w:val="0"/>
              <w:snapToGrid w:val="0"/>
              <w:rPr>
                <w:szCs w:val="21"/>
              </w:rPr>
            </w:pPr>
            <w:r w:rsidRPr="006F5742">
              <w:rPr>
                <w:rFonts w:hAnsi="宋体"/>
                <w:szCs w:val="21"/>
              </w:rPr>
              <w:t>二</w:t>
            </w:r>
            <w:r w:rsidRPr="006D383D">
              <w:rPr>
                <w:rFonts w:hAnsi="宋体"/>
                <w:szCs w:val="21"/>
              </w:rPr>
              <w:t>、</w:t>
            </w:r>
            <w:r w:rsidR="00B8434D">
              <w:rPr>
                <w:szCs w:val="21"/>
              </w:rPr>
              <w:t>202</w:t>
            </w:r>
            <w:r w:rsidR="007C4E29">
              <w:rPr>
                <w:szCs w:val="21"/>
              </w:rPr>
              <w:t>4</w:t>
            </w:r>
            <w:r w:rsidR="00B8434D">
              <w:rPr>
                <w:szCs w:val="21"/>
              </w:rPr>
              <w:t>年</w:t>
            </w:r>
            <w:r w:rsidR="00B8434D">
              <w:rPr>
                <w:szCs w:val="21"/>
              </w:rPr>
              <w:t>1</w:t>
            </w:r>
            <w:r w:rsidR="00B8434D">
              <w:rPr>
                <w:szCs w:val="21"/>
              </w:rPr>
              <w:t>月</w:t>
            </w:r>
            <w:r w:rsidR="0057726E">
              <w:rPr>
                <w:szCs w:val="21"/>
              </w:rPr>
              <w:t>16</w:t>
            </w:r>
            <w:r w:rsidR="00B8434D">
              <w:rPr>
                <w:szCs w:val="21"/>
              </w:rPr>
              <w:t>日</w:t>
            </w:r>
            <w:r w:rsidRPr="006D383D">
              <w:rPr>
                <w:rFonts w:hAnsi="宋体"/>
                <w:szCs w:val="21"/>
              </w:rPr>
              <w:t>基金净资产</w:t>
            </w:r>
          </w:p>
        </w:tc>
        <w:tc>
          <w:tcPr>
            <w:tcW w:w="3117" w:type="dxa"/>
            <w:vAlign w:val="center"/>
          </w:tcPr>
          <w:p w:rsidR="006E7570" w:rsidRPr="0057726E" w:rsidRDefault="00DF5E1B" w:rsidP="009B36C8">
            <w:pPr>
              <w:overflowPunct w:val="0"/>
              <w:autoSpaceDE w:val="0"/>
              <w:autoSpaceDN w:val="0"/>
              <w:snapToGrid w:val="0"/>
              <w:jc w:val="right"/>
              <w:rPr>
                <w:szCs w:val="21"/>
                <w:highlight w:val="yellow"/>
              </w:rPr>
            </w:pPr>
            <w:r w:rsidRPr="00DF5E1B">
              <w:rPr>
                <w:szCs w:val="21"/>
              </w:rPr>
              <w:t>22,512,370.10</w:t>
            </w:r>
          </w:p>
        </w:tc>
      </w:tr>
    </w:tbl>
    <w:p w:rsidR="00E958C5" w:rsidRPr="00B74B1C" w:rsidRDefault="00511F74" w:rsidP="00B74B1C">
      <w:pPr>
        <w:pStyle w:val="Default"/>
        <w:spacing w:line="360" w:lineRule="auto"/>
        <w:ind w:firstLineChars="200" w:firstLine="480"/>
        <w:rPr>
          <w:rFonts w:ascii="Times New Roman" w:cs="Times New Roman"/>
          <w:color w:val="auto"/>
        </w:rPr>
      </w:pPr>
      <w:r w:rsidRPr="004323CD">
        <w:rPr>
          <w:rFonts w:hAnsi="宋体" w:hint="eastAsia"/>
        </w:rPr>
        <w:t>截至</w:t>
      </w:r>
      <w:r w:rsidR="00B3429B" w:rsidRPr="004323CD">
        <w:rPr>
          <w:rFonts w:hAnsi="宋体" w:hint="eastAsia"/>
        </w:rPr>
        <w:t>本基金清算报告期结束</w:t>
      </w:r>
      <w:r w:rsidR="00B3429B" w:rsidRPr="002A13A1">
        <w:rPr>
          <w:rFonts w:ascii="Times New Roman" w:cs="Times New Roman"/>
        </w:rPr>
        <w:t>日</w:t>
      </w:r>
      <w:r w:rsidR="00B8434D" w:rsidRPr="002A13A1">
        <w:rPr>
          <w:rFonts w:ascii="Times New Roman" w:cs="Times New Roman"/>
        </w:rPr>
        <w:t>202</w:t>
      </w:r>
      <w:r w:rsidR="007C4E29" w:rsidRPr="002A13A1">
        <w:rPr>
          <w:rFonts w:ascii="Times New Roman" w:cs="Times New Roman"/>
        </w:rPr>
        <w:t>4</w:t>
      </w:r>
      <w:r w:rsidR="00B8434D" w:rsidRPr="002A13A1">
        <w:rPr>
          <w:rFonts w:ascii="Times New Roman" w:cs="Times New Roman"/>
        </w:rPr>
        <w:t>年</w:t>
      </w:r>
      <w:r w:rsidR="00B8434D" w:rsidRPr="002A13A1">
        <w:rPr>
          <w:rFonts w:ascii="Times New Roman" w:cs="Times New Roman"/>
        </w:rPr>
        <w:t>1</w:t>
      </w:r>
      <w:r w:rsidR="00B8434D" w:rsidRPr="002A13A1">
        <w:rPr>
          <w:rFonts w:ascii="Times New Roman" w:cs="Times New Roman"/>
        </w:rPr>
        <w:t>月</w:t>
      </w:r>
      <w:r w:rsidR="0057726E" w:rsidRPr="002A13A1">
        <w:rPr>
          <w:rFonts w:ascii="Times New Roman" w:cs="Times New Roman"/>
        </w:rPr>
        <w:t>1</w:t>
      </w:r>
      <w:r w:rsidR="0057726E">
        <w:rPr>
          <w:rFonts w:ascii="Times New Roman" w:cs="Times New Roman"/>
        </w:rPr>
        <w:t>6</w:t>
      </w:r>
      <w:r w:rsidR="00B8434D" w:rsidRPr="002A13A1">
        <w:rPr>
          <w:rFonts w:ascii="Times New Roman" w:cs="Times New Roman"/>
        </w:rPr>
        <w:t>日</w:t>
      </w:r>
      <w:r w:rsidRPr="002A13A1">
        <w:rPr>
          <w:rFonts w:ascii="Times New Roman" w:cs="Times New Roman"/>
        </w:rPr>
        <w:t>，本</w:t>
      </w:r>
      <w:r w:rsidRPr="0010121A">
        <w:rPr>
          <w:rFonts w:hAnsi="宋体" w:hint="eastAsia"/>
        </w:rPr>
        <w:t>基金剩余</w:t>
      </w:r>
      <w:r w:rsidR="00E54CD1" w:rsidRPr="0010121A">
        <w:rPr>
          <w:rFonts w:hAnsi="宋体" w:hint="eastAsia"/>
        </w:rPr>
        <w:t>财</w:t>
      </w:r>
      <w:r w:rsidRPr="0010121A">
        <w:rPr>
          <w:rFonts w:hAnsi="宋体" w:hint="eastAsia"/>
        </w:rPr>
        <w:t>产为人民币</w:t>
      </w:r>
      <w:r w:rsidR="00304EC5" w:rsidRPr="00304EC5">
        <w:rPr>
          <w:rFonts w:ascii="Times New Roman" w:cs="Times New Roman"/>
        </w:rPr>
        <w:t>22,512,370.10</w:t>
      </w:r>
      <w:r w:rsidRPr="002A13A1">
        <w:rPr>
          <w:rFonts w:ascii="Times New Roman" w:cs="Times New Roman" w:hint="eastAsia"/>
        </w:rPr>
        <w:t>元。</w:t>
      </w:r>
      <w:r w:rsidR="00F41EE3" w:rsidRPr="002A13A1">
        <w:rPr>
          <w:rFonts w:ascii="Times New Roman" w:cs="Times New Roman" w:hint="eastAsia"/>
        </w:rPr>
        <w:t>自</w:t>
      </w:r>
      <w:r w:rsidR="007E17B5" w:rsidRPr="002A13A1">
        <w:rPr>
          <w:rFonts w:ascii="Times New Roman" w:cs="Times New Roman" w:hint="eastAsia"/>
        </w:rPr>
        <w:t>清算报告期结束日次日（</w:t>
      </w:r>
      <w:r w:rsidR="008F5299" w:rsidRPr="002A13A1">
        <w:rPr>
          <w:rFonts w:ascii="Times New Roman" w:cs="Times New Roman" w:hint="eastAsia"/>
        </w:rPr>
        <w:t>20</w:t>
      </w:r>
      <w:r w:rsidR="008F5299" w:rsidRPr="002A13A1">
        <w:rPr>
          <w:rFonts w:ascii="Times New Roman" w:cs="Times New Roman"/>
        </w:rPr>
        <w:t>2</w:t>
      </w:r>
      <w:r w:rsidR="007C4E29" w:rsidRPr="002A13A1">
        <w:rPr>
          <w:rFonts w:ascii="Times New Roman" w:cs="Times New Roman"/>
        </w:rPr>
        <w:t>4</w:t>
      </w:r>
      <w:r w:rsidR="003F1D92" w:rsidRPr="002A13A1">
        <w:rPr>
          <w:rFonts w:ascii="Times New Roman" w:cs="Times New Roman" w:hint="eastAsia"/>
        </w:rPr>
        <w:t>年</w:t>
      </w:r>
      <w:r w:rsidR="008F5299" w:rsidRPr="002A13A1">
        <w:rPr>
          <w:rFonts w:ascii="Times New Roman" w:cs="Times New Roman"/>
        </w:rPr>
        <w:t>1</w:t>
      </w:r>
      <w:r w:rsidR="003F1D92" w:rsidRPr="002A13A1">
        <w:rPr>
          <w:rFonts w:ascii="Times New Roman" w:cs="Times New Roman" w:hint="eastAsia"/>
        </w:rPr>
        <w:t>月</w:t>
      </w:r>
      <w:r w:rsidR="0057726E" w:rsidRPr="002A13A1">
        <w:rPr>
          <w:rFonts w:ascii="Times New Roman" w:cs="Times New Roman"/>
        </w:rPr>
        <w:t>1</w:t>
      </w:r>
      <w:r w:rsidR="0057726E">
        <w:rPr>
          <w:rFonts w:ascii="Times New Roman" w:cs="Times New Roman"/>
        </w:rPr>
        <w:t>7</w:t>
      </w:r>
      <w:r w:rsidR="00F41EE3" w:rsidRPr="002A13A1">
        <w:rPr>
          <w:rFonts w:ascii="Times New Roman" w:cs="Times New Roman" w:hint="eastAsia"/>
        </w:rPr>
        <w:t>日</w:t>
      </w:r>
      <w:r w:rsidR="007E17B5" w:rsidRPr="002A13A1">
        <w:rPr>
          <w:rFonts w:ascii="Times New Roman" w:cs="Times New Roman" w:hint="eastAsia"/>
        </w:rPr>
        <w:t>）</w:t>
      </w:r>
      <w:r w:rsidR="00F41EE3" w:rsidRPr="002A13A1">
        <w:rPr>
          <w:rFonts w:ascii="Times New Roman" w:cs="Times New Roman" w:hint="eastAsia"/>
        </w:rPr>
        <w:t>至</w:t>
      </w:r>
      <w:r w:rsidR="00903847" w:rsidRPr="002A13A1">
        <w:rPr>
          <w:rFonts w:ascii="Times New Roman" w:cs="Times New Roman" w:hint="eastAsia"/>
        </w:rPr>
        <w:t>本次</w:t>
      </w:r>
      <w:r w:rsidR="00F41EE3" w:rsidRPr="002A13A1">
        <w:rPr>
          <w:rFonts w:ascii="Times New Roman" w:cs="Times New Roman" w:hint="eastAsia"/>
        </w:rPr>
        <w:t>清算款划出前</w:t>
      </w:r>
      <w:r w:rsidR="00F41EE3" w:rsidRPr="00B74B1C">
        <w:rPr>
          <w:rFonts w:ascii="Times New Roman" w:cs="Times New Roman" w:hint="eastAsia"/>
          <w:color w:val="auto"/>
        </w:rPr>
        <w:t>一日的银行存款产生的</w:t>
      </w:r>
      <w:r w:rsidR="00EE4A3B" w:rsidRPr="00B74B1C">
        <w:rPr>
          <w:rFonts w:ascii="Times New Roman" w:cs="Times New Roman" w:hint="eastAsia"/>
          <w:color w:val="auto"/>
        </w:rPr>
        <w:t>利息亦</w:t>
      </w:r>
      <w:r w:rsidR="00D83393" w:rsidRPr="00B74B1C">
        <w:rPr>
          <w:rFonts w:ascii="Times New Roman" w:cs="Times New Roman" w:hint="eastAsia"/>
          <w:color w:val="auto"/>
        </w:rPr>
        <w:t>归</w:t>
      </w:r>
      <w:r w:rsidR="005B3529" w:rsidRPr="00B74B1C">
        <w:rPr>
          <w:rFonts w:ascii="Times New Roman" w:cs="Times New Roman" w:hint="eastAsia"/>
          <w:color w:val="auto"/>
        </w:rPr>
        <w:t>基金份额持有人所有。</w:t>
      </w:r>
    </w:p>
    <w:p w:rsidR="00B42CD6" w:rsidRPr="00B74B1C" w:rsidRDefault="0097630C" w:rsidP="00B74B1C">
      <w:pPr>
        <w:pStyle w:val="Default"/>
        <w:spacing w:line="360" w:lineRule="auto"/>
        <w:ind w:firstLineChars="200" w:firstLine="480"/>
        <w:rPr>
          <w:rFonts w:ascii="Times New Roman" w:cs="Times New Roman" w:hint="eastAsia"/>
          <w:color w:val="auto"/>
        </w:rPr>
      </w:pPr>
      <w:r w:rsidRPr="00B74B1C">
        <w:rPr>
          <w:rFonts w:ascii="Times New Roman" w:cs="Times New Roman" w:hint="eastAsia"/>
          <w:color w:val="auto"/>
        </w:rPr>
        <w:t>（六）</w:t>
      </w:r>
      <w:r w:rsidRPr="00B74B1C">
        <w:rPr>
          <w:rFonts w:ascii="Times New Roman" w:cs="Times New Roman"/>
          <w:color w:val="auto"/>
        </w:rPr>
        <w:t>基金清算报告的告知</w:t>
      </w:r>
      <w:r w:rsidR="00B11A3F" w:rsidRPr="00B74B1C">
        <w:rPr>
          <w:rFonts w:ascii="Times New Roman" w:cs="Times New Roman" w:hint="eastAsia"/>
          <w:color w:val="auto"/>
        </w:rPr>
        <w:t>及</w:t>
      </w:r>
      <w:r w:rsidR="006469C2" w:rsidRPr="00B74B1C">
        <w:rPr>
          <w:rFonts w:ascii="Times New Roman" w:cs="Times New Roman" w:hint="eastAsia"/>
          <w:color w:val="auto"/>
        </w:rPr>
        <w:t>剩余</w:t>
      </w:r>
      <w:r w:rsidR="00B11A3F" w:rsidRPr="00B74B1C">
        <w:rPr>
          <w:rFonts w:ascii="Times New Roman" w:cs="Times New Roman" w:hint="eastAsia"/>
          <w:color w:val="auto"/>
        </w:rPr>
        <w:t>财产分配</w:t>
      </w:r>
      <w:r w:rsidRPr="00B74B1C">
        <w:rPr>
          <w:rFonts w:ascii="Times New Roman" w:cs="Times New Roman"/>
          <w:color w:val="auto"/>
        </w:rPr>
        <w:t>安排</w:t>
      </w:r>
    </w:p>
    <w:p w:rsidR="0097630C" w:rsidRPr="00B74B1C" w:rsidRDefault="0097630C" w:rsidP="00B74B1C">
      <w:pPr>
        <w:pStyle w:val="Default"/>
        <w:spacing w:line="360" w:lineRule="auto"/>
        <w:ind w:firstLineChars="200" w:firstLine="480"/>
        <w:rPr>
          <w:rFonts w:ascii="Times New Roman" w:cs="Times New Roman" w:hint="eastAsia"/>
          <w:color w:val="auto"/>
        </w:rPr>
      </w:pPr>
      <w:r w:rsidRPr="00B74B1C">
        <w:rPr>
          <w:rFonts w:ascii="Times New Roman" w:cs="Times New Roman"/>
          <w:color w:val="auto"/>
        </w:rPr>
        <w:t>本清算报告</w:t>
      </w:r>
      <w:r w:rsidR="00F767D5" w:rsidRPr="00B74B1C">
        <w:rPr>
          <w:rFonts w:ascii="Times New Roman" w:cs="Times New Roman" w:hint="eastAsia"/>
          <w:color w:val="auto"/>
        </w:rPr>
        <w:t>已经基金托管人复核，</w:t>
      </w:r>
      <w:r w:rsidR="00323F33" w:rsidRPr="00B74B1C">
        <w:rPr>
          <w:rFonts w:ascii="Times New Roman" w:cs="Times New Roman" w:hint="eastAsia"/>
          <w:color w:val="auto"/>
        </w:rPr>
        <w:t>将</w:t>
      </w:r>
      <w:r w:rsidR="006469C2" w:rsidRPr="00B74B1C">
        <w:rPr>
          <w:rFonts w:ascii="Times New Roman" w:cs="Times New Roman" w:hint="eastAsia"/>
          <w:color w:val="auto"/>
        </w:rPr>
        <w:t>与会计师事务所出具的</w:t>
      </w:r>
      <w:r w:rsidR="00B4462A" w:rsidRPr="00B74B1C">
        <w:rPr>
          <w:rFonts w:ascii="Times New Roman" w:cs="Times New Roman" w:hint="eastAsia"/>
          <w:color w:val="auto"/>
        </w:rPr>
        <w:t>清算</w:t>
      </w:r>
      <w:r w:rsidR="006469C2" w:rsidRPr="00B74B1C">
        <w:rPr>
          <w:rFonts w:ascii="Times New Roman" w:cs="Times New Roman" w:hint="eastAsia"/>
          <w:color w:val="auto"/>
        </w:rPr>
        <w:t>审计报告、律师事务所出具的法律意见书一并</w:t>
      </w:r>
      <w:r w:rsidRPr="00B74B1C">
        <w:rPr>
          <w:rFonts w:ascii="Times New Roman" w:cs="Times New Roman"/>
          <w:color w:val="auto"/>
        </w:rPr>
        <w:t>报中国</w:t>
      </w:r>
      <w:r w:rsidR="007532E6" w:rsidRPr="00B74B1C">
        <w:rPr>
          <w:rFonts w:ascii="Times New Roman" w:cs="Times New Roman" w:hint="eastAsia"/>
          <w:color w:val="auto"/>
        </w:rPr>
        <w:t>证监会</w:t>
      </w:r>
      <w:r w:rsidRPr="00B74B1C">
        <w:rPr>
          <w:rFonts w:ascii="Times New Roman" w:cs="Times New Roman"/>
          <w:color w:val="auto"/>
        </w:rPr>
        <w:t>备案</w:t>
      </w:r>
      <w:r w:rsidRPr="00B74B1C">
        <w:rPr>
          <w:rFonts w:ascii="Times New Roman" w:cs="Times New Roman" w:hint="eastAsia"/>
          <w:color w:val="auto"/>
        </w:rPr>
        <w:t>后</w:t>
      </w:r>
      <w:r w:rsidRPr="00B74B1C">
        <w:rPr>
          <w:rFonts w:ascii="Times New Roman" w:cs="Times New Roman"/>
          <w:color w:val="auto"/>
        </w:rPr>
        <w:t>向基金份额持有人公告。</w:t>
      </w:r>
      <w:r w:rsidR="00F804E2" w:rsidRPr="00B74B1C">
        <w:rPr>
          <w:rFonts w:ascii="Times New Roman" w:cs="Times New Roman" w:hint="eastAsia"/>
          <w:color w:val="auto"/>
        </w:rPr>
        <w:t>清算报告公告后，基金管理人将遵照法律法规、基金合同等规定及时</w:t>
      </w:r>
      <w:r w:rsidR="00F804E2" w:rsidRPr="00B74B1C">
        <w:rPr>
          <w:rFonts w:ascii="Times New Roman" w:cs="Times New Roman"/>
          <w:color w:val="auto"/>
        </w:rPr>
        <w:t>进行</w:t>
      </w:r>
      <w:r w:rsidR="00F804E2" w:rsidRPr="00B74B1C">
        <w:rPr>
          <w:rFonts w:ascii="Times New Roman" w:cs="Times New Roman" w:hint="eastAsia"/>
          <w:color w:val="auto"/>
        </w:rPr>
        <w:t>剩余财产</w:t>
      </w:r>
      <w:r w:rsidR="00F804E2" w:rsidRPr="00B74B1C">
        <w:rPr>
          <w:rFonts w:ascii="Times New Roman" w:cs="Times New Roman"/>
          <w:color w:val="auto"/>
        </w:rPr>
        <w:t>分配</w:t>
      </w:r>
      <w:r w:rsidR="00F804E2" w:rsidRPr="00B74B1C">
        <w:rPr>
          <w:rFonts w:ascii="Times New Roman" w:cs="Times New Roman" w:hint="eastAsia"/>
          <w:color w:val="auto"/>
        </w:rPr>
        <w:t>。</w:t>
      </w:r>
    </w:p>
    <w:p w:rsidR="0097630C" w:rsidRPr="003E6510" w:rsidRDefault="0097630C" w:rsidP="003E6510">
      <w:pPr>
        <w:pStyle w:val="1"/>
        <w:spacing w:before="100" w:beforeAutospacing="1" w:after="100" w:afterAutospacing="1" w:line="360" w:lineRule="auto"/>
        <w:jc w:val="center"/>
        <w:rPr>
          <w:rStyle w:val="2CharCharChar"/>
          <w:rFonts w:ascii="Times New Roman" w:hAnsi="Times New Roman"/>
          <w:b/>
          <w:bCs w:val="0"/>
          <w:szCs w:val="24"/>
        </w:rPr>
      </w:pPr>
      <w:bookmarkStart w:id="7" w:name="_Toc447194472"/>
      <w:r w:rsidRPr="003E6510">
        <w:rPr>
          <w:rStyle w:val="2CharCharChar"/>
          <w:rFonts w:ascii="Times New Roman" w:hAnsi="Times New Roman" w:hint="eastAsia"/>
          <w:b/>
          <w:bCs w:val="0"/>
          <w:szCs w:val="24"/>
        </w:rPr>
        <w:t>五</w:t>
      </w:r>
      <w:r w:rsidRPr="003E6510">
        <w:rPr>
          <w:rStyle w:val="2CharCharChar"/>
          <w:rFonts w:ascii="Times New Roman" w:hAnsi="Times New Roman"/>
          <w:b/>
          <w:bCs w:val="0"/>
          <w:szCs w:val="24"/>
        </w:rPr>
        <w:t>、备查文件</w:t>
      </w:r>
      <w:bookmarkEnd w:id="7"/>
    </w:p>
    <w:p w:rsidR="0097630C" w:rsidRPr="0097630C" w:rsidRDefault="0097630C" w:rsidP="003E6510">
      <w:pPr>
        <w:overflowPunct w:val="0"/>
        <w:autoSpaceDE w:val="0"/>
        <w:autoSpaceDN w:val="0"/>
        <w:snapToGrid w:val="0"/>
        <w:spacing w:line="360" w:lineRule="auto"/>
        <w:ind w:leftChars="273" w:left="573" w:firstLineChars="200" w:firstLine="480"/>
        <w:rPr>
          <w:bCs/>
          <w:sz w:val="24"/>
        </w:rPr>
      </w:pPr>
      <w:r w:rsidRPr="0097630C">
        <w:rPr>
          <w:rFonts w:hAnsi="宋体"/>
          <w:bCs/>
          <w:sz w:val="24"/>
        </w:rPr>
        <w:t>（一）备查文件目录</w:t>
      </w:r>
      <w:r w:rsidRPr="0097630C">
        <w:rPr>
          <w:bCs/>
          <w:sz w:val="24"/>
        </w:rPr>
        <w:t xml:space="preserve"> </w:t>
      </w:r>
    </w:p>
    <w:p w:rsidR="0097630C" w:rsidRPr="0097630C" w:rsidRDefault="0097630C" w:rsidP="0097630C">
      <w:pPr>
        <w:overflowPunct w:val="0"/>
        <w:autoSpaceDE w:val="0"/>
        <w:autoSpaceDN w:val="0"/>
        <w:snapToGrid w:val="0"/>
        <w:spacing w:line="360" w:lineRule="auto"/>
        <w:ind w:leftChars="273" w:left="573" w:firstLineChars="200" w:firstLine="480"/>
        <w:rPr>
          <w:bCs/>
          <w:sz w:val="24"/>
        </w:rPr>
      </w:pPr>
      <w:r w:rsidRPr="0097630C">
        <w:rPr>
          <w:bCs/>
          <w:sz w:val="24"/>
        </w:rPr>
        <w:t>1</w:t>
      </w:r>
      <w:r w:rsidRPr="0097630C">
        <w:rPr>
          <w:bCs/>
          <w:sz w:val="24"/>
        </w:rPr>
        <w:t>、</w:t>
      </w:r>
      <w:r w:rsidR="00467FBE">
        <w:rPr>
          <w:rFonts w:hint="eastAsia"/>
          <w:bCs/>
          <w:sz w:val="24"/>
        </w:rPr>
        <w:t>《</w:t>
      </w:r>
      <w:r w:rsidR="0040404B">
        <w:rPr>
          <w:bCs/>
          <w:sz w:val="24"/>
        </w:rPr>
        <w:t>华夏粤港澳大湾区创新</w:t>
      </w:r>
      <w:r w:rsidR="0040404B">
        <w:rPr>
          <w:bCs/>
          <w:sz w:val="24"/>
        </w:rPr>
        <w:t>100</w:t>
      </w:r>
      <w:r w:rsidR="0040404B">
        <w:rPr>
          <w:bCs/>
          <w:sz w:val="24"/>
        </w:rPr>
        <w:t>交易型开放式指数证券投资基金</w:t>
      </w:r>
      <w:r w:rsidR="005E08EC">
        <w:rPr>
          <w:rFonts w:hint="eastAsia"/>
          <w:bCs/>
          <w:sz w:val="24"/>
        </w:rPr>
        <w:t>2</w:t>
      </w:r>
      <w:r w:rsidR="005E08EC">
        <w:rPr>
          <w:bCs/>
          <w:sz w:val="24"/>
        </w:rPr>
        <w:t>02</w:t>
      </w:r>
      <w:r w:rsidR="007C4E29">
        <w:rPr>
          <w:bCs/>
          <w:sz w:val="24"/>
        </w:rPr>
        <w:t>3</w:t>
      </w:r>
      <w:r w:rsidR="003F1D92">
        <w:rPr>
          <w:rFonts w:hint="eastAsia"/>
          <w:bCs/>
          <w:sz w:val="24"/>
        </w:rPr>
        <w:t>年</w:t>
      </w:r>
      <w:r w:rsidR="003F1D92">
        <w:rPr>
          <w:rFonts w:hint="eastAsia"/>
          <w:bCs/>
          <w:sz w:val="24"/>
        </w:rPr>
        <w:t>1</w:t>
      </w:r>
      <w:r w:rsidR="003F1D92">
        <w:rPr>
          <w:rFonts w:hint="eastAsia"/>
          <w:bCs/>
          <w:sz w:val="24"/>
        </w:rPr>
        <w:t>月</w:t>
      </w:r>
      <w:r w:rsidR="003F1D92">
        <w:rPr>
          <w:rFonts w:hint="eastAsia"/>
          <w:bCs/>
          <w:sz w:val="24"/>
        </w:rPr>
        <w:t>1</w:t>
      </w:r>
      <w:r w:rsidR="003F1D92">
        <w:rPr>
          <w:rFonts w:hint="eastAsia"/>
          <w:bCs/>
          <w:sz w:val="24"/>
        </w:rPr>
        <w:t>日至</w:t>
      </w:r>
      <w:r w:rsidR="005E08EC">
        <w:rPr>
          <w:rFonts w:hint="eastAsia"/>
          <w:bCs/>
          <w:sz w:val="24"/>
        </w:rPr>
        <w:t>202</w:t>
      </w:r>
      <w:r w:rsidR="007C4E29">
        <w:rPr>
          <w:bCs/>
          <w:sz w:val="24"/>
        </w:rPr>
        <w:t>3</w:t>
      </w:r>
      <w:r w:rsidR="005E08EC">
        <w:rPr>
          <w:rFonts w:hint="eastAsia"/>
          <w:bCs/>
          <w:sz w:val="24"/>
        </w:rPr>
        <w:t>年</w:t>
      </w:r>
      <w:r w:rsidR="005E08EC">
        <w:rPr>
          <w:rFonts w:hint="eastAsia"/>
          <w:bCs/>
          <w:sz w:val="24"/>
        </w:rPr>
        <w:t>1</w:t>
      </w:r>
      <w:r w:rsidR="007C4E29">
        <w:rPr>
          <w:bCs/>
          <w:sz w:val="24"/>
        </w:rPr>
        <w:t>2</w:t>
      </w:r>
      <w:r w:rsidR="005E08EC">
        <w:rPr>
          <w:rFonts w:hint="eastAsia"/>
          <w:bCs/>
          <w:sz w:val="24"/>
        </w:rPr>
        <w:t>月</w:t>
      </w:r>
      <w:r w:rsidR="005E08EC">
        <w:rPr>
          <w:rFonts w:hint="eastAsia"/>
          <w:bCs/>
          <w:sz w:val="24"/>
        </w:rPr>
        <w:t>2</w:t>
      </w:r>
      <w:r w:rsidR="007C4E29">
        <w:rPr>
          <w:bCs/>
          <w:sz w:val="24"/>
        </w:rPr>
        <w:t>7</w:t>
      </w:r>
      <w:r w:rsidR="005E08EC">
        <w:rPr>
          <w:rFonts w:hint="eastAsia"/>
          <w:bCs/>
          <w:sz w:val="24"/>
        </w:rPr>
        <w:t>日</w:t>
      </w:r>
      <w:r w:rsidR="003F1D92">
        <w:rPr>
          <w:rFonts w:hint="eastAsia"/>
          <w:bCs/>
          <w:sz w:val="24"/>
        </w:rPr>
        <w:t>（基金最后运作日）止期间的财务报表及审计报告</w:t>
      </w:r>
      <w:r w:rsidR="00467FBE">
        <w:rPr>
          <w:rFonts w:hint="eastAsia"/>
          <w:bCs/>
          <w:sz w:val="24"/>
        </w:rPr>
        <w:t>》</w:t>
      </w:r>
    </w:p>
    <w:p w:rsidR="0097630C" w:rsidRPr="0097630C" w:rsidRDefault="0097630C" w:rsidP="0097630C">
      <w:pPr>
        <w:overflowPunct w:val="0"/>
        <w:autoSpaceDE w:val="0"/>
        <w:autoSpaceDN w:val="0"/>
        <w:snapToGrid w:val="0"/>
        <w:spacing w:line="360" w:lineRule="auto"/>
        <w:ind w:leftChars="273" w:left="573" w:firstLineChars="200" w:firstLine="480"/>
        <w:rPr>
          <w:bCs/>
          <w:sz w:val="24"/>
        </w:rPr>
      </w:pPr>
      <w:r w:rsidRPr="0097630C">
        <w:rPr>
          <w:bCs/>
          <w:sz w:val="24"/>
        </w:rPr>
        <w:t>2</w:t>
      </w:r>
      <w:r w:rsidRPr="0097630C">
        <w:rPr>
          <w:bCs/>
          <w:sz w:val="24"/>
        </w:rPr>
        <w:t>、</w:t>
      </w:r>
      <w:r w:rsidR="002D19D6" w:rsidRPr="00030D26">
        <w:rPr>
          <w:rFonts w:hint="eastAsia"/>
          <w:bCs/>
          <w:sz w:val="24"/>
        </w:rPr>
        <w:t>《</w:t>
      </w:r>
      <w:r w:rsidR="0040404B">
        <w:rPr>
          <w:rFonts w:hint="eastAsia"/>
          <w:bCs/>
          <w:sz w:val="24"/>
        </w:rPr>
        <w:t>华夏粤港澳大湾区创新</w:t>
      </w:r>
      <w:r w:rsidR="0040404B">
        <w:rPr>
          <w:rFonts w:hint="eastAsia"/>
          <w:bCs/>
          <w:sz w:val="24"/>
        </w:rPr>
        <w:t>100</w:t>
      </w:r>
      <w:r w:rsidR="0040404B">
        <w:rPr>
          <w:rFonts w:hint="eastAsia"/>
          <w:bCs/>
          <w:sz w:val="24"/>
        </w:rPr>
        <w:t>交易型开放式指数证券投资基金</w:t>
      </w:r>
      <w:r w:rsidR="00A51889" w:rsidRPr="00A51889">
        <w:rPr>
          <w:rFonts w:hint="eastAsia"/>
          <w:bCs/>
          <w:sz w:val="24"/>
        </w:rPr>
        <w:t>清算的法律意见</w:t>
      </w:r>
      <w:r w:rsidR="002D19D6" w:rsidRPr="00030D26">
        <w:rPr>
          <w:rFonts w:hint="eastAsia"/>
          <w:bCs/>
          <w:sz w:val="24"/>
        </w:rPr>
        <w:t>》</w:t>
      </w:r>
    </w:p>
    <w:p w:rsidR="0097630C" w:rsidRPr="0097630C" w:rsidRDefault="0097630C" w:rsidP="009170EE">
      <w:pPr>
        <w:overflowPunct w:val="0"/>
        <w:autoSpaceDE w:val="0"/>
        <w:autoSpaceDN w:val="0"/>
        <w:snapToGrid w:val="0"/>
        <w:spacing w:line="360" w:lineRule="auto"/>
        <w:ind w:leftChars="273" w:left="573" w:firstLineChars="200" w:firstLine="480"/>
        <w:rPr>
          <w:bCs/>
          <w:sz w:val="24"/>
        </w:rPr>
      </w:pPr>
      <w:r w:rsidRPr="0097630C">
        <w:rPr>
          <w:bCs/>
          <w:sz w:val="24"/>
        </w:rPr>
        <w:t>（二）存放地点</w:t>
      </w:r>
    </w:p>
    <w:p w:rsidR="0097630C" w:rsidRPr="0097630C" w:rsidRDefault="0097630C" w:rsidP="0097630C">
      <w:pPr>
        <w:overflowPunct w:val="0"/>
        <w:autoSpaceDE w:val="0"/>
        <w:autoSpaceDN w:val="0"/>
        <w:snapToGrid w:val="0"/>
        <w:spacing w:line="360" w:lineRule="auto"/>
        <w:ind w:leftChars="273" w:left="573" w:firstLineChars="200" w:firstLine="480"/>
        <w:rPr>
          <w:bCs/>
          <w:sz w:val="24"/>
        </w:rPr>
      </w:pPr>
      <w:r w:rsidRPr="002831CE">
        <w:rPr>
          <w:bCs/>
          <w:sz w:val="24"/>
        </w:rPr>
        <w:t>备查文件存放于基金管理人</w:t>
      </w:r>
      <w:r w:rsidR="00E764F1">
        <w:rPr>
          <w:rFonts w:hint="eastAsia"/>
          <w:bCs/>
          <w:sz w:val="24"/>
        </w:rPr>
        <w:t>、基金托管人</w:t>
      </w:r>
      <w:r w:rsidRPr="002831CE">
        <w:rPr>
          <w:bCs/>
          <w:sz w:val="24"/>
        </w:rPr>
        <w:t>处。</w:t>
      </w:r>
    </w:p>
    <w:p w:rsidR="0097630C" w:rsidRPr="0097630C" w:rsidRDefault="0097630C" w:rsidP="0097630C">
      <w:pPr>
        <w:overflowPunct w:val="0"/>
        <w:autoSpaceDE w:val="0"/>
        <w:autoSpaceDN w:val="0"/>
        <w:snapToGrid w:val="0"/>
        <w:spacing w:line="360" w:lineRule="auto"/>
        <w:ind w:leftChars="273" w:left="573" w:firstLineChars="200" w:firstLine="480"/>
        <w:rPr>
          <w:rFonts w:hAnsi="宋体"/>
          <w:bCs/>
          <w:sz w:val="24"/>
        </w:rPr>
      </w:pPr>
      <w:r w:rsidRPr="0097630C">
        <w:rPr>
          <w:rFonts w:hAnsi="宋体"/>
          <w:bCs/>
          <w:sz w:val="24"/>
        </w:rPr>
        <w:t>（三）查阅方式</w:t>
      </w:r>
    </w:p>
    <w:p w:rsidR="0097630C" w:rsidRPr="0097630C" w:rsidRDefault="0097630C" w:rsidP="0097630C">
      <w:pPr>
        <w:overflowPunct w:val="0"/>
        <w:autoSpaceDE w:val="0"/>
        <w:autoSpaceDN w:val="0"/>
        <w:snapToGrid w:val="0"/>
        <w:spacing w:line="360" w:lineRule="auto"/>
        <w:ind w:leftChars="273" w:left="573" w:firstLineChars="200" w:firstLine="480"/>
        <w:rPr>
          <w:rFonts w:hAnsi="宋体"/>
          <w:bCs/>
          <w:sz w:val="24"/>
        </w:rPr>
      </w:pPr>
      <w:r w:rsidRPr="0097630C">
        <w:rPr>
          <w:rFonts w:hAnsi="宋体"/>
          <w:bCs/>
          <w:sz w:val="24"/>
        </w:rPr>
        <w:t>投资者可在营业时间免费查阅备查文件。</w:t>
      </w:r>
    </w:p>
    <w:p w:rsidR="00C77D73" w:rsidRDefault="00C77D73" w:rsidP="00C77D73">
      <w:pPr>
        <w:spacing w:line="360" w:lineRule="auto"/>
        <w:jc w:val="right"/>
        <w:rPr>
          <w:rFonts w:hAnsi="宋体"/>
          <w:color w:val="000000"/>
          <w:sz w:val="24"/>
        </w:rPr>
      </w:pPr>
    </w:p>
    <w:p w:rsidR="00C77D73" w:rsidRDefault="00C77D73" w:rsidP="00C77D73">
      <w:pPr>
        <w:spacing w:line="360" w:lineRule="auto"/>
        <w:jc w:val="right"/>
        <w:rPr>
          <w:rFonts w:hAnsi="宋体"/>
          <w:color w:val="000000"/>
          <w:sz w:val="24"/>
        </w:rPr>
      </w:pPr>
    </w:p>
    <w:p w:rsidR="00597D5D" w:rsidRDefault="0040404B" w:rsidP="00C77D73">
      <w:pPr>
        <w:spacing w:line="360" w:lineRule="auto"/>
        <w:jc w:val="right"/>
        <w:rPr>
          <w:rFonts w:hAnsi="宋体"/>
          <w:sz w:val="24"/>
        </w:rPr>
      </w:pPr>
      <w:r>
        <w:rPr>
          <w:rFonts w:hAnsi="宋体" w:hint="eastAsia"/>
          <w:sz w:val="24"/>
        </w:rPr>
        <w:t>华夏粤港澳大湾区创新</w:t>
      </w:r>
      <w:r>
        <w:rPr>
          <w:rFonts w:hAnsi="宋体" w:hint="eastAsia"/>
          <w:sz w:val="24"/>
        </w:rPr>
        <w:t>100</w:t>
      </w:r>
      <w:r>
        <w:rPr>
          <w:rFonts w:hAnsi="宋体" w:hint="eastAsia"/>
          <w:sz w:val="24"/>
        </w:rPr>
        <w:t>交易型开放式指数证券投资基金</w:t>
      </w:r>
    </w:p>
    <w:p w:rsidR="00C77D73" w:rsidRPr="00D4616B" w:rsidRDefault="00BD1540" w:rsidP="00C77D73">
      <w:pPr>
        <w:spacing w:line="360" w:lineRule="auto"/>
        <w:jc w:val="right"/>
        <w:rPr>
          <w:sz w:val="24"/>
        </w:rPr>
      </w:pPr>
      <w:r>
        <w:rPr>
          <w:rFonts w:hAnsi="宋体" w:hint="eastAsia"/>
          <w:sz w:val="24"/>
        </w:rPr>
        <w:t>基金财产清算组</w:t>
      </w:r>
    </w:p>
    <w:p w:rsidR="002E2E3D" w:rsidRPr="00366482" w:rsidRDefault="00C77D73" w:rsidP="00366482">
      <w:pPr>
        <w:spacing w:line="360" w:lineRule="auto"/>
        <w:ind w:firstLineChars="215" w:firstLine="516"/>
        <w:jc w:val="right"/>
      </w:pPr>
      <w:r w:rsidRPr="00171FCC">
        <w:rPr>
          <w:kern w:val="0"/>
          <w:sz w:val="24"/>
        </w:rPr>
        <w:t>二〇</w:t>
      </w:r>
      <w:r w:rsidR="00597D5D">
        <w:rPr>
          <w:rFonts w:hint="eastAsia"/>
          <w:kern w:val="0"/>
          <w:sz w:val="24"/>
        </w:rPr>
        <w:t>二</w:t>
      </w:r>
      <w:r w:rsidR="008473F7">
        <w:rPr>
          <w:rFonts w:hint="eastAsia"/>
          <w:kern w:val="0"/>
          <w:sz w:val="24"/>
        </w:rPr>
        <w:t>四</w:t>
      </w:r>
      <w:r w:rsidRPr="00DB3888">
        <w:rPr>
          <w:rFonts w:hint="eastAsia"/>
          <w:sz w:val="24"/>
        </w:rPr>
        <w:t>年</w:t>
      </w:r>
      <w:r w:rsidR="00821AEA" w:rsidRPr="00E5062D">
        <w:rPr>
          <w:rFonts w:hAnsi="宋体" w:hint="eastAsia"/>
          <w:sz w:val="24"/>
        </w:rPr>
        <w:t>一</w:t>
      </w:r>
      <w:r w:rsidRPr="00DB3888">
        <w:rPr>
          <w:rFonts w:hAnsi="宋体"/>
          <w:sz w:val="24"/>
        </w:rPr>
        <w:t>月</w:t>
      </w:r>
      <w:r w:rsidR="00DB3888" w:rsidRPr="00E5062D">
        <w:rPr>
          <w:rFonts w:hAnsi="宋体" w:hint="eastAsia"/>
          <w:sz w:val="24"/>
        </w:rPr>
        <w:t>十</w:t>
      </w:r>
      <w:r w:rsidR="008473F7">
        <w:rPr>
          <w:rFonts w:hAnsi="宋体" w:hint="eastAsia"/>
          <w:sz w:val="24"/>
        </w:rPr>
        <w:t>八</w:t>
      </w:r>
      <w:r w:rsidRPr="00DB3888">
        <w:rPr>
          <w:rFonts w:hAnsi="宋体"/>
          <w:sz w:val="24"/>
        </w:rPr>
        <w:t>日</w:t>
      </w:r>
    </w:p>
    <w:sectPr w:rsidR="002E2E3D" w:rsidRPr="00366482" w:rsidSect="003E6510">
      <w:headerReference w:type="even" r:id="rId7"/>
      <w:headerReference w:type="default" r:id="rId8"/>
      <w:footerReference w:type="even" r:id="rId9"/>
      <w:footerReference w:type="default" r:id="rId10"/>
      <w:headerReference w:type="first" r:id="rId11"/>
      <w:footerReference w:type="first" r:id="rId12"/>
      <w:pgSz w:w="11906" w:h="16838"/>
      <w:pgMar w:top="1247" w:right="1435" w:bottom="1247" w:left="1418" w:header="85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8F" w:rsidRDefault="00F96B8F">
      <w:r>
        <w:separator/>
      </w:r>
    </w:p>
  </w:endnote>
  <w:endnote w:type="continuationSeparator" w:id="0">
    <w:p w:rsidR="00F96B8F" w:rsidRDefault="00F96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等线">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5B" w:rsidRDefault="00FC4A5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32" w:rsidRDefault="00224E32">
    <w:pPr>
      <w:pStyle w:val="a9"/>
      <w:jc w:val="center"/>
    </w:pPr>
    <w:fldSimple w:instr=" PAGE   \* MERGEFORMAT ">
      <w:r w:rsidR="000434AD" w:rsidRPr="000434AD">
        <w:rPr>
          <w:noProof/>
          <w:lang w:val="zh-CN"/>
        </w:rPr>
        <w:t>2</w:t>
      </w:r>
    </w:fldSimple>
  </w:p>
  <w:p w:rsidR="00224E32" w:rsidRDefault="00224E3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5B" w:rsidRDefault="00FC4A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8F" w:rsidRDefault="00F96B8F">
      <w:r>
        <w:separator/>
      </w:r>
    </w:p>
  </w:footnote>
  <w:footnote w:type="continuationSeparator" w:id="0">
    <w:p w:rsidR="00F96B8F" w:rsidRDefault="00F96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5B" w:rsidRDefault="00FC4A5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32" w:rsidRPr="003E6510" w:rsidRDefault="00224E32" w:rsidP="003E6510">
    <w:pPr>
      <w:pStyle w:val="a8"/>
      <w:pBdr>
        <w:bottom w:val="single" w:sz="4" w:space="1" w:color="auto"/>
      </w:pBdr>
      <w:jc w:val="right"/>
      <w:rPr>
        <w:rFonts w:ascii="Arial" w:eastAsia="黑体" w:hAnsi="Arial" w:cs="Arial"/>
        <w:sz w:val="18"/>
        <w:szCs w:val="18"/>
      </w:rPr>
    </w:pPr>
    <w:r>
      <w:rPr>
        <w:rFonts w:hAnsi="宋体"/>
        <w:bCs/>
        <w:color w:val="000000"/>
        <w:sz w:val="18"/>
        <w:szCs w:val="18"/>
      </w:rPr>
      <w:t>华夏粤港澳大湾区创新</w:t>
    </w:r>
    <w:r>
      <w:rPr>
        <w:rFonts w:hAnsi="宋体"/>
        <w:bCs/>
        <w:color w:val="000000"/>
        <w:sz w:val="18"/>
        <w:szCs w:val="18"/>
      </w:rPr>
      <w:t>100</w:t>
    </w:r>
    <w:r>
      <w:rPr>
        <w:rFonts w:hAnsi="宋体"/>
        <w:bCs/>
        <w:color w:val="000000"/>
        <w:sz w:val="18"/>
        <w:szCs w:val="18"/>
      </w:rPr>
      <w:t>交易型开放式指数证券投资基金</w:t>
    </w:r>
    <w:r w:rsidRPr="003E6510">
      <w:rPr>
        <w:rFonts w:hAnsi="宋体" w:hint="eastAsia"/>
        <w:bCs/>
        <w:color w:val="000000"/>
        <w:sz w:val="18"/>
        <w:szCs w:val="18"/>
        <w:lang w:eastAsia="zh-CN"/>
      </w:rPr>
      <w:t>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5B" w:rsidRDefault="00FC4A5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B0C49"/>
    <w:multiLevelType w:val="hybridMultilevel"/>
    <w:tmpl w:val="F3A2132A"/>
    <w:lvl w:ilvl="0" w:tplc="A96E6152">
      <w:start w:val="1"/>
      <w:numFmt w:val="decimal"/>
      <w:lvlText w:val="（%1）"/>
      <w:lvlJc w:val="left"/>
      <w:pPr>
        <w:ind w:left="987" w:hanging="420"/>
      </w:pPr>
      <w:rPr>
        <w:b w:val="0"/>
      </w:r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1">
    <w:nsid w:val="54771D3A"/>
    <w:multiLevelType w:val="hybridMultilevel"/>
    <w:tmpl w:val="2332A876"/>
    <w:lvl w:ilvl="0" w:tplc="3C585D78">
      <w:start w:val="1"/>
      <w:numFmt w:val="japaneseCounting"/>
      <w:lvlText w:val="%1、"/>
      <w:lvlJc w:val="left"/>
      <w:pPr>
        <w:ind w:left="720" w:hanging="720"/>
      </w:pPr>
      <w:rPr>
        <w:rFonts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B5251B"/>
    <w:multiLevelType w:val="singleLevel"/>
    <w:tmpl w:val="54B5251B"/>
    <w:lvl w:ilvl="0">
      <w:start w:val="7"/>
      <w:numFmt w:val="decimal"/>
      <w:lvlText w:val="(%1)"/>
      <w:lvlJc w:val="left"/>
    </w:lvl>
  </w:abstractNum>
  <w:abstractNum w:abstractNumId="3">
    <w:nsid w:val="5C1B4DBB"/>
    <w:multiLevelType w:val="hybridMultilevel"/>
    <w:tmpl w:val="408E01E8"/>
    <w:lvl w:ilvl="0" w:tplc="B6F8FA4E">
      <w:start w:val="1"/>
      <w:numFmt w:val="decimal"/>
      <w:lvlText w:val="%1、"/>
      <w:lvlJc w:val="left"/>
      <w:pPr>
        <w:ind w:left="720" w:hanging="360"/>
      </w:pPr>
      <w:rPr>
        <w:rFonts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63E93B4B"/>
    <w:multiLevelType w:val="hybridMultilevel"/>
    <w:tmpl w:val="614037FC"/>
    <w:lvl w:ilvl="0" w:tplc="5AD2A278">
      <w:start w:val="1"/>
      <w:numFmt w:val="decimal"/>
      <w:lvlText w:val="%1、"/>
      <w:lvlJc w:val="left"/>
      <w:pPr>
        <w:ind w:left="1080" w:hanging="360"/>
      </w:pPr>
      <w:rPr>
        <w:rFonts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66BD30A5"/>
    <w:multiLevelType w:val="multilevel"/>
    <w:tmpl w:val="66BD30A5"/>
    <w:lvl w:ilvl="0">
      <w:start w:val="1"/>
      <w:numFmt w:val="decimal"/>
      <w:lvlText w:val="(%1)"/>
      <w:lvlJc w:val="left"/>
      <w:pPr>
        <w:ind w:left="1069" w:hanging="360"/>
      </w:pPr>
      <w:rPr>
        <w:rFonts w:ascii="Aria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693677FB"/>
    <w:multiLevelType w:val="hybridMultilevel"/>
    <w:tmpl w:val="6ACEFD5A"/>
    <w:lvl w:ilvl="0" w:tplc="A3E04870">
      <w:start w:val="1"/>
      <w:numFmt w:val="japaneseCounting"/>
      <w:lvlText w:val="%1、"/>
      <w:lvlJc w:val="left"/>
      <w:pPr>
        <w:ind w:left="580" w:hanging="5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1355E9"/>
    <w:multiLevelType w:val="hybridMultilevel"/>
    <w:tmpl w:val="453EE5BC"/>
    <w:lvl w:ilvl="0" w:tplc="B69891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6"/>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oNotTrackMoves/>
  <w:defaultTabStop w:val="720"/>
  <w:drawingGridHorizontalSpacing w:val="105"/>
  <w:drawingGridVerticalSpacing w:val="6"/>
  <w:displayHorizontalDrawingGridEvery w:val="2"/>
  <w:characterSpacingControl w:val="doNotCompress"/>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0CFF"/>
    <w:rsid w:val="0000061E"/>
    <w:rsid w:val="00000A38"/>
    <w:rsid w:val="00001CA7"/>
    <w:rsid w:val="00001D19"/>
    <w:rsid w:val="00001E37"/>
    <w:rsid w:val="000020D6"/>
    <w:rsid w:val="00002FA1"/>
    <w:rsid w:val="000032C8"/>
    <w:rsid w:val="000048BD"/>
    <w:rsid w:val="00004B67"/>
    <w:rsid w:val="00005DF8"/>
    <w:rsid w:val="000066C0"/>
    <w:rsid w:val="00006CC1"/>
    <w:rsid w:val="00006D30"/>
    <w:rsid w:val="00006D6C"/>
    <w:rsid w:val="000072B4"/>
    <w:rsid w:val="00007680"/>
    <w:rsid w:val="00007AB5"/>
    <w:rsid w:val="00007DC6"/>
    <w:rsid w:val="00010BD2"/>
    <w:rsid w:val="0001137F"/>
    <w:rsid w:val="00011BF9"/>
    <w:rsid w:val="000120E6"/>
    <w:rsid w:val="00012A65"/>
    <w:rsid w:val="00012BA8"/>
    <w:rsid w:val="00012FCA"/>
    <w:rsid w:val="00014C63"/>
    <w:rsid w:val="00015008"/>
    <w:rsid w:val="00016C36"/>
    <w:rsid w:val="00017D6B"/>
    <w:rsid w:val="00020343"/>
    <w:rsid w:val="00020526"/>
    <w:rsid w:val="00020C40"/>
    <w:rsid w:val="00020CD3"/>
    <w:rsid w:val="0002189E"/>
    <w:rsid w:val="00021B0A"/>
    <w:rsid w:val="00021D40"/>
    <w:rsid w:val="00021E88"/>
    <w:rsid w:val="0002272D"/>
    <w:rsid w:val="00022E2E"/>
    <w:rsid w:val="00023390"/>
    <w:rsid w:val="00023FFB"/>
    <w:rsid w:val="000244FC"/>
    <w:rsid w:val="00024A0A"/>
    <w:rsid w:val="00025292"/>
    <w:rsid w:val="000254D4"/>
    <w:rsid w:val="00026022"/>
    <w:rsid w:val="0002669C"/>
    <w:rsid w:val="000269A5"/>
    <w:rsid w:val="00027D40"/>
    <w:rsid w:val="00030891"/>
    <w:rsid w:val="00030FFF"/>
    <w:rsid w:val="000310D3"/>
    <w:rsid w:val="00031419"/>
    <w:rsid w:val="000314E0"/>
    <w:rsid w:val="00031826"/>
    <w:rsid w:val="00031BC8"/>
    <w:rsid w:val="00031F26"/>
    <w:rsid w:val="00031F9F"/>
    <w:rsid w:val="000320E5"/>
    <w:rsid w:val="00032896"/>
    <w:rsid w:val="00032968"/>
    <w:rsid w:val="00032E93"/>
    <w:rsid w:val="00032F4E"/>
    <w:rsid w:val="00034281"/>
    <w:rsid w:val="0003434C"/>
    <w:rsid w:val="00034449"/>
    <w:rsid w:val="00034716"/>
    <w:rsid w:val="00034D38"/>
    <w:rsid w:val="00034D77"/>
    <w:rsid w:val="00036062"/>
    <w:rsid w:val="00036765"/>
    <w:rsid w:val="000369F9"/>
    <w:rsid w:val="00036E5B"/>
    <w:rsid w:val="00036E69"/>
    <w:rsid w:val="000371F0"/>
    <w:rsid w:val="00037D37"/>
    <w:rsid w:val="00037ED0"/>
    <w:rsid w:val="00037EFC"/>
    <w:rsid w:val="000401D1"/>
    <w:rsid w:val="0004152B"/>
    <w:rsid w:val="00042232"/>
    <w:rsid w:val="0004236A"/>
    <w:rsid w:val="00042669"/>
    <w:rsid w:val="00042E3C"/>
    <w:rsid w:val="0004329B"/>
    <w:rsid w:val="000434AD"/>
    <w:rsid w:val="000437DF"/>
    <w:rsid w:val="000443FE"/>
    <w:rsid w:val="000464D7"/>
    <w:rsid w:val="00046C18"/>
    <w:rsid w:val="00046C8E"/>
    <w:rsid w:val="0004700B"/>
    <w:rsid w:val="000472B7"/>
    <w:rsid w:val="00047527"/>
    <w:rsid w:val="0004797C"/>
    <w:rsid w:val="00047E14"/>
    <w:rsid w:val="00047F5B"/>
    <w:rsid w:val="00050A85"/>
    <w:rsid w:val="00051A5D"/>
    <w:rsid w:val="000527E7"/>
    <w:rsid w:val="00052D32"/>
    <w:rsid w:val="00052E2B"/>
    <w:rsid w:val="0005311D"/>
    <w:rsid w:val="000533A1"/>
    <w:rsid w:val="0005437E"/>
    <w:rsid w:val="00055402"/>
    <w:rsid w:val="00055BDC"/>
    <w:rsid w:val="000571E6"/>
    <w:rsid w:val="000577DE"/>
    <w:rsid w:val="00057973"/>
    <w:rsid w:val="000602E4"/>
    <w:rsid w:val="00060881"/>
    <w:rsid w:val="00060C0C"/>
    <w:rsid w:val="000617D7"/>
    <w:rsid w:val="0006246B"/>
    <w:rsid w:val="0006388B"/>
    <w:rsid w:val="00063B84"/>
    <w:rsid w:val="00063DD2"/>
    <w:rsid w:val="00063EC4"/>
    <w:rsid w:val="00064170"/>
    <w:rsid w:val="000641B2"/>
    <w:rsid w:val="00064766"/>
    <w:rsid w:val="00064858"/>
    <w:rsid w:val="00064FD2"/>
    <w:rsid w:val="000650F0"/>
    <w:rsid w:val="000657E7"/>
    <w:rsid w:val="00065C7B"/>
    <w:rsid w:val="00066E03"/>
    <w:rsid w:val="0006718A"/>
    <w:rsid w:val="00067394"/>
    <w:rsid w:val="000674FC"/>
    <w:rsid w:val="000678C4"/>
    <w:rsid w:val="00067901"/>
    <w:rsid w:val="000704B5"/>
    <w:rsid w:val="0007069C"/>
    <w:rsid w:val="0007095B"/>
    <w:rsid w:val="000716A0"/>
    <w:rsid w:val="000719B6"/>
    <w:rsid w:val="000725AB"/>
    <w:rsid w:val="000734EC"/>
    <w:rsid w:val="00073D4F"/>
    <w:rsid w:val="000740B2"/>
    <w:rsid w:val="000746F3"/>
    <w:rsid w:val="00075002"/>
    <w:rsid w:val="000754D7"/>
    <w:rsid w:val="00075892"/>
    <w:rsid w:val="00076D57"/>
    <w:rsid w:val="00077822"/>
    <w:rsid w:val="00077EFF"/>
    <w:rsid w:val="000808CD"/>
    <w:rsid w:val="0008130B"/>
    <w:rsid w:val="000824E5"/>
    <w:rsid w:val="00082F12"/>
    <w:rsid w:val="00083782"/>
    <w:rsid w:val="00083820"/>
    <w:rsid w:val="000838DE"/>
    <w:rsid w:val="00083D40"/>
    <w:rsid w:val="0008453A"/>
    <w:rsid w:val="000846EE"/>
    <w:rsid w:val="00084F78"/>
    <w:rsid w:val="00085ECE"/>
    <w:rsid w:val="000860CB"/>
    <w:rsid w:val="000864C5"/>
    <w:rsid w:val="00086893"/>
    <w:rsid w:val="000877CE"/>
    <w:rsid w:val="000900BC"/>
    <w:rsid w:val="00090C4B"/>
    <w:rsid w:val="00092322"/>
    <w:rsid w:val="0009329F"/>
    <w:rsid w:val="0009347F"/>
    <w:rsid w:val="000936A0"/>
    <w:rsid w:val="00093BD0"/>
    <w:rsid w:val="000940DF"/>
    <w:rsid w:val="00094B25"/>
    <w:rsid w:val="00096284"/>
    <w:rsid w:val="00096430"/>
    <w:rsid w:val="0009696F"/>
    <w:rsid w:val="0009720F"/>
    <w:rsid w:val="00097AD1"/>
    <w:rsid w:val="00097D22"/>
    <w:rsid w:val="000A0527"/>
    <w:rsid w:val="000A1AA1"/>
    <w:rsid w:val="000A1FCB"/>
    <w:rsid w:val="000A229F"/>
    <w:rsid w:val="000A2567"/>
    <w:rsid w:val="000A2BB3"/>
    <w:rsid w:val="000A3A06"/>
    <w:rsid w:val="000A4006"/>
    <w:rsid w:val="000A5BD6"/>
    <w:rsid w:val="000A63AD"/>
    <w:rsid w:val="000A6488"/>
    <w:rsid w:val="000A7EA4"/>
    <w:rsid w:val="000B1016"/>
    <w:rsid w:val="000B1037"/>
    <w:rsid w:val="000B2253"/>
    <w:rsid w:val="000B2707"/>
    <w:rsid w:val="000B2EAE"/>
    <w:rsid w:val="000B2F90"/>
    <w:rsid w:val="000B316B"/>
    <w:rsid w:val="000B359C"/>
    <w:rsid w:val="000B399E"/>
    <w:rsid w:val="000B429C"/>
    <w:rsid w:val="000B4329"/>
    <w:rsid w:val="000B45F8"/>
    <w:rsid w:val="000B4F95"/>
    <w:rsid w:val="000B54F2"/>
    <w:rsid w:val="000B660A"/>
    <w:rsid w:val="000B710A"/>
    <w:rsid w:val="000B73D4"/>
    <w:rsid w:val="000C00CA"/>
    <w:rsid w:val="000C0502"/>
    <w:rsid w:val="000C187F"/>
    <w:rsid w:val="000C2A54"/>
    <w:rsid w:val="000C2E5B"/>
    <w:rsid w:val="000C2EAD"/>
    <w:rsid w:val="000C39F6"/>
    <w:rsid w:val="000C4080"/>
    <w:rsid w:val="000C4238"/>
    <w:rsid w:val="000C57B5"/>
    <w:rsid w:val="000C60DD"/>
    <w:rsid w:val="000C69D0"/>
    <w:rsid w:val="000C78C7"/>
    <w:rsid w:val="000C7E77"/>
    <w:rsid w:val="000D0C67"/>
    <w:rsid w:val="000D1173"/>
    <w:rsid w:val="000D1729"/>
    <w:rsid w:val="000D1745"/>
    <w:rsid w:val="000D1AEB"/>
    <w:rsid w:val="000D2842"/>
    <w:rsid w:val="000D292A"/>
    <w:rsid w:val="000D5392"/>
    <w:rsid w:val="000D6043"/>
    <w:rsid w:val="000D63E4"/>
    <w:rsid w:val="000D7266"/>
    <w:rsid w:val="000D7A26"/>
    <w:rsid w:val="000E04C8"/>
    <w:rsid w:val="000E13EF"/>
    <w:rsid w:val="000E1D39"/>
    <w:rsid w:val="000E253C"/>
    <w:rsid w:val="000E30B0"/>
    <w:rsid w:val="000E3620"/>
    <w:rsid w:val="000E3F7E"/>
    <w:rsid w:val="000E498A"/>
    <w:rsid w:val="000E4E50"/>
    <w:rsid w:val="000E50B5"/>
    <w:rsid w:val="000E60AC"/>
    <w:rsid w:val="000E6E0E"/>
    <w:rsid w:val="000E7121"/>
    <w:rsid w:val="000E72B2"/>
    <w:rsid w:val="000E7D73"/>
    <w:rsid w:val="000E7E53"/>
    <w:rsid w:val="000E7EC9"/>
    <w:rsid w:val="000F0E7B"/>
    <w:rsid w:val="000F172A"/>
    <w:rsid w:val="000F1E05"/>
    <w:rsid w:val="000F2BC7"/>
    <w:rsid w:val="000F3525"/>
    <w:rsid w:val="000F45D8"/>
    <w:rsid w:val="000F4649"/>
    <w:rsid w:val="000F4BA4"/>
    <w:rsid w:val="000F54C1"/>
    <w:rsid w:val="000F56B9"/>
    <w:rsid w:val="000F59B8"/>
    <w:rsid w:val="000F5DAB"/>
    <w:rsid w:val="000F5E97"/>
    <w:rsid w:val="000F6087"/>
    <w:rsid w:val="000F7ECC"/>
    <w:rsid w:val="00100929"/>
    <w:rsid w:val="00101188"/>
    <w:rsid w:val="0010121A"/>
    <w:rsid w:val="00101A6F"/>
    <w:rsid w:val="00102342"/>
    <w:rsid w:val="001029CC"/>
    <w:rsid w:val="00103503"/>
    <w:rsid w:val="00104E61"/>
    <w:rsid w:val="00105993"/>
    <w:rsid w:val="00105C42"/>
    <w:rsid w:val="001062B0"/>
    <w:rsid w:val="00107F4E"/>
    <w:rsid w:val="00107F80"/>
    <w:rsid w:val="00110C59"/>
    <w:rsid w:val="00111355"/>
    <w:rsid w:val="00111919"/>
    <w:rsid w:val="00112C6A"/>
    <w:rsid w:val="00112EE2"/>
    <w:rsid w:val="00112F1A"/>
    <w:rsid w:val="00113BD4"/>
    <w:rsid w:val="00113C04"/>
    <w:rsid w:val="0011557E"/>
    <w:rsid w:val="001156C3"/>
    <w:rsid w:val="00116043"/>
    <w:rsid w:val="001163EA"/>
    <w:rsid w:val="00117B3A"/>
    <w:rsid w:val="00120F24"/>
    <w:rsid w:val="001210DD"/>
    <w:rsid w:val="00121A5C"/>
    <w:rsid w:val="00121E48"/>
    <w:rsid w:val="00122E81"/>
    <w:rsid w:val="00124404"/>
    <w:rsid w:val="001253D0"/>
    <w:rsid w:val="00125BF4"/>
    <w:rsid w:val="0012605E"/>
    <w:rsid w:val="00127761"/>
    <w:rsid w:val="00127C43"/>
    <w:rsid w:val="00131495"/>
    <w:rsid w:val="0013204D"/>
    <w:rsid w:val="0013264E"/>
    <w:rsid w:val="0013319B"/>
    <w:rsid w:val="00133685"/>
    <w:rsid w:val="00135579"/>
    <w:rsid w:val="001355AE"/>
    <w:rsid w:val="00135CA4"/>
    <w:rsid w:val="00135F6D"/>
    <w:rsid w:val="00136200"/>
    <w:rsid w:val="00136421"/>
    <w:rsid w:val="001373CA"/>
    <w:rsid w:val="00137D71"/>
    <w:rsid w:val="001406F8"/>
    <w:rsid w:val="00140D65"/>
    <w:rsid w:val="00140DA3"/>
    <w:rsid w:val="001411E0"/>
    <w:rsid w:val="00141BE9"/>
    <w:rsid w:val="0014248F"/>
    <w:rsid w:val="00142CE3"/>
    <w:rsid w:val="00143721"/>
    <w:rsid w:val="00144D96"/>
    <w:rsid w:val="00146101"/>
    <w:rsid w:val="001467B0"/>
    <w:rsid w:val="00146A11"/>
    <w:rsid w:val="001470E6"/>
    <w:rsid w:val="0014726D"/>
    <w:rsid w:val="00147AB5"/>
    <w:rsid w:val="00150032"/>
    <w:rsid w:val="001507BE"/>
    <w:rsid w:val="00150B20"/>
    <w:rsid w:val="00151764"/>
    <w:rsid w:val="001518CF"/>
    <w:rsid w:val="00152189"/>
    <w:rsid w:val="001521FE"/>
    <w:rsid w:val="00152D72"/>
    <w:rsid w:val="001535B8"/>
    <w:rsid w:val="00153E88"/>
    <w:rsid w:val="0015446B"/>
    <w:rsid w:val="001553C5"/>
    <w:rsid w:val="00156092"/>
    <w:rsid w:val="00156B7B"/>
    <w:rsid w:val="00156EE5"/>
    <w:rsid w:val="00157B83"/>
    <w:rsid w:val="00160528"/>
    <w:rsid w:val="00160E7A"/>
    <w:rsid w:val="00160EE0"/>
    <w:rsid w:val="00166787"/>
    <w:rsid w:val="00166961"/>
    <w:rsid w:val="001670A5"/>
    <w:rsid w:val="00167F97"/>
    <w:rsid w:val="00167FF8"/>
    <w:rsid w:val="001700E9"/>
    <w:rsid w:val="001709C4"/>
    <w:rsid w:val="00170B3E"/>
    <w:rsid w:val="00170E48"/>
    <w:rsid w:val="00171C67"/>
    <w:rsid w:val="00171FCC"/>
    <w:rsid w:val="0017256A"/>
    <w:rsid w:val="001733E9"/>
    <w:rsid w:val="00173AD1"/>
    <w:rsid w:val="00176890"/>
    <w:rsid w:val="00177117"/>
    <w:rsid w:val="001775AD"/>
    <w:rsid w:val="00177A6D"/>
    <w:rsid w:val="00180086"/>
    <w:rsid w:val="00181C10"/>
    <w:rsid w:val="00181D58"/>
    <w:rsid w:val="00183238"/>
    <w:rsid w:val="00183D3D"/>
    <w:rsid w:val="00184CD3"/>
    <w:rsid w:val="00184FAE"/>
    <w:rsid w:val="001859ED"/>
    <w:rsid w:val="00185EBB"/>
    <w:rsid w:val="0018646A"/>
    <w:rsid w:val="00186B03"/>
    <w:rsid w:val="0019214B"/>
    <w:rsid w:val="00192324"/>
    <w:rsid w:val="00192BB0"/>
    <w:rsid w:val="00192C4E"/>
    <w:rsid w:val="00192F9E"/>
    <w:rsid w:val="0019316A"/>
    <w:rsid w:val="00194025"/>
    <w:rsid w:val="00194447"/>
    <w:rsid w:val="001949EB"/>
    <w:rsid w:val="00194C47"/>
    <w:rsid w:val="0019579B"/>
    <w:rsid w:val="00195C4C"/>
    <w:rsid w:val="00196823"/>
    <w:rsid w:val="00196C3C"/>
    <w:rsid w:val="00196E1B"/>
    <w:rsid w:val="00197AA3"/>
    <w:rsid w:val="001A0240"/>
    <w:rsid w:val="001A0397"/>
    <w:rsid w:val="001A0680"/>
    <w:rsid w:val="001A0E93"/>
    <w:rsid w:val="001A1DF3"/>
    <w:rsid w:val="001A3661"/>
    <w:rsid w:val="001A3F51"/>
    <w:rsid w:val="001A44EB"/>
    <w:rsid w:val="001A6146"/>
    <w:rsid w:val="001A6676"/>
    <w:rsid w:val="001A6E37"/>
    <w:rsid w:val="001A7AE4"/>
    <w:rsid w:val="001A7B95"/>
    <w:rsid w:val="001B064B"/>
    <w:rsid w:val="001B0B1A"/>
    <w:rsid w:val="001B107D"/>
    <w:rsid w:val="001B11A2"/>
    <w:rsid w:val="001B12E1"/>
    <w:rsid w:val="001B20BF"/>
    <w:rsid w:val="001B2216"/>
    <w:rsid w:val="001B35F3"/>
    <w:rsid w:val="001B42FF"/>
    <w:rsid w:val="001B4AED"/>
    <w:rsid w:val="001B4F1A"/>
    <w:rsid w:val="001B598D"/>
    <w:rsid w:val="001B5BED"/>
    <w:rsid w:val="001B5BF3"/>
    <w:rsid w:val="001B6D3B"/>
    <w:rsid w:val="001C05E1"/>
    <w:rsid w:val="001C0874"/>
    <w:rsid w:val="001C1594"/>
    <w:rsid w:val="001C30A1"/>
    <w:rsid w:val="001C5386"/>
    <w:rsid w:val="001C68DC"/>
    <w:rsid w:val="001C6A16"/>
    <w:rsid w:val="001C6B0D"/>
    <w:rsid w:val="001C7350"/>
    <w:rsid w:val="001D07D8"/>
    <w:rsid w:val="001D18BA"/>
    <w:rsid w:val="001D1EE9"/>
    <w:rsid w:val="001D271E"/>
    <w:rsid w:val="001D2AF1"/>
    <w:rsid w:val="001D5104"/>
    <w:rsid w:val="001D514B"/>
    <w:rsid w:val="001D549D"/>
    <w:rsid w:val="001D5BE7"/>
    <w:rsid w:val="001D738F"/>
    <w:rsid w:val="001D77A9"/>
    <w:rsid w:val="001D7860"/>
    <w:rsid w:val="001D7FD2"/>
    <w:rsid w:val="001E0357"/>
    <w:rsid w:val="001E037B"/>
    <w:rsid w:val="001E05F0"/>
    <w:rsid w:val="001E0B80"/>
    <w:rsid w:val="001E1F25"/>
    <w:rsid w:val="001E3303"/>
    <w:rsid w:val="001E35D9"/>
    <w:rsid w:val="001E3E51"/>
    <w:rsid w:val="001E41CF"/>
    <w:rsid w:val="001E42C8"/>
    <w:rsid w:val="001E4883"/>
    <w:rsid w:val="001E4898"/>
    <w:rsid w:val="001E4EA9"/>
    <w:rsid w:val="001E5371"/>
    <w:rsid w:val="001E54A7"/>
    <w:rsid w:val="001E57E9"/>
    <w:rsid w:val="001E643D"/>
    <w:rsid w:val="001E6639"/>
    <w:rsid w:val="001E71EF"/>
    <w:rsid w:val="001E76E0"/>
    <w:rsid w:val="001E7FF8"/>
    <w:rsid w:val="001F023A"/>
    <w:rsid w:val="001F07E5"/>
    <w:rsid w:val="001F0944"/>
    <w:rsid w:val="001F10E2"/>
    <w:rsid w:val="001F1579"/>
    <w:rsid w:val="001F1A79"/>
    <w:rsid w:val="001F2291"/>
    <w:rsid w:val="001F2E33"/>
    <w:rsid w:val="001F3AE8"/>
    <w:rsid w:val="001F481F"/>
    <w:rsid w:val="001F504C"/>
    <w:rsid w:val="001F52B7"/>
    <w:rsid w:val="001F5851"/>
    <w:rsid w:val="001F5E17"/>
    <w:rsid w:val="001F65F6"/>
    <w:rsid w:val="00200E5C"/>
    <w:rsid w:val="00202030"/>
    <w:rsid w:val="0020203D"/>
    <w:rsid w:val="002020A2"/>
    <w:rsid w:val="002028A9"/>
    <w:rsid w:val="00202E61"/>
    <w:rsid w:val="0020329C"/>
    <w:rsid w:val="0020359B"/>
    <w:rsid w:val="0020477D"/>
    <w:rsid w:val="00204935"/>
    <w:rsid w:val="00204DED"/>
    <w:rsid w:val="00205F3A"/>
    <w:rsid w:val="002060EB"/>
    <w:rsid w:val="00207129"/>
    <w:rsid w:val="002074F9"/>
    <w:rsid w:val="00207A47"/>
    <w:rsid w:val="0021111A"/>
    <w:rsid w:val="00212024"/>
    <w:rsid w:val="002126BA"/>
    <w:rsid w:val="0021326A"/>
    <w:rsid w:val="00213E72"/>
    <w:rsid w:val="0021648F"/>
    <w:rsid w:val="00216E62"/>
    <w:rsid w:val="00217473"/>
    <w:rsid w:val="00217A96"/>
    <w:rsid w:val="0022087A"/>
    <w:rsid w:val="00220C6C"/>
    <w:rsid w:val="00221E28"/>
    <w:rsid w:val="0022216B"/>
    <w:rsid w:val="00222199"/>
    <w:rsid w:val="002221DF"/>
    <w:rsid w:val="002222F2"/>
    <w:rsid w:val="002226C3"/>
    <w:rsid w:val="002227D0"/>
    <w:rsid w:val="00223147"/>
    <w:rsid w:val="00223588"/>
    <w:rsid w:val="002248C0"/>
    <w:rsid w:val="00224E32"/>
    <w:rsid w:val="00225BAB"/>
    <w:rsid w:val="00225ECA"/>
    <w:rsid w:val="00226012"/>
    <w:rsid w:val="002265F8"/>
    <w:rsid w:val="00227150"/>
    <w:rsid w:val="0022770E"/>
    <w:rsid w:val="00227900"/>
    <w:rsid w:val="00227A91"/>
    <w:rsid w:val="00227FEE"/>
    <w:rsid w:val="00230240"/>
    <w:rsid w:val="00230943"/>
    <w:rsid w:val="0023163C"/>
    <w:rsid w:val="00232FAE"/>
    <w:rsid w:val="00233379"/>
    <w:rsid w:val="00233E08"/>
    <w:rsid w:val="002340D8"/>
    <w:rsid w:val="00234590"/>
    <w:rsid w:val="00234E2B"/>
    <w:rsid w:val="00234F4C"/>
    <w:rsid w:val="0023609E"/>
    <w:rsid w:val="00236668"/>
    <w:rsid w:val="002368F4"/>
    <w:rsid w:val="00236D59"/>
    <w:rsid w:val="002375F9"/>
    <w:rsid w:val="00237B47"/>
    <w:rsid w:val="00237CA1"/>
    <w:rsid w:val="00237DEA"/>
    <w:rsid w:val="00237EB0"/>
    <w:rsid w:val="00240208"/>
    <w:rsid w:val="002406B8"/>
    <w:rsid w:val="00242610"/>
    <w:rsid w:val="002428CB"/>
    <w:rsid w:val="00242EDA"/>
    <w:rsid w:val="0024407F"/>
    <w:rsid w:val="00245A08"/>
    <w:rsid w:val="00245FCB"/>
    <w:rsid w:val="002479E4"/>
    <w:rsid w:val="00247A3B"/>
    <w:rsid w:val="002501CA"/>
    <w:rsid w:val="0025022F"/>
    <w:rsid w:val="00250AA7"/>
    <w:rsid w:val="00250FB9"/>
    <w:rsid w:val="00253C9C"/>
    <w:rsid w:val="0025464C"/>
    <w:rsid w:val="00254CB9"/>
    <w:rsid w:val="0025519F"/>
    <w:rsid w:val="00255346"/>
    <w:rsid w:val="00255C82"/>
    <w:rsid w:val="00256389"/>
    <w:rsid w:val="0025688A"/>
    <w:rsid w:val="002570F0"/>
    <w:rsid w:val="00257785"/>
    <w:rsid w:val="00257BC7"/>
    <w:rsid w:val="00260CB4"/>
    <w:rsid w:val="00261748"/>
    <w:rsid w:val="00261841"/>
    <w:rsid w:val="00262769"/>
    <w:rsid w:val="00262821"/>
    <w:rsid w:val="002633D3"/>
    <w:rsid w:val="00265C4B"/>
    <w:rsid w:val="002661DE"/>
    <w:rsid w:val="002677F3"/>
    <w:rsid w:val="00267AFD"/>
    <w:rsid w:val="00270751"/>
    <w:rsid w:val="00272422"/>
    <w:rsid w:val="002724AE"/>
    <w:rsid w:val="002725E2"/>
    <w:rsid w:val="00272B09"/>
    <w:rsid w:val="00272FD6"/>
    <w:rsid w:val="00274A6C"/>
    <w:rsid w:val="00274D92"/>
    <w:rsid w:val="002755F1"/>
    <w:rsid w:val="00275F08"/>
    <w:rsid w:val="0027697A"/>
    <w:rsid w:val="00276B1F"/>
    <w:rsid w:val="00276D43"/>
    <w:rsid w:val="002800A3"/>
    <w:rsid w:val="002811A0"/>
    <w:rsid w:val="002812F5"/>
    <w:rsid w:val="002815D0"/>
    <w:rsid w:val="002831CE"/>
    <w:rsid w:val="00283474"/>
    <w:rsid w:val="00283940"/>
    <w:rsid w:val="00284D2A"/>
    <w:rsid w:val="0028504E"/>
    <w:rsid w:val="002856C1"/>
    <w:rsid w:val="00286203"/>
    <w:rsid w:val="0028663D"/>
    <w:rsid w:val="002867DB"/>
    <w:rsid w:val="002869B4"/>
    <w:rsid w:val="00287021"/>
    <w:rsid w:val="00287286"/>
    <w:rsid w:val="00287560"/>
    <w:rsid w:val="00287A99"/>
    <w:rsid w:val="0029017E"/>
    <w:rsid w:val="002904A6"/>
    <w:rsid w:val="002918EE"/>
    <w:rsid w:val="00292ACD"/>
    <w:rsid w:val="0029412E"/>
    <w:rsid w:val="002942D1"/>
    <w:rsid w:val="0029475E"/>
    <w:rsid w:val="00294C2F"/>
    <w:rsid w:val="00294EF9"/>
    <w:rsid w:val="00295B87"/>
    <w:rsid w:val="002962B1"/>
    <w:rsid w:val="00296416"/>
    <w:rsid w:val="0029678D"/>
    <w:rsid w:val="0029686C"/>
    <w:rsid w:val="00297043"/>
    <w:rsid w:val="00297256"/>
    <w:rsid w:val="002A05D8"/>
    <w:rsid w:val="002A124D"/>
    <w:rsid w:val="002A1311"/>
    <w:rsid w:val="002A13A1"/>
    <w:rsid w:val="002A16D0"/>
    <w:rsid w:val="002A2BA2"/>
    <w:rsid w:val="002A2C02"/>
    <w:rsid w:val="002A309C"/>
    <w:rsid w:val="002A30E6"/>
    <w:rsid w:val="002A43D9"/>
    <w:rsid w:val="002A4B9B"/>
    <w:rsid w:val="002A4C20"/>
    <w:rsid w:val="002A53D4"/>
    <w:rsid w:val="002A552A"/>
    <w:rsid w:val="002A5783"/>
    <w:rsid w:val="002A5C65"/>
    <w:rsid w:val="002A616D"/>
    <w:rsid w:val="002A6C3C"/>
    <w:rsid w:val="002A7017"/>
    <w:rsid w:val="002A7458"/>
    <w:rsid w:val="002A75F0"/>
    <w:rsid w:val="002A7862"/>
    <w:rsid w:val="002B0986"/>
    <w:rsid w:val="002B0D70"/>
    <w:rsid w:val="002B3A31"/>
    <w:rsid w:val="002B3E2D"/>
    <w:rsid w:val="002B45AB"/>
    <w:rsid w:val="002B486D"/>
    <w:rsid w:val="002B4CEE"/>
    <w:rsid w:val="002B4D38"/>
    <w:rsid w:val="002B5F55"/>
    <w:rsid w:val="002B6513"/>
    <w:rsid w:val="002B7BF5"/>
    <w:rsid w:val="002C0621"/>
    <w:rsid w:val="002C186A"/>
    <w:rsid w:val="002C2713"/>
    <w:rsid w:val="002C27B0"/>
    <w:rsid w:val="002C2A2E"/>
    <w:rsid w:val="002C33A1"/>
    <w:rsid w:val="002C381D"/>
    <w:rsid w:val="002C3F56"/>
    <w:rsid w:val="002C6B5C"/>
    <w:rsid w:val="002C6FA1"/>
    <w:rsid w:val="002C72FC"/>
    <w:rsid w:val="002C7ACA"/>
    <w:rsid w:val="002D08BE"/>
    <w:rsid w:val="002D0E1D"/>
    <w:rsid w:val="002D1535"/>
    <w:rsid w:val="002D19D6"/>
    <w:rsid w:val="002D1C25"/>
    <w:rsid w:val="002D1C4E"/>
    <w:rsid w:val="002D1E37"/>
    <w:rsid w:val="002D2704"/>
    <w:rsid w:val="002D350E"/>
    <w:rsid w:val="002D4B51"/>
    <w:rsid w:val="002D4B7A"/>
    <w:rsid w:val="002D4BAD"/>
    <w:rsid w:val="002D5359"/>
    <w:rsid w:val="002D6191"/>
    <w:rsid w:val="002D6356"/>
    <w:rsid w:val="002D689D"/>
    <w:rsid w:val="002D6EBD"/>
    <w:rsid w:val="002D7012"/>
    <w:rsid w:val="002D76C6"/>
    <w:rsid w:val="002E1044"/>
    <w:rsid w:val="002E14C2"/>
    <w:rsid w:val="002E22A5"/>
    <w:rsid w:val="002E24D7"/>
    <w:rsid w:val="002E2E3D"/>
    <w:rsid w:val="002E36E9"/>
    <w:rsid w:val="002E3E26"/>
    <w:rsid w:val="002E3FCE"/>
    <w:rsid w:val="002E528F"/>
    <w:rsid w:val="002E529E"/>
    <w:rsid w:val="002E5CBC"/>
    <w:rsid w:val="002E6C38"/>
    <w:rsid w:val="002E6EC1"/>
    <w:rsid w:val="002E6ED0"/>
    <w:rsid w:val="002E789C"/>
    <w:rsid w:val="002E7FD1"/>
    <w:rsid w:val="002F0335"/>
    <w:rsid w:val="002F085E"/>
    <w:rsid w:val="002F1562"/>
    <w:rsid w:val="002F1958"/>
    <w:rsid w:val="002F1E20"/>
    <w:rsid w:val="002F2BC8"/>
    <w:rsid w:val="002F398E"/>
    <w:rsid w:val="002F450E"/>
    <w:rsid w:val="002F6447"/>
    <w:rsid w:val="002F6800"/>
    <w:rsid w:val="002F690F"/>
    <w:rsid w:val="002F69CB"/>
    <w:rsid w:val="0030195B"/>
    <w:rsid w:val="00302FF7"/>
    <w:rsid w:val="0030473A"/>
    <w:rsid w:val="00304EC5"/>
    <w:rsid w:val="00305015"/>
    <w:rsid w:val="003057A1"/>
    <w:rsid w:val="003057BB"/>
    <w:rsid w:val="00306385"/>
    <w:rsid w:val="00306AF8"/>
    <w:rsid w:val="00307A31"/>
    <w:rsid w:val="00307BCB"/>
    <w:rsid w:val="003104B0"/>
    <w:rsid w:val="00310620"/>
    <w:rsid w:val="00310789"/>
    <w:rsid w:val="00310F1E"/>
    <w:rsid w:val="00311604"/>
    <w:rsid w:val="00311A43"/>
    <w:rsid w:val="00311EE3"/>
    <w:rsid w:val="00312399"/>
    <w:rsid w:val="00312950"/>
    <w:rsid w:val="00312984"/>
    <w:rsid w:val="00312CF3"/>
    <w:rsid w:val="00312F2B"/>
    <w:rsid w:val="00313791"/>
    <w:rsid w:val="00314027"/>
    <w:rsid w:val="00314A1B"/>
    <w:rsid w:val="003157AC"/>
    <w:rsid w:val="00315A89"/>
    <w:rsid w:val="00315B11"/>
    <w:rsid w:val="00315E6C"/>
    <w:rsid w:val="00315E92"/>
    <w:rsid w:val="0031693A"/>
    <w:rsid w:val="00317BAD"/>
    <w:rsid w:val="00320398"/>
    <w:rsid w:val="003216AD"/>
    <w:rsid w:val="00322199"/>
    <w:rsid w:val="003222CD"/>
    <w:rsid w:val="003224E2"/>
    <w:rsid w:val="00322C37"/>
    <w:rsid w:val="0032361D"/>
    <w:rsid w:val="00323A09"/>
    <w:rsid w:val="00323DA3"/>
    <w:rsid w:val="00323F33"/>
    <w:rsid w:val="003240A9"/>
    <w:rsid w:val="003245C8"/>
    <w:rsid w:val="0032541E"/>
    <w:rsid w:val="003267B5"/>
    <w:rsid w:val="00326938"/>
    <w:rsid w:val="00326972"/>
    <w:rsid w:val="00326B7B"/>
    <w:rsid w:val="00327A84"/>
    <w:rsid w:val="0033098A"/>
    <w:rsid w:val="00331034"/>
    <w:rsid w:val="003319D6"/>
    <w:rsid w:val="00332050"/>
    <w:rsid w:val="003322FA"/>
    <w:rsid w:val="0033258D"/>
    <w:rsid w:val="00332697"/>
    <w:rsid w:val="00333CAD"/>
    <w:rsid w:val="00336379"/>
    <w:rsid w:val="003366C5"/>
    <w:rsid w:val="00340434"/>
    <w:rsid w:val="00340436"/>
    <w:rsid w:val="00341298"/>
    <w:rsid w:val="003412B3"/>
    <w:rsid w:val="00341BBE"/>
    <w:rsid w:val="00342002"/>
    <w:rsid w:val="0034237A"/>
    <w:rsid w:val="0034262D"/>
    <w:rsid w:val="0034420E"/>
    <w:rsid w:val="0034446F"/>
    <w:rsid w:val="003461A7"/>
    <w:rsid w:val="003477F2"/>
    <w:rsid w:val="00347C02"/>
    <w:rsid w:val="0035018A"/>
    <w:rsid w:val="00350518"/>
    <w:rsid w:val="00350D06"/>
    <w:rsid w:val="00350D83"/>
    <w:rsid w:val="003518C6"/>
    <w:rsid w:val="00351C9F"/>
    <w:rsid w:val="00351F80"/>
    <w:rsid w:val="00352A91"/>
    <w:rsid w:val="00354673"/>
    <w:rsid w:val="0035578B"/>
    <w:rsid w:val="00356E0D"/>
    <w:rsid w:val="00357234"/>
    <w:rsid w:val="00357AF0"/>
    <w:rsid w:val="00357BA4"/>
    <w:rsid w:val="003602E9"/>
    <w:rsid w:val="003608FB"/>
    <w:rsid w:val="0036099B"/>
    <w:rsid w:val="00361382"/>
    <w:rsid w:val="00362994"/>
    <w:rsid w:val="00363B37"/>
    <w:rsid w:val="00363CEF"/>
    <w:rsid w:val="00365750"/>
    <w:rsid w:val="00365B9C"/>
    <w:rsid w:val="00365C1B"/>
    <w:rsid w:val="003662E7"/>
    <w:rsid w:val="00366482"/>
    <w:rsid w:val="003668DC"/>
    <w:rsid w:val="00366B31"/>
    <w:rsid w:val="00367556"/>
    <w:rsid w:val="00367632"/>
    <w:rsid w:val="003678EA"/>
    <w:rsid w:val="003679C9"/>
    <w:rsid w:val="00370543"/>
    <w:rsid w:val="00370ED3"/>
    <w:rsid w:val="00371A52"/>
    <w:rsid w:val="003721BA"/>
    <w:rsid w:val="00372B01"/>
    <w:rsid w:val="00374727"/>
    <w:rsid w:val="00375183"/>
    <w:rsid w:val="00375C69"/>
    <w:rsid w:val="00375D63"/>
    <w:rsid w:val="00376B10"/>
    <w:rsid w:val="00376D1F"/>
    <w:rsid w:val="00376D7C"/>
    <w:rsid w:val="00376EE5"/>
    <w:rsid w:val="00376F23"/>
    <w:rsid w:val="0037738F"/>
    <w:rsid w:val="003813B4"/>
    <w:rsid w:val="003822C0"/>
    <w:rsid w:val="00382E8E"/>
    <w:rsid w:val="003832CF"/>
    <w:rsid w:val="003839C0"/>
    <w:rsid w:val="00383B68"/>
    <w:rsid w:val="00383F68"/>
    <w:rsid w:val="00384337"/>
    <w:rsid w:val="0038466F"/>
    <w:rsid w:val="00384E03"/>
    <w:rsid w:val="00385A85"/>
    <w:rsid w:val="00386395"/>
    <w:rsid w:val="003865E6"/>
    <w:rsid w:val="0038663C"/>
    <w:rsid w:val="00386C0B"/>
    <w:rsid w:val="00386F30"/>
    <w:rsid w:val="00386F85"/>
    <w:rsid w:val="0038732B"/>
    <w:rsid w:val="00387878"/>
    <w:rsid w:val="00387FF6"/>
    <w:rsid w:val="00391CD6"/>
    <w:rsid w:val="003924CD"/>
    <w:rsid w:val="00392D0F"/>
    <w:rsid w:val="00393C5E"/>
    <w:rsid w:val="00395466"/>
    <w:rsid w:val="00395831"/>
    <w:rsid w:val="00396272"/>
    <w:rsid w:val="00396F54"/>
    <w:rsid w:val="003A0065"/>
    <w:rsid w:val="003A0280"/>
    <w:rsid w:val="003A0B7A"/>
    <w:rsid w:val="003A0CB1"/>
    <w:rsid w:val="003A0CC9"/>
    <w:rsid w:val="003A0D84"/>
    <w:rsid w:val="003A101E"/>
    <w:rsid w:val="003A2A0E"/>
    <w:rsid w:val="003A2FE5"/>
    <w:rsid w:val="003A4650"/>
    <w:rsid w:val="003A5579"/>
    <w:rsid w:val="003A6C23"/>
    <w:rsid w:val="003A6CE2"/>
    <w:rsid w:val="003A7845"/>
    <w:rsid w:val="003A7DD7"/>
    <w:rsid w:val="003B0A65"/>
    <w:rsid w:val="003B175D"/>
    <w:rsid w:val="003B2CE7"/>
    <w:rsid w:val="003B2E4F"/>
    <w:rsid w:val="003B40DF"/>
    <w:rsid w:val="003B4A3D"/>
    <w:rsid w:val="003B4E23"/>
    <w:rsid w:val="003B4F1B"/>
    <w:rsid w:val="003B4FFB"/>
    <w:rsid w:val="003B50EA"/>
    <w:rsid w:val="003B5C89"/>
    <w:rsid w:val="003B5FC4"/>
    <w:rsid w:val="003B67FE"/>
    <w:rsid w:val="003B7554"/>
    <w:rsid w:val="003B7758"/>
    <w:rsid w:val="003B79EC"/>
    <w:rsid w:val="003C089A"/>
    <w:rsid w:val="003C1664"/>
    <w:rsid w:val="003C1893"/>
    <w:rsid w:val="003C27A3"/>
    <w:rsid w:val="003C451A"/>
    <w:rsid w:val="003C4E68"/>
    <w:rsid w:val="003C5807"/>
    <w:rsid w:val="003C5A13"/>
    <w:rsid w:val="003C6306"/>
    <w:rsid w:val="003C6DF0"/>
    <w:rsid w:val="003C750B"/>
    <w:rsid w:val="003C7D4D"/>
    <w:rsid w:val="003C7FF9"/>
    <w:rsid w:val="003D012F"/>
    <w:rsid w:val="003D0713"/>
    <w:rsid w:val="003D1313"/>
    <w:rsid w:val="003D1533"/>
    <w:rsid w:val="003D184C"/>
    <w:rsid w:val="003D21D5"/>
    <w:rsid w:val="003D37CB"/>
    <w:rsid w:val="003D44A3"/>
    <w:rsid w:val="003D4D89"/>
    <w:rsid w:val="003D54FF"/>
    <w:rsid w:val="003D5CC1"/>
    <w:rsid w:val="003D5E9F"/>
    <w:rsid w:val="003D601D"/>
    <w:rsid w:val="003E03E7"/>
    <w:rsid w:val="003E044E"/>
    <w:rsid w:val="003E10B6"/>
    <w:rsid w:val="003E16FF"/>
    <w:rsid w:val="003E1C3D"/>
    <w:rsid w:val="003E28CC"/>
    <w:rsid w:val="003E33FE"/>
    <w:rsid w:val="003E3513"/>
    <w:rsid w:val="003E48E0"/>
    <w:rsid w:val="003E5EB7"/>
    <w:rsid w:val="003E60A2"/>
    <w:rsid w:val="003E6510"/>
    <w:rsid w:val="003E6781"/>
    <w:rsid w:val="003F0372"/>
    <w:rsid w:val="003F05B4"/>
    <w:rsid w:val="003F0D20"/>
    <w:rsid w:val="003F1D92"/>
    <w:rsid w:val="003F1EAA"/>
    <w:rsid w:val="003F2546"/>
    <w:rsid w:val="003F2FEC"/>
    <w:rsid w:val="003F4304"/>
    <w:rsid w:val="003F4458"/>
    <w:rsid w:val="003F5188"/>
    <w:rsid w:val="003F5741"/>
    <w:rsid w:val="003F5D5D"/>
    <w:rsid w:val="003F66DD"/>
    <w:rsid w:val="003F687C"/>
    <w:rsid w:val="003F72B7"/>
    <w:rsid w:val="003F7B51"/>
    <w:rsid w:val="0040022F"/>
    <w:rsid w:val="00400399"/>
    <w:rsid w:val="00400457"/>
    <w:rsid w:val="0040079F"/>
    <w:rsid w:val="00401084"/>
    <w:rsid w:val="00402A4A"/>
    <w:rsid w:val="00403752"/>
    <w:rsid w:val="00403AAE"/>
    <w:rsid w:val="00403AEA"/>
    <w:rsid w:val="00403FDA"/>
    <w:rsid w:val="0040404B"/>
    <w:rsid w:val="00404933"/>
    <w:rsid w:val="00404D62"/>
    <w:rsid w:val="004052BA"/>
    <w:rsid w:val="00406720"/>
    <w:rsid w:val="00406A4D"/>
    <w:rsid w:val="00406E35"/>
    <w:rsid w:val="00407C00"/>
    <w:rsid w:val="004102AE"/>
    <w:rsid w:val="004116D2"/>
    <w:rsid w:val="00411C06"/>
    <w:rsid w:val="00412D91"/>
    <w:rsid w:val="00414B3F"/>
    <w:rsid w:val="00414DCB"/>
    <w:rsid w:val="00415716"/>
    <w:rsid w:val="00415813"/>
    <w:rsid w:val="0041616A"/>
    <w:rsid w:val="00416540"/>
    <w:rsid w:val="00416B6B"/>
    <w:rsid w:val="00416B9C"/>
    <w:rsid w:val="00417718"/>
    <w:rsid w:val="00417A00"/>
    <w:rsid w:val="00417D3B"/>
    <w:rsid w:val="0042034A"/>
    <w:rsid w:val="00422406"/>
    <w:rsid w:val="00423655"/>
    <w:rsid w:val="00423700"/>
    <w:rsid w:val="004237D1"/>
    <w:rsid w:val="0042444F"/>
    <w:rsid w:val="00424A39"/>
    <w:rsid w:val="004250FA"/>
    <w:rsid w:val="00425F90"/>
    <w:rsid w:val="00427AD6"/>
    <w:rsid w:val="00430166"/>
    <w:rsid w:val="004303B5"/>
    <w:rsid w:val="004305BB"/>
    <w:rsid w:val="00431C6B"/>
    <w:rsid w:val="00431FCD"/>
    <w:rsid w:val="004323CD"/>
    <w:rsid w:val="00432BBC"/>
    <w:rsid w:val="00432D2D"/>
    <w:rsid w:val="004337B7"/>
    <w:rsid w:val="004339BD"/>
    <w:rsid w:val="00433B62"/>
    <w:rsid w:val="00433E35"/>
    <w:rsid w:val="004343D9"/>
    <w:rsid w:val="00434712"/>
    <w:rsid w:val="00434C3E"/>
    <w:rsid w:val="00434DE7"/>
    <w:rsid w:val="00434FE1"/>
    <w:rsid w:val="004352C5"/>
    <w:rsid w:val="00435BC8"/>
    <w:rsid w:val="00436D9B"/>
    <w:rsid w:val="00436F35"/>
    <w:rsid w:val="004370BC"/>
    <w:rsid w:val="0043787F"/>
    <w:rsid w:val="00437BD7"/>
    <w:rsid w:val="004402C4"/>
    <w:rsid w:val="004405A6"/>
    <w:rsid w:val="00442384"/>
    <w:rsid w:val="0044299D"/>
    <w:rsid w:val="00442A09"/>
    <w:rsid w:val="00442F4D"/>
    <w:rsid w:val="00443F34"/>
    <w:rsid w:val="0044431D"/>
    <w:rsid w:val="00444C6B"/>
    <w:rsid w:val="0044587D"/>
    <w:rsid w:val="00445A38"/>
    <w:rsid w:val="00445AB0"/>
    <w:rsid w:val="00445C19"/>
    <w:rsid w:val="00446B97"/>
    <w:rsid w:val="00446CBD"/>
    <w:rsid w:val="00447922"/>
    <w:rsid w:val="0045059B"/>
    <w:rsid w:val="004506BD"/>
    <w:rsid w:val="004511D5"/>
    <w:rsid w:val="004521D3"/>
    <w:rsid w:val="00453412"/>
    <w:rsid w:val="00453B21"/>
    <w:rsid w:val="00453DCA"/>
    <w:rsid w:val="004542FC"/>
    <w:rsid w:val="004551D4"/>
    <w:rsid w:val="00455B6F"/>
    <w:rsid w:val="004565B3"/>
    <w:rsid w:val="00457147"/>
    <w:rsid w:val="00457458"/>
    <w:rsid w:val="00462DC2"/>
    <w:rsid w:val="004650FC"/>
    <w:rsid w:val="00465351"/>
    <w:rsid w:val="00465AB6"/>
    <w:rsid w:val="00467B77"/>
    <w:rsid w:val="00467FBE"/>
    <w:rsid w:val="00471ABA"/>
    <w:rsid w:val="004724F5"/>
    <w:rsid w:val="00472629"/>
    <w:rsid w:val="00472658"/>
    <w:rsid w:val="00472E4D"/>
    <w:rsid w:val="00473A30"/>
    <w:rsid w:val="00473C95"/>
    <w:rsid w:val="00473D93"/>
    <w:rsid w:val="004748BB"/>
    <w:rsid w:val="00474C9E"/>
    <w:rsid w:val="00474CB3"/>
    <w:rsid w:val="00474E64"/>
    <w:rsid w:val="004771E8"/>
    <w:rsid w:val="00477242"/>
    <w:rsid w:val="004779AE"/>
    <w:rsid w:val="00480303"/>
    <w:rsid w:val="004809A8"/>
    <w:rsid w:val="0048291F"/>
    <w:rsid w:val="00482B22"/>
    <w:rsid w:val="00482F5A"/>
    <w:rsid w:val="0048344C"/>
    <w:rsid w:val="00483620"/>
    <w:rsid w:val="00483881"/>
    <w:rsid w:val="00483B7F"/>
    <w:rsid w:val="00483BD1"/>
    <w:rsid w:val="00483BF0"/>
    <w:rsid w:val="00485583"/>
    <w:rsid w:val="00485A64"/>
    <w:rsid w:val="00485D44"/>
    <w:rsid w:val="00486D0A"/>
    <w:rsid w:val="004876EB"/>
    <w:rsid w:val="004879F4"/>
    <w:rsid w:val="00490A49"/>
    <w:rsid w:val="00490E3F"/>
    <w:rsid w:val="00491588"/>
    <w:rsid w:val="00491B9E"/>
    <w:rsid w:val="00491F82"/>
    <w:rsid w:val="00492AFC"/>
    <w:rsid w:val="00494433"/>
    <w:rsid w:val="00494CAB"/>
    <w:rsid w:val="004958A4"/>
    <w:rsid w:val="0049622E"/>
    <w:rsid w:val="00496CE0"/>
    <w:rsid w:val="00497896"/>
    <w:rsid w:val="0049796D"/>
    <w:rsid w:val="004A011D"/>
    <w:rsid w:val="004A0AFB"/>
    <w:rsid w:val="004A0D6A"/>
    <w:rsid w:val="004A3262"/>
    <w:rsid w:val="004A3D22"/>
    <w:rsid w:val="004A52A6"/>
    <w:rsid w:val="004A5710"/>
    <w:rsid w:val="004A6812"/>
    <w:rsid w:val="004A7661"/>
    <w:rsid w:val="004A7E2B"/>
    <w:rsid w:val="004B000B"/>
    <w:rsid w:val="004B00C3"/>
    <w:rsid w:val="004B013F"/>
    <w:rsid w:val="004B0442"/>
    <w:rsid w:val="004B150E"/>
    <w:rsid w:val="004B1F42"/>
    <w:rsid w:val="004B20CF"/>
    <w:rsid w:val="004B298B"/>
    <w:rsid w:val="004B302C"/>
    <w:rsid w:val="004B325B"/>
    <w:rsid w:val="004B5922"/>
    <w:rsid w:val="004B63EC"/>
    <w:rsid w:val="004B64ED"/>
    <w:rsid w:val="004B751A"/>
    <w:rsid w:val="004C0588"/>
    <w:rsid w:val="004C0677"/>
    <w:rsid w:val="004C1640"/>
    <w:rsid w:val="004C2111"/>
    <w:rsid w:val="004C2277"/>
    <w:rsid w:val="004C249F"/>
    <w:rsid w:val="004C2876"/>
    <w:rsid w:val="004C3CA4"/>
    <w:rsid w:val="004C49D1"/>
    <w:rsid w:val="004C4D51"/>
    <w:rsid w:val="004C4E8D"/>
    <w:rsid w:val="004C5113"/>
    <w:rsid w:val="004C51E5"/>
    <w:rsid w:val="004C56CA"/>
    <w:rsid w:val="004C5833"/>
    <w:rsid w:val="004C639E"/>
    <w:rsid w:val="004C73E7"/>
    <w:rsid w:val="004C7F05"/>
    <w:rsid w:val="004D0B3E"/>
    <w:rsid w:val="004D0C07"/>
    <w:rsid w:val="004D19B5"/>
    <w:rsid w:val="004D1D8D"/>
    <w:rsid w:val="004D25F6"/>
    <w:rsid w:val="004D3552"/>
    <w:rsid w:val="004D3BE7"/>
    <w:rsid w:val="004D4929"/>
    <w:rsid w:val="004D6927"/>
    <w:rsid w:val="004D7D96"/>
    <w:rsid w:val="004E0955"/>
    <w:rsid w:val="004E0B33"/>
    <w:rsid w:val="004E112A"/>
    <w:rsid w:val="004E113D"/>
    <w:rsid w:val="004E16AC"/>
    <w:rsid w:val="004E1781"/>
    <w:rsid w:val="004E364F"/>
    <w:rsid w:val="004E429F"/>
    <w:rsid w:val="004E6E64"/>
    <w:rsid w:val="004E7685"/>
    <w:rsid w:val="004E775B"/>
    <w:rsid w:val="004E7D7D"/>
    <w:rsid w:val="004E7E75"/>
    <w:rsid w:val="004F018C"/>
    <w:rsid w:val="004F0C32"/>
    <w:rsid w:val="004F0CEA"/>
    <w:rsid w:val="004F1045"/>
    <w:rsid w:val="004F1144"/>
    <w:rsid w:val="004F1822"/>
    <w:rsid w:val="004F1B09"/>
    <w:rsid w:val="004F32A2"/>
    <w:rsid w:val="004F380B"/>
    <w:rsid w:val="004F3AF6"/>
    <w:rsid w:val="004F3B80"/>
    <w:rsid w:val="004F46EA"/>
    <w:rsid w:val="004F505C"/>
    <w:rsid w:val="004F52CF"/>
    <w:rsid w:val="004F5BDA"/>
    <w:rsid w:val="004F5DE5"/>
    <w:rsid w:val="004F5E62"/>
    <w:rsid w:val="004F5EF0"/>
    <w:rsid w:val="004F6D89"/>
    <w:rsid w:val="004F739C"/>
    <w:rsid w:val="004F74C3"/>
    <w:rsid w:val="004F76E2"/>
    <w:rsid w:val="0050004B"/>
    <w:rsid w:val="005007DD"/>
    <w:rsid w:val="0050165A"/>
    <w:rsid w:val="00501983"/>
    <w:rsid w:val="00501C19"/>
    <w:rsid w:val="0050237D"/>
    <w:rsid w:val="0050247E"/>
    <w:rsid w:val="00502610"/>
    <w:rsid w:val="00502C30"/>
    <w:rsid w:val="00502C9A"/>
    <w:rsid w:val="00502E63"/>
    <w:rsid w:val="00503247"/>
    <w:rsid w:val="00503957"/>
    <w:rsid w:val="00503A89"/>
    <w:rsid w:val="0050552B"/>
    <w:rsid w:val="00505C83"/>
    <w:rsid w:val="00506009"/>
    <w:rsid w:val="005065B2"/>
    <w:rsid w:val="00506FFB"/>
    <w:rsid w:val="00507243"/>
    <w:rsid w:val="00507394"/>
    <w:rsid w:val="0050744C"/>
    <w:rsid w:val="005075E1"/>
    <w:rsid w:val="00507CD0"/>
    <w:rsid w:val="0051009D"/>
    <w:rsid w:val="00511AA5"/>
    <w:rsid w:val="00511C56"/>
    <w:rsid w:val="00511E07"/>
    <w:rsid w:val="00511F74"/>
    <w:rsid w:val="00514373"/>
    <w:rsid w:val="0051469E"/>
    <w:rsid w:val="005148CA"/>
    <w:rsid w:val="00514BD6"/>
    <w:rsid w:val="00514FFA"/>
    <w:rsid w:val="005158FD"/>
    <w:rsid w:val="0051597B"/>
    <w:rsid w:val="00516132"/>
    <w:rsid w:val="00516587"/>
    <w:rsid w:val="00516BEC"/>
    <w:rsid w:val="00516FE4"/>
    <w:rsid w:val="00516FF9"/>
    <w:rsid w:val="00517766"/>
    <w:rsid w:val="00520C5C"/>
    <w:rsid w:val="00520F98"/>
    <w:rsid w:val="0052159E"/>
    <w:rsid w:val="00521817"/>
    <w:rsid w:val="005218CD"/>
    <w:rsid w:val="0052319B"/>
    <w:rsid w:val="00523292"/>
    <w:rsid w:val="005243CC"/>
    <w:rsid w:val="005245E4"/>
    <w:rsid w:val="005250BC"/>
    <w:rsid w:val="00525289"/>
    <w:rsid w:val="0052543D"/>
    <w:rsid w:val="005254F6"/>
    <w:rsid w:val="00525ACF"/>
    <w:rsid w:val="00525AF2"/>
    <w:rsid w:val="00525D25"/>
    <w:rsid w:val="005267B2"/>
    <w:rsid w:val="00526858"/>
    <w:rsid w:val="00526CB8"/>
    <w:rsid w:val="00527285"/>
    <w:rsid w:val="005279AB"/>
    <w:rsid w:val="005309A7"/>
    <w:rsid w:val="005316D1"/>
    <w:rsid w:val="00531CE0"/>
    <w:rsid w:val="00531DA9"/>
    <w:rsid w:val="0053317B"/>
    <w:rsid w:val="0053406F"/>
    <w:rsid w:val="005344A2"/>
    <w:rsid w:val="00534EB3"/>
    <w:rsid w:val="00535AE0"/>
    <w:rsid w:val="005365E4"/>
    <w:rsid w:val="0053694F"/>
    <w:rsid w:val="00536BC1"/>
    <w:rsid w:val="00537B82"/>
    <w:rsid w:val="00541C18"/>
    <w:rsid w:val="00541C9F"/>
    <w:rsid w:val="00541FD5"/>
    <w:rsid w:val="00542C15"/>
    <w:rsid w:val="00542EC9"/>
    <w:rsid w:val="00542F55"/>
    <w:rsid w:val="00543511"/>
    <w:rsid w:val="005438C6"/>
    <w:rsid w:val="00544366"/>
    <w:rsid w:val="005443BD"/>
    <w:rsid w:val="00544613"/>
    <w:rsid w:val="00544818"/>
    <w:rsid w:val="00544BA8"/>
    <w:rsid w:val="0054535F"/>
    <w:rsid w:val="00545BB1"/>
    <w:rsid w:val="00546A23"/>
    <w:rsid w:val="00547144"/>
    <w:rsid w:val="005473CA"/>
    <w:rsid w:val="005474DA"/>
    <w:rsid w:val="00547F8E"/>
    <w:rsid w:val="0055042B"/>
    <w:rsid w:val="0055088F"/>
    <w:rsid w:val="00550FCA"/>
    <w:rsid w:val="005510CA"/>
    <w:rsid w:val="005512AE"/>
    <w:rsid w:val="005519AC"/>
    <w:rsid w:val="00551A5F"/>
    <w:rsid w:val="00553226"/>
    <w:rsid w:val="00553702"/>
    <w:rsid w:val="005541BC"/>
    <w:rsid w:val="00554458"/>
    <w:rsid w:val="005544ED"/>
    <w:rsid w:val="005550B8"/>
    <w:rsid w:val="00555808"/>
    <w:rsid w:val="00555C1E"/>
    <w:rsid w:val="00555E4B"/>
    <w:rsid w:val="00556202"/>
    <w:rsid w:val="005562E7"/>
    <w:rsid w:val="0055668A"/>
    <w:rsid w:val="00556AE3"/>
    <w:rsid w:val="00556D35"/>
    <w:rsid w:val="00556D95"/>
    <w:rsid w:val="00556FA5"/>
    <w:rsid w:val="0055701E"/>
    <w:rsid w:val="005571EC"/>
    <w:rsid w:val="0056018F"/>
    <w:rsid w:val="00560584"/>
    <w:rsid w:val="005609B2"/>
    <w:rsid w:val="00560A3A"/>
    <w:rsid w:val="00561145"/>
    <w:rsid w:val="0056115E"/>
    <w:rsid w:val="005617FA"/>
    <w:rsid w:val="005625E1"/>
    <w:rsid w:val="00562932"/>
    <w:rsid w:val="00562A86"/>
    <w:rsid w:val="00562DE2"/>
    <w:rsid w:val="00562E02"/>
    <w:rsid w:val="00563157"/>
    <w:rsid w:val="00563247"/>
    <w:rsid w:val="005640C8"/>
    <w:rsid w:val="005650DE"/>
    <w:rsid w:val="005655D1"/>
    <w:rsid w:val="00567B18"/>
    <w:rsid w:val="0057035D"/>
    <w:rsid w:val="00570D35"/>
    <w:rsid w:val="00571017"/>
    <w:rsid w:val="005717E4"/>
    <w:rsid w:val="00571F5A"/>
    <w:rsid w:val="00572DDC"/>
    <w:rsid w:val="005734BC"/>
    <w:rsid w:val="0057385F"/>
    <w:rsid w:val="005747A0"/>
    <w:rsid w:val="00576C50"/>
    <w:rsid w:val="0057726E"/>
    <w:rsid w:val="005773BB"/>
    <w:rsid w:val="0057771A"/>
    <w:rsid w:val="0058007A"/>
    <w:rsid w:val="0058049C"/>
    <w:rsid w:val="005804F6"/>
    <w:rsid w:val="0058071D"/>
    <w:rsid w:val="00580A10"/>
    <w:rsid w:val="0058157D"/>
    <w:rsid w:val="00581C65"/>
    <w:rsid w:val="005827B2"/>
    <w:rsid w:val="00582C05"/>
    <w:rsid w:val="00583083"/>
    <w:rsid w:val="00583C22"/>
    <w:rsid w:val="00584A49"/>
    <w:rsid w:val="00584B17"/>
    <w:rsid w:val="00585015"/>
    <w:rsid w:val="00585413"/>
    <w:rsid w:val="00585920"/>
    <w:rsid w:val="00585E37"/>
    <w:rsid w:val="00586277"/>
    <w:rsid w:val="005863BB"/>
    <w:rsid w:val="00586B85"/>
    <w:rsid w:val="00586BE4"/>
    <w:rsid w:val="005903CD"/>
    <w:rsid w:val="005909E1"/>
    <w:rsid w:val="00590ADB"/>
    <w:rsid w:val="00590DE7"/>
    <w:rsid w:val="00590E0B"/>
    <w:rsid w:val="0059197E"/>
    <w:rsid w:val="00591CD5"/>
    <w:rsid w:val="00592A16"/>
    <w:rsid w:val="00592C86"/>
    <w:rsid w:val="00593242"/>
    <w:rsid w:val="00593628"/>
    <w:rsid w:val="00593F87"/>
    <w:rsid w:val="0059470E"/>
    <w:rsid w:val="0059492C"/>
    <w:rsid w:val="005951C4"/>
    <w:rsid w:val="00595D63"/>
    <w:rsid w:val="00595D64"/>
    <w:rsid w:val="00596938"/>
    <w:rsid w:val="00596AD8"/>
    <w:rsid w:val="00596DBF"/>
    <w:rsid w:val="00597A7A"/>
    <w:rsid w:val="00597D5D"/>
    <w:rsid w:val="00597EA5"/>
    <w:rsid w:val="005A104C"/>
    <w:rsid w:val="005A1250"/>
    <w:rsid w:val="005A1D42"/>
    <w:rsid w:val="005A2ACE"/>
    <w:rsid w:val="005A3488"/>
    <w:rsid w:val="005A3ABB"/>
    <w:rsid w:val="005A3C82"/>
    <w:rsid w:val="005A417A"/>
    <w:rsid w:val="005A46CD"/>
    <w:rsid w:val="005A4B61"/>
    <w:rsid w:val="005A5695"/>
    <w:rsid w:val="005A5FF6"/>
    <w:rsid w:val="005A6C10"/>
    <w:rsid w:val="005A6CCA"/>
    <w:rsid w:val="005A7AA9"/>
    <w:rsid w:val="005A7EED"/>
    <w:rsid w:val="005B0E48"/>
    <w:rsid w:val="005B1491"/>
    <w:rsid w:val="005B28AA"/>
    <w:rsid w:val="005B2908"/>
    <w:rsid w:val="005B29BD"/>
    <w:rsid w:val="005B307D"/>
    <w:rsid w:val="005B3529"/>
    <w:rsid w:val="005B41FE"/>
    <w:rsid w:val="005B451E"/>
    <w:rsid w:val="005B4845"/>
    <w:rsid w:val="005B53FD"/>
    <w:rsid w:val="005B6531"/>
    <w:rsid w:val="005B68B5"/>
    <w:rsid w:val="005B71DA"/>
    <w:rsid w:val="005B7229"/>
    <w:rsid w:val="005C0369"/>
    <w:rsid w:val="005C0826"/>
    <w:rsid w:val="005C0AF2"/>
    <w:rsid w:val="005C0DD5"/>
    <w:rsid w:val="005C10F4"/>
    <w:rsid w:val="005C13F4"/>
    <w:rsid w:val="005C1A18"/>
    <w:rsid w:val="005C1BC0"/>
    <w:rsid w:val="005C2690"/>
    <w:rsid w:val="005C2891"/>
    <w:rsid w:val="005C2AFF"/>
    <w:rsid w:val="005C2F39"/>
    <w:rsid w:val="005C3179"/>
    <w:rsid w:val="005C3808"/>
    <w:rsid w:val="005C424D"/>
    <w:rsid w:val="005C61BD"/>
    <w:rsid w:val="005C6363"/>
    <w:rsid w:val="005C6FD0"/>
    <w:rsid w:val="005C7B45"/>
    <w:rsid w:val="005C7BE2"/>
    <w:rsid w:val="005D0B2A"/>
    <w:rsid w:val="005D16F3"/>
    <w:rsid w:val="005D17CF"/>
    <w:rsid w:val="005D1D0D"/>
    <w:rsid w:val="005D1D6C"/>
    <w:rsid w:val="005D2014"/>
    <w:rsid w:val="005D3186"/>
    <w:rsid w:val="005D32F0"/>
    <w:rsid w:val="005D362E"/>
    <w:rsid w:val="005D432B"/>
    <w:rsid w:val="005D5736"/>
    <w:rsid w:val="005D6080"/>
    <w:rsid w:val="005D67F7"/>
    <w:rsid w:val="005D6D42"/>
    <w:rsid w:val="005D7300"/>
    <w:rsid w:val="005D7824"/>
    <w:rsid w:val="005E08EC"/>
    <w:rsid w:val="005E0CC7"/>
    <w:rsid w:val="005E1170"/>
    <w:rsid w:val="005E1893"/>
    <w:rsid w:val="005E1BF7"/>
    <w:rsid w:val="005E1EC8"/>
    <w:rsid w:val="005E2084"/>
    <w:rsid w:val="005E21FB"/>
    <w:rsid w:val="005E2734"/>
    <w:rsid w:val="005E2BC1"/>
    <w:rsid w:val="005E2F7E"/>
    <w:rsid w:val="005E43EC"/>
    <w:rsid w:val="005E5BD9"/>
    <w:rsid w:val="005E5FA1"/>
    <w:rsid w:val="005E60E1"/>
    <w:rsid w:val="005E69A8"/>
    <w:rsid w:val="005E7001"/>
    <w:rsid w:val="005E7232"/>
    <w:rsid w:val="005F0E10"/>
    <w:rsid w:val="005F1115"/>
    <w:rsid w:val="005F271D"/>
    <w:rsid w:val="005F284F"/>
    <w:rsid w:val="005F2E6B"/>
    <w:rsid w:val="005F309E"/>
    <w:rsid w:val="005F4483"/>
    <w:rsid w:val="005F44AF"/>
    <w:rsid w:val="005F45F0"/>
    <w:rsid w:val="005F68CC"/>
    <w:rsid w:val="00600D66"/>
    <w:rsid w:val="0060119F"/>
    <w:rsid w:val="00601FA4"/>
    <w:rsid w:val="00602244"/>
    <w:rsid w:val="00602E1C"/>
    <w:rsid w:val="0060310C"/>
    <w:rsid w:val="00603282"/>
    <w:rsid w:val="00603E15"/>
    <w:rsid w:val="00604F51"/>
    <w:rsid w:val="00605244"/>
    <w:rsid w:val="0060605B"/>
    <w:rsid w:val="00606F19"/>
    <w:rsid w:val="00607A7E"/>
    <w:rsid w:val="0061018E"/>
    <w:rsid w:val="00611E2E"/>
    <w:rsid w:val="00611E4A"/>
    <w:rsid w:val="00611EA0"/>
    <w:rsid w:val="0061203F"/>
    <w:rsid w:val="00612726"/>
    <w:rsid w:val="00612E7F"/>
    <w:rsid w:val="00613C0A"/>
    <w:rsid w:val="006149DC"/>
    <w:rsid w:val="006166A2"/>
    <w:rsid w:val="00617197"/>
    <w:rsid w:val="0061724A"/>
    <w:rsid w:val="00617427"/>
    <w:rsid w:val="00620142"/>
    <w:rsid w:val="006202D2"/>
    <w:rsid w:val="00621038"/>
    <w:rsid w:val="00622189"/>
    <w:rsid w:val="00622F72"/>
    <w:rsid w:val="00623690"/>
    <w:rsid w:val="00624633"/>
    <w:rsid w:val="00624F2D"/>
    <w:rsid w:val="0062541C"/>
    <w:rsid w:val="00625C7F"/>
    <w:rsid w:val="006266AE"/>
    <w:rsid w:val="006266BD"/>
    <w:rsid w:val="00627723"/>
    <w:rsid w:val="006277B3"/>
    <w:rsid w:val="00627A12"/>
    <w:rsid w:val="00627E5A"/>
    <w:rsid w:val="00630102"/>
    <w:rsid w:val="00630A46"/>
    <w:rsid w:val="00630A7D"/>
    <w:rsid w:val="00631839"/>
    <w:rsid w:val="00631DEA"/>
    <w:rsid w:val="00633210"/>
    <w:rsid w:val="00634433"/>
    <w:rsid w:val="00634C02"/>
    <w:rsid w:val="00635818"/>
    <w:rsid w:val="00635A2F"/>
    <w:rsid w:val="00635B14"/>
    <w:rsid w:val="00636C4C"/>
    <w:rsid w:val="00637022"/>
    <w:rsid w:val="0063745F"/>
    <w:rsid w:val="00637B61"/>
    <w:rsid w:val="006402F0"/>
    <w:rsid w:val="00640362"/>
    <w:rsid w:val="006411CC"/>
    <w:rsid w:val="006417B4"/>
    <w:rsid w:val="00641E0B"/>
    <w:rsid w:val="0064389B"/>
    <w:rsid w:val="00644ACA"/>
    <w:rsid w:val="00645E3B"/>
    <w:rsid w:val="006469C2"/>
    <w:rsid w:val="00647357"/>
    <w:rsid w:val="006477BF"/>
    <w:rsid w:val="006502A9"/>
    <w:rsid w:val="006509C7"/>
    <w:rsid w:val="00651C77"/>
    <w:rsid w:val="006527E5"/>
    <w:rsid w:val="00652B2D"/>
    <w:rsid w:val="00652BDB"/>
    <w:rsid w:val="00653430"/>
    <w:rsid w:val="00653B98"/>
    <w:rsid w:val="00653FA9"/>
    <w:rsid w:val="006546D8"/>
    <w:rsid w:val="00654D78"/>
    <w:rsid w:val="00655EC8"/>
    <w:rsid w:val="00656009"/>
    <w:rsid w:val="00656118"/>
    <w:rsid w:val="0065701C"/>
    <w:rsid w:val="0065738A"/>
    <w:rsid w:val="006578C8"/>
    <w:rsid w:val="006578DA"/>
    <w:rsid w:val="00660528"/>
    <w:rsid w:val="00660DE0"/>
    <w:rsid w:val="006610BF"/>
    <w:rsid w:val="00662A86"/>
    <w:rsid w:val="0066316D"/>
    <w:rsid w:val="00663419"/>
    <w:rsid w:val="00663BA6"/>
    <w:rsid w:val="006640F9"/>
    <w:rsid w:val="006646EF"/>
    <w:rsid w:val="00664A94"/>
    <w:rsid w:val="006650D3"/>
    <w:rsid w:val="006666A5"/>
    <w:rsid w:val="006668F0"/>
    <w:rsid w:val="00666DA6"/>
    <w:rsid w:val="00667E41"/>
    <w:rsid w:val="0067016A"/>
    <w:rsid w:val="006701DA"/>
    <w:rsid w:val="0067058F"/>
    <w:rsid w:val="00670B03"/>
    <w:rsid w:val="00671929"/>
    <w:rsid w:val="00672048"/>
    <w:rsid w:val="00675AA1"/>
    <w:rsid w:val="00676215"/>
    <w:rsid w:val="006771A3"/>
    <w:rsid w:val="0068094A"/>
    <w:rsid w:val="00680AA6"/>
    <w:rsid w:val="006824AC"/>
    <w:rsid w:val="00683C9E"/>
    <w:rsid w:val="00683FE5"/>
    <w:rsid w:val="00685E31"/>
    <w:rsid w:val="0068763A"/>
    <w:rsid w:val="006876DC"/>
    <w:rsid w:val="00691818"/>
    <w:rsid w:val="00691930"/>
    <w:rsid w:val="00691D6E"/>
    <w:rsid w:val="00694586"/>
    <w:rsid w:val="0069499B"/>
    <w:rsid w:val="00696EA6"/>
    <w:rsid w:val="006973D9"/>
    <w:rsid w:val="006974B3"/>
    <w:rsid w:val="006977DD"/>
    <w:rsid w:val="006A1A61"/>
    <w:rsid w:val="006A36D9"/>
    <w:rsid w:val="006A38C5"/>
    <w:rsid w:val="006A4A5D"/>
    <w:rsid w:val="006A50FC"/>
    <w:rsid w:val="006A5280"/>
    <w:rsid w:val="006A6EBD"/>
    <w:rsid w:val="006A738E"/>
    <w:rsid w:val="006A7E2E"/>
    <w:rsid w:val="006B0312"/>
    <w:rsid w:val="006B06EF"/>
    <w:rsid w:val="006B0F3C"/>
    <w:rsid w:val="006B1438"/>
    <w:rsid w:val="006B271E"/>
    <w:rsid w:val="006B2D9A"/>
    <w:rsid w:val="006B38C3"/>
    <w:rsid w:val="006B461D"/>
    <w:rsid w:val="006B4EBE"/>
    <w:rsid w:val="006B5072"/>
    <w:rsid w:val="006B5D2F"/>
    <w:rsid w:val="006B61B5"/>
    <w:rsid w:val="006B78C1"/>
    <w:rsid w:val="006B7E68"/>
    <w:rsid w:val="006C04A3"/>
    <w:rsid w:val="006C18CB"/>
    <w:rsid w:val="006C195A"/>
    <w:rsid w:val="006C1B22"/>
    <w:rsid w:val="006C2424"/>
    <w:rsid w:val="006C2C2C"/>
    <w:rsid w:val="006C46DB"/>
    <w:rsid w:val="006C53F1"/>
    <w:rsid w:val="006C58E0"/>
    <w:rsid w:val="006C6C29"/>
    <w:rsid w:val="006C6D78"/>
    <w:rsid w:val="006C7044"/>
    <w:rsid w:val="006C716E"/>
    <w:rsid w:val="006D0731"/>
    <w:rsid w:val="006D1646"/>
    <w:rsid w:val="006D248F"/>
    <w:rsid w:val="006D2B46"/>
    <w:rsid w:val="006D30CC"/>
    <w:rsid w:val="006D380D"/>
    <w:rsid w:val="006D383D"/>
    <w:rsid w:val="006D41C4"/>
    <w:rsid w:val="006D4357"/>
    <w:rsid w:val="006D439A"/>
    <w:rsid w:val="006D47D3"/>
    <w:rsid w:val="006D4BD7"/>
    <w:rsid w:val="006D4F2A"/>
    <w:rsid w:val="006D5749"/>
    <w:rsid w:val="006D5EAE"/>
    <w:rsid w:val="006D669D"/>
    <w:rsid w:val="006D680F"/>
    <w:rsid w:val="006D69B7"/>
    <w:rsid w:val="006D6F20"/>
    <w:rsid w:val="006D7145"/>
    <w:rsid w:val="006D7CA9"/>
    <w:rsid w:val="006E121C"/>
    <w:rsid w:val="006E1278"/>
    <w:rsid w:val="006E12BF"/>
    <w:rsid w:val="006E1430"/>
    <w:rsid w:val="006E1D3D"/>
    <w:rsid w:val="006E21AF"/>
    <w:rsid w:val="006E2C00"/>
    <w:rsid w:val="006E3384"/>
    <w:rsid w:val="006E33DA"/>
    <w:rsid w:val="006E3802"/>
    <w:rsid w:val="006E456D"/>
    <w:rsid w:val="006E5DEE"/>
    <w:rsid w:val="006E6695"/>
    <w:rsid w:val="006E67C9"/>
    <w:rsid w:val="006E6876"/>
    <w:rsid w:val="006E7570"/>
    <w:rsid w:val="006E7F69"/>
    <w:rsid w:val="006F0425"/>
    <w:rsid w:val="006F0758"/>
    <w:rsid w:val="006F0CD7"/>
    <w:rsid w:val="006F0ED9"/>
    <w:rsid w:val="006F1A43"/>
    <w:rsid w:val="006F2404"/>
    <w:rsid w:val="006F273A"/>
    <w:rsid w:val="006F3137"/>
    <w:rsid w:val="006F49B3"/>
    <w:rsid w:val="006F4DE7"/>
    <w:rsid w:val="006F5499"/>
    <w:rsid w:val="006F55F6"/>
    <w:rsid w:val="006F5742"/>
    <w:rsid w:val="006F577D"/>
    <w:rsid w:val="006F6E22"/>
    <w:rsid w:val="00701222"/>
    <w:rsid w:val="0070147C"/>
    <w:rsid w:val="00701C17"/>
    <w:rsid w:val="007023AA"/>
    <w:rsid w:val="00703322"/>
    <w:rsid w:val="007036B1"/>
    <w:rsid w:val="00703A43"/>
    <w:rsid w:val="00704767"/>
    <w:rsid w:val="0070477B"/>
    <w:rsid w:val="007047AB"/>
    <w:rsid w:val="00705681"/>
    <w:rsid w:val="007056D6"/>
    <w:rsid w:val="0070659C"/>
    <w:rsid w:val="00706A92"/>
    <w:rsid w:val="00706E54"/>
    <w:rsid w:val="00707965"/>
    <w:rsid w:val="00707D66"/>
    <w:rsid w:val="00707EEE"/>
    <w:rsid w:val="0071081C"/>
    <w:rsid w:val="007124DA"/>
    <w:rsid w:val="00712D20"/>
    <w:rsid w:val="00713B5F"/>
    <w:rsid w:val="00713C83"/>
    <w:rsid w:val="00713C8E"/>
    <w:rsid w:val="00714002"/>
    <w:rsid w:val="007151D6"/>
    <w:rsid w:val="007151EF"/>
    <w:rsid w:val="00715E14"/>
    <w:rsid w:val="00715FD7"/>
    <w:rsid w:val="007163E2"/>
    <w:rsid w:val="0071703B"/>
    <w:rsid w:val="00722163"/>
    <w:rsid w:val="007236FF"/>
    <w:rsid w:val="00723708"/>
    <w:rsid w:val="00724803"/>
    <w:rsid w:val="00724AFB"/>
    <w:rsid w:val="0072670E"/>
    <w:rsid w:val="007267B6"/>
    <w:rsid w:val="00727337"/>
    <w:rsid w:val="0072738B"/>
    <w:rsid w:val="007301C3"/>
    <w:rsid w:val="007310E4"/>
    <w:rsid w:val="00731C45"/>
    <w:rsid w:val="00731F50"/>
    <w:rsid w:val="007323D7"/>
    <w:rsid w:val="007335E7"/>
    <w:rsid w:val="00733A6C"/>
    <w:rsid w:val="00733BF1"/>
    <w:rsid w:val="00734448"/>
    <w:rsid w:val="00734983"/>
    <w:rsid w:val="00734B7A"/>
    <w:rsid w:val="00734C38"/>
    <w:rsid w:val="00734E3E"/>
    <w:rsid w:val="00735CD1"/>
    <w:rsid w:val="00735DE9"/>
    <w:rsid w:val="00735F2A"/>
    <w:rsid w:val="00736822"/>
    <w:rsid w:val="0073720B"/>
    <w:rsid w:val="007404B4"/>
    <w:rsid w:val="00740937"/>
    <w:rsid w:val="00740A5F"/>
    <w:rsid w:val="00741F7E"/>
    <w:rsid w:val="007432D3"/>
    <w:rsid w:val="00743D2B"/>
    <w:rsid w:val="00744E1D"/>
    <w:rsid w:val="0074544B"/>
    <w:rsid w:val="00745592"/>
    <w:rsid w:val="007478C3"/>
    <w:rsid w:val="00750452"/>
    <w:rsid w:val="00750F79"/>
    <w:rsid w:val="00751256"/>
    <w:rsid w:val="00751356"/>
    <w:rsid w:val="007514D5"/>
    <w:rsid w:val="0075297B"/>
    <w:rsid w:val="007532E6"/>
    <w:rsid w:val="007538FF"/>
    <w:rsid w:val="00755142"/>
    <w:rsid w:val="00755602"/>
    <w:rsid w:val="007559AF"/>
    <w:rsid w:val="00755C68"/>
    <w:rsid w:val="00755F4D"/>
    <w:rsid w:val="007567AE"/>
    <w:rsid w:val="00756E11"/>
    <w:rsid w:val="00756F70"/>
    <w:rsid w:val="00756FB4"/>
    <w:rsid w:val="00757A8A"/>
    <w:rsid w:val="00760237"/>
    <w:rsid w:val="007605C9"/>
    <w:rsid w:val="007610FB"/>
    <w:rsid w:val="007611A1"/>
    <w:rsid w:val="007621CE"/>
    <w:rsid w:val="007623BC"/>
    <w:rsid w:val="007625EF"/>
    <w:rsid w:val="00762770"/>
    <w:rsid w:val="007630E5"/>
    <w:rsid w:val="007631EC"/>
    <w:rsid w:val="0076450F"/>
    <w:rsid w:val="00766025"/>
    <w:rsid w:val="00766430"/>
    <w:rsid w:val="0076648A"/>
    <w:rsid w:val="00766FDD"/>
    <w:rsid w:val="00767232"/>
    <w:rsid w:val="0077011B"/>
    <w:rsid w:val="007709CD"/>
    <w:rsid w:val="00770D4A"/>
    <w:rsid w:val="007714AB"/>
    <w:rsid w:val="00772402"/>
    <w:rsid w:val="0077255F"/>
    <w:rsid w:val="0077398D"/>
    <w:rsid w:val="00773C22"/>
    <w:rsid w:val="00774045"/>
    <w:rsid w:val="007743DC"/>
    <w:rsid w:val="0077485A"/>
    <w:rsid w:val="00775059"/>
    <w:rsid w:val="00775331"/>
    <w:rsid w:val="00775496"/>
    <w:rsid w:val="00775C14"/>
    <w:rsid w:val="00775DCB"/>
    <w:rsid w:val="007765B0"/>
    <w:rsid w:val="00776A0D"/>
    <w:rsid w:val="00776ED6"/>
    <w:rsid w:val="00777C57"/>
    <w:rsid w:val="00777D4D"/>
    <w:rsid w:val="007805E1"/>
    <w:rsid w:val="00780DC8"/>
    <w:rsid w:val="007818E9"/>
    <w:rsid w:val="007834D7"/>
    <w:rsid w:val="00783E8F"/>
    <w:rsid w:val="0078499D"/>
    <w:rsid w:val="00784A50"/>
    <w:rsid w:val="00784CBE"/>
    <w:rsid w:val="00784E92"/>
    <w:rsid w:val="00784FF3"/>
    <w:rsid w:val="00785D45"/>
    <w:rsid w:val="007878F4"/>
    <w:rsid w:val="0079039E"/>
    <w:rsid w:val="00790421"/>
    <w:rsid w:val="0079122E"/>
    <w:rsid w:val="00791D98"/>
    <w:rsid w:val="00792978"/>
    <w:rsid w:val="00792E53"/>
    <w:rsid w:val="0079312D"/>
    <w:rsid w:val="007935E9"/>
    <w:rsid w:val="0079361E"/>
    <w:rsid w:val="007946AE"/>
    <w:rsid w:val="00794C70"/>
    <w:rsid w:val="007956FF"/>
    <w:rsid w:val="00795C13"/>
    <w:rsid w:val="007A04D6"/>
    <w:rsid w:val="007A25B7"/>
    <w:rsid w:val="007A29DA"/>
    <w:rsid w:val="007A2FFE"/>
    <w:rsid w:val="007A314F"/>
    <w:rsid w:val="007A47A2"/>
    <w:rsid w:val="007A4980"/>
    <w:rsid w:val="007A4EAD"/>
    <w:rsid w:val="007A5AB9"/>
    <w:rsid w:val="007A7507"/>
    <w:rsid w:val="007B03FD"/>
    <w:rsid w:val="007B087C"/>
    <w:rsid w:val="007B2965"/>
    <w:rsid w:val="007B2E58"/>
    <w:rsid w:val="007B301A"/>
    <w:rsid w:val="007B33C4"/>
    <w:rsid w:val="007B3661"/>
    <w:rsid w:val="007B3C04"/>
    <w:rsid w:val="007B42D3"/>
    <w:rsid w:val="007B4813"/>
    <w:rsid w:val="007B4A54"/>
    <w:rsid w:val="007B51D2"/>
    <w:rsid w:val="007B53D3"/>
    <w:rsid w:val="007B65E7"/>
    <w:rsid w:val="007B6F37"/>
    <w:rsid w:val="007C0FF1"/>
    <w:rsid w:val="007C1C2D"/>
    <w:rsid w:val="007C22D6"/>
    <w:rsid w:val="007C28FF"/>
    <w:rsid w:val="007C31A5"/>
    <w:rsid w:val="007C3C5C"/>
    <w:rsid w:val="007C3FCA"/>
    <w:rsid w:val="007C46FC"/>
    <w:rsid w:val="007C4E29"/>
    <w:rsid w:val="007C558F"/>
    <w:rsid w:val="007C5FA2"/>
    <w:rsid w:val="007D020E"/>
    <w:rsid w:val="007D105B"/>
    <w:rsid w:val="007D1C07"/>
    <w:rsid w:val="007D1C9D"/>
    <w:rsid w:val="007D2257"/>
    <w:rsid w:val="007D3432"/>
    <w:rsid w:val="007D41AD"/>
    <w:rsid w:val="007D5C6F"/>
    <w:rsid w:val="007D642D"/>
    <w:rsid w:val="007D652F"/>
    <w:rsid w:val="007D65F4"/>
    <w:rsid w:val="007D700F"/>
    <w:rsid w:val="007D7091"/>
    <w:rsid w:val="007D7A4F"/>
    <w:rsid w:val="007D7CEE"/>
    <w:rsid w:val="007E03CB"/>
    <w:rsid w:val="007E0DED"/>
    <w:rsid w:val="007E17B5"/>
    <w:rsid w:val="007E17EF"/>
    <w:rsid w:val="007E25A1"/>
    <w:rsid w:val="007E2E66"/>
    <w:rsid w:val="007E3856"/>
    <w:rsid w:val="007E3C8F"/>
    <w:rsid w:val="007E4865"/>
    <w:rsid w:val="007E59D9"/>
    <w:rsid w:val="007E6093"/>
    <w:rsid w:val="007E65A5"/>
    <w:rsid w:val="007E6C6A"/>
    <w:rsid w:val="007E7225"/>
    <w:rsid w:val="007E7436"/>
    <w:rsid w:val="007E789F"/>
    <w:rsid w:val="007F0639"/>
    <w:rsid w:val="007F10BB"/>
    <w:rsid w:val="007F144A"/>
    <w:rsid w:val="007F182F"/>
    <w:rsid w:val="007F24EA"/>
    <w:rsid w:val="007F2897"/>
    <w:rsid w:val="007F2BB1"/>
    <w:rsid w:val="007F2E2F"/>
    <w:rsid w:val="007F3936"/>
    <w:rsid w:val="007F3BC1"/>
    <w:rsid w:val="007F40B2"/>
    <w:rsid w:val="007F436F"/>
    <w:rsid w:val="007F47A6"/>
    <w:rsid w:val="007F5042"/>
    <w:rsid w:val="007F642F"/>
    <w:rsid w:val="007F6CB7"/>
    <w:rsid w:val="007F75B4"/>
    <w:rsid w:val="008003CC"/>
    <w:rsid w:val="00801501"/>
    <w:rsid w:val="00801876"/>
    <w:rsid w:val="0080233B"/>
    <w:rsid w:val="00803084"/>
    <w:rsid w:val="00803A0D"/>
    <w:rsid w:val="00803BB1"/>
    <w:rsid w:val="00803EE3"/>
    <w:rsid w:val="008044D1"/>
    <w:rsid w:val="00804C10"/>
    <w:rsid w:val="0080586B"/>
    <w:rsid w:val="00806201"/>
    <w:rsid w:val="008067CE"/>
    <w:rsid w:val="00806CC9"/>
    <w:rsid w:val="008079B9"/>
    <w:rsid w:val="00807C14"/>
    <w:rsid w:val="00807CC2"/>
    <w:rsid w:val="00810868"/>
    <w:rsid w:val="00810B81"/>
    <w:rsid w:val="00811AA2"/>
    <w:rsid w:val="00811DF5"/>
    <w:rsid w:val="00811FDD"/>
    <w:rsid w:val="008121E5"/>
    <w:rsid w:val="0081228E"/>
    <w:rsid w:val="008125F7"/>
    <w:rsid w:val="008129AB"/>
    <w:rsid w:val="00812BC9"/>
    <w:rsid w:val="00812F97"/>
    <w:rsid w:val="00814180"/>
    <w:rsid w:val="00815566"/>
    <w:rsid w:val="00815B96"/>
    <w:rsid w:val="00815D74"/>
    <w:rsid w:val="00815F52"/>
    <w:rsid w:val="00816C43"/>
    <w:rsid w:val="008177E1"/>
    <w:rsid w:val="00817B0A"/>
    <w:rsid w:val="00817E40"/>
    <w:rsid w:val="00821924"/>
    <w:rsid w:val="00821AEA"/>
    <w:rsid w:val="0082312A"/>
    <w:rsid w:val="00823C7E"/>
    <w:rsid w:val="008245FF"/>
    <w:rsid w:val="00824843"/>
    <w:rsid w:val="00824A37"/>
    <w:rsid w:val="008255F6"/>
    <w:rsid w:val="00825753"/>
    <w:rsid w:val="00825B2A"/>
    <w:rsid w:val="00825CCA"/>
    <w:rsid w:val="008260F4"/>
    <w:rsid w:val="00826E5A"/>
    <w:rsid w:val="008278AF"/>
    <w:rsid w:val="00830069"/>
    <w:rsid w:val="008307BA"/>
    <w:rsid w:val="0083097D"/>
    <w:rsid w:val="00830A9C"/>
    <w:rsid w:val="0083216D"/>
    <w:rsid w:val="008327F7"/>
    <w:rsid w:val="0083374F"/>
    <w:rsid w:val="00834863"/>
    <w:rsid w:val="008348CA"/>
    <w:rsid w:val="0083569A"/>
    <w:rsid w:val="00835952"/>
    <w:rsid w:val="00835D65"/>
    <w:rsid w:val="0083604F"/>
    <w:rsid w:val="0083651C"/>
    <w:rsid w:val="00836B13"/>
    <w:rsid w:val="00836E29"/>
    <w:rsid w:val="008375CC"/>
    <w:rsid w:val="00837779"/>
    <w:rsid w:val="0084008F"/>
    <w:rsid w:val="008403EC"/>
    <w:rsid w:val="008410CE"/>
    <w:rsid w:val="00841464"/>
    <w:rsid w:val="00841905"/>
    <w:rsid w:val="008419EA"/>
    <w:rsid w:val="00841D92"/>
    <w:rsid w:val="00841E11"/>
    <w:rsid w:val="00842A7E"/>
    <w:rsid w:val="00844C99"/>
    <w:rsid w:val="008453C4"/>
    <w:rsid w:val="00845AED"/>
    <w:rsid w:val="008465C1"/>
    <w:rsid w:val="008473F7"/>
    <w:rsid w:val="00851205"/>
    <w:rsid w:val="00851707"/>
    <w:rsid w:val="00854864"/>
    <w:rsid w:val="00854E96"/>
    <w:rsid w:val="008557D3"/>
    <w:rsid w:val="00857054"/>
    <w:rsid w:val="00860115"/>
    <w:rsid w:val="00862435"/>
    <w:rsid w:val="008631B5"/>
    <w:rsid w:val="00864088"/>
    <w:rsid w:val="008659C7"/>
    <w:rsid w:val="00866506"/>
    <w:rsid w:val="00867024"/>
    <w:rsid w:val="0086733B"/>
    <w:rsid w:val="0086775D"/>
    <w:rsid w:val="00871984"/>
    <w:rsid w:val="0087226E"/>
    <w:rsid w:val="00873D03"/>
    <w:rsid w:val="008745B1"/>
    <w:rsid w:val="0087545B"/>
    <w:rsid w:val="008754DB"/>
    <w:rsid w:val="0087651C"/>
    <w:rsid w:val="00876564"/>
    <w:rsid w:val="00877E9C"/>
    <w:rsid w:val="0088112A"/>
    <w:rsid w:val="008815B9"/>
    <w:rsid w:val="008819AD"/>
    <w:rsid w:val="00882023"/>
    <w:rsid w:val="008822AD"/>
    <w:rsid w:val="008827CF"/>
    <w:rsid w:val="00882B31"/>
    <w:rsid w:val="00884451"/>
    <w:rsid w:val="00884B72"/>
    <w:rsid w:val="00884CDB"/>
    <w:rsid w:val="00885692"/>
    <w:rsid w:val="00885ADD"/>
    <w:rsid w:val="00886509"/>
    <w:rsid w:val="008865EF"/>
    <w:rsid w:val="0088721C"/>
    <w:rsid w:val="0088767E"/>
    <w:rsid w:val="00887CCD"/>
    <w:rsid w:val="008905E3"/>
    <w:rsid w:val="00890B5D"/>
    <w:rsid w:val="00891C12"/>
    <w:rsid w:val="00892542"/>
    <w:rsid w:val="00893982"/>
    <w:rsid w:val="00893B9D"/>
    <w:rsid w:val="008942B1"/>
    <w:rsid w:val="0089481E"/>
    <w:rsid w:val="00895E76"/>
    <w:rsid w:val="008967CA"/>
    <w:rsid w:val="00896FD0"/>
    <w:rsid w:val="00897347"/>
    <w:rsid w:val="00897AB1"/>
    <w:rsid w:val="00897C55"/>
    <w:rsid w:val="00897E63"/>
    <w:rsid w:val="008A02CB"/>
    <w:rsid w:val="008A0D16"/>
    <w:rsid w:val="008A0FBF"/>
    <w:rsid w:val="008A1F0F"/>
    <w:rsid w:val="008A22F5"/>
    <w:rsid w:val="008A4147"/>
    <w:rsid w:val="008A4F38"/>
    <w:rsid w:val="008A56A0"/>
    <w:rsid w:val="008A6366"/>
    <w:rsid w:val="008A739D"/>
    <w:rsid w:val="008A7D96"/>
    <w:rsid w:val="008B036B"/>
    <w:rsid w:val="008B0563"/>
    <w:rsid w:val="008B0896"/>
    <w:rsid w:val="008B0B0D"/>
    <w:rsid w:val="008B110E"/>
    <w:rsid w:val="008B138A"/>
    <w:rsid w:val="008B1530"/>
    <w:rsid w:val="008B180E"/>
    <w:rsid w:val="008B1846"/>
    <w:rsid w:val="008B1B8F"/>
    <w:rsid w:val="008B2C58"/>
    <w:rsid w:val="008B30C2"/>
    <w:rsid w:val="008B3AB8"/>
    <w:rsid w:val="008B462C"/>
    <w:rsid w:val="008B47E6"/>
    <w:rsid w:val="008B4C52"/>
    <w:rsid w:val="008B4F94"/>
    <w:rsid w:val="008B5174"/>
    <w:rsid w:val="008B5545"/>
    <w:rsid w:val="008B5596"/>
    <w:rsid w:val="008B5B20"/>
    <w:rsid w:val="008B5EC7"/>
    <w:rsid w:val="008B6A12"/>
    <w:rsid w:val="008B6D1A"/>
    <w:rsid w:val="008B7F1A"/>
    <w:rsid w:val="008C08BD"/>
    <w:rsid w:val="008C14DD"/>
    <w:rsid w:val="008C1594"/>
    <w:rsid w:val="008C18CF"/>
    <w:rsid w:val="008C23E2"/>
    <w:rsid w:val="008C27F2"/>
    <w:rsid w:val="008C3787"/>
    <w:rsid w:val="008C4B13"/>
    <w:rsid w:val="008C4E65"/>
    <w:rsid w:val="008C5905"/>
    <w:rsid w:val="008C5978"/>
    <w:rsid w:val="008C5DBE"/>
    <w:rsid w:val="008C5F1F"/>
    <w:rsid w:val="008C5F66"/>
    <w:rsid w:val="008C638A"/>
    <w:rsid w:val="008C6737"/>
    <w:rsid w:val="008C6BF9"/>
    <w:rsid w:val="008C7249"/>
    <w:rsid w:val="008C748C"/>
    <w:rsid w:val="008C7D1E"/>
    <w:rsid w:val="008D0C5F"/>
    <w:rsid w:val="008D0EE9"/>
    <w:rsid w:val="008D1BBE"/>
    <w:rsid w:val="008D206D"/>
    <w:rsid w:val="008D231A"/>
    <w:rsid w:val="008D29C5"/>
    <w:rsid w:val="008D2B58"/>
    <w:rsid w:val="008D308E"/>
    <w:rsid w:val="008D3A4E"/>
    <w:rsid w:val="008D3DC1"/>
    <w:rsid w:val="008D4242"/>
    <w:rsid w:val="008D492A"/>
    <w:rsid w:val="008D59CA"/>
    <w:rsid w:val="008D6244"/>
    <w:rsid w:val="008D62E1"/>
    <w:rsid w:val="008D658F"/>
    <w:rsid w:val="008E0EEA"/>
    <w:rsid w:val="008E0EF0"/>
    <w:rsid w:val="008E0F80"/>
    <w:rsid w:val="008E254F"/>
    <w:rsid w:val="008E2B32"/>
    <w:rsid w:val="008E2D75"/>
    <w:rsid w:val="008E3253"/>
    <w:rsid w:val="008E4242"/>
    <w:rsid w:val="008E4509"/>
    <w:rsid w:val="008E492D"/>
    <w:rsid w:val="008E57BC"/>
    <w:rsid w:val="008E5B71"/>
    <w:rsid w:val="008E748B"/>
    <w:rsid w:val="008E75C0"/>
    <w:rsid w:val="008E76CF"/>
    <w:rsid w:val="008F0464"/>
    <w:rsid w:val="008F04D9"/>
    <w:rsid w:val="008F078D"/>
    <w:rsid w:val="008F0BD3"/>
    <w:rsid w:val="008F262D"/>
    <w:rsid w:val="008F284E"/>
    <w:rsid w:val="008F2D14"/>
    <w:rsid w:val="008F2FAC"/>
    <w:rsid w:val="008F39B2"/>
    <w:rsid w:val="008F4061"/>
    <w:rsid w:val="008F5299"/>
    <w:rsid w:val="008F5358"/>
    <w:rsid w:val="008F732C"/>
    <w:rsid w:val="008F75C1"/>
    <w:rsid w:val="009007B1"/>
    <w:rsid w:val="009021C2"/>
    <w:rsid w:val="00902CA9"/>
    <w:rsid w:val="0090359A"/>
    <w:rsid w:val="00903847"/>
    <w:rsid w:val="009039CD"/>
    <w:rsid w:val="00903E28"/>
    <w:rsid w:val="0090418D"/>
    <w:rsid w:val="00904786"/>
    <w:rsid w:val="00904D66"/>
    <w:rsid w:val="00907431"/>
    <w:rsid w:val="009078AF"/>
    <w:rsid w:val="00907BC0"/>
    <w:rsid w:val="00907FE6"/>
    <w:rsid w:val="00911492"/>
    <w:rsid w:val="00911828"/>
    <w:rsid w:val="0091191D"/>
    <w:rsid w:val="00911C95"/>
    <w:rsid w:val="00911D05"/>
    <w:rsid w:val="009120C9"/>
    <w:rsid w:val="00912C38"/>
    <w:rsid w:val="0091321A"/>
    <w:rsid w:val="00913A11"/>
    <w:rsid w:val="00913D71"/>
    <w:rsid w:val="009146C3"/>
    <w:rsid w:val="009149CC"/>
    <w:rsid w:val="009157CE"/>
    <w:rsid w:val="0091632D"/>
    <w:rsid w:val="00916468"/>
    <w:rsid w:val="009167A4"/>
    <w:rsid w:val="009170EE"/>
    <w:rsid w:val="009173E6"/>
    <w:rsid w:val="0091765D"/>
    <w:rsid w:val="00917AB5"/>
    <w:rsid w:val="00917AF8"/>
    <w:rsid w:val="009218A8"/>
    <w:rsid w:val="00922077"/>
    <w:rsid w:val="00922859"/>
    <w:rsid w:val="00922E0D"/>
    <w:rsid w:val="00922F05"/>
    <w:rsid w:val="009236FE"/>
    <w:rsid w:val="00923C60"/>
    <w:rsid w:val="00924099"/>
    <w:rsid w:val="009243E3"/>
    <w:rsid w:val="009257B8"/>
    <w:rsid w:val="00925B55"/>
    <w:rsid w:val="00926110"/>
    <w:rsid w:val="009266F8"/>
    <w:rsid w:val="00926B45"/>
    <w:rsid w:val="009278B6"/>
    <w:rsid w:val="0093118F"/>
    <w:rsid w:val="0093121D"/>
    <w:rsid w:val="00931263"/>
    <w:rsid w:val="00931AC0"/>
    <w:rsid w:val="00931F5D"/>
    <w:rsid w:val="0093215B"/>
    <w:rsid w:val="00932387"/>
    <w:rsid w:val="00932426"/>
    <w:rsid w:val="00933243"/>
    <w:rsid w:val="00933CF3"/>
    <w:rsid w:val="0093550E"/>
    <w:rsid w:val="0093584A"/>
    <w:rsid w:val="009362D3"/>
    <w:rsid w:val="009373DD"/>
    <w:rsid w:val="00937D60"/>
    <w:rsid w:val="00940AB5"/>
    <w:rsid w:val="00941069"/>
    <w:rsid w:val="0094191E"/>
    <w:rsid w:val="0094227F"/>
    <w:rsid w:val="0094254D"/>
    <w:rsid w:val="009427CC"/>
    <w:rsid w:val="009444F5"/>
    <w:rsid w:val="009469FB"/>
    <w:rsid w:val="009502BF"/>
    <w:rsid w:val="00950321"/>
    <w:rsid w:val="00951136"/>
    <w:rsid w:val="009516D2"/>
    <w:rsid w:val="00951B4F"/>
    <w:rsid w:val="00951E10"/>
    <w:rsid w:val="009531F2"/>
    <w:rsid w:val="00953B39"/>
    <w:rsid w:val="00953E64"/>
    <w:rsid w:val="00954930"/>
    <w:rsid w:val="009554BB"/>
    <w:rsid w:val="00955C22"/>
    <w:rsid w:val="00956633"/>
    <w:rsid w:val="009567E8"/>
    <w:rsid w:val="0095775D"/>
    <w:rsid w:val="009578EB"/>
    <w:rsid w:val="00960E54"/>
    <w:rsid w:val="00962913"/>
    <w:rsid w:val="00962D2A"/>
    <w:rsid w:val="00962FA4"/>
    <w:rsid w:val="009632D1"/>
    <w:rsid w:val="00963468"/>
    <w:rsid w:val="00964826"/>
    <w:rsid w:val="00964B82"/>
    <w:rsid w:val="00964EF0"/>
    <w:rsid w:val="00964FA7"/>
    <w:rsid w:val="0096685C"/>
    <w:rsid w:val="00966F4E"/>
    <w:rsid w:val="009672DB"/>
    <w:rsid w:val="009679CD"/>
    <w:rsid w:val="00967AD6"/>
    <w:rsid w:val="0097006D"/>
    <w:rsid w:val="00971119"/>
    <w:rsid w:val="00971D7B"/>
    <w:rsid w:val="00972C99"/>
    <w:rsid w:val="00972F8C"/>
    <w:rsid w:val="00974558"/>
    <w:rsid w:val="009746A5"/>
    <w:rsid w:val="00975D4C"/>
    <w:rsid w:val="00975ED0"/>
    <w:rsid w:val="009762C7"/>
    <w:rsid w:val="0097630C"/>
    <w:rsid w:val="00976B59"/>
    <w:rsid w:val="00977120"/>
    <w:rsid w:val="009779EC"/>
    <w:rsid w:val="00977B2A"/>
    <w:rsid w:val="00977D2D"/>
    <w:rsid w:val="00980ED4"/>
    <w:rsid w:val="00980F70"/>
    <w:rsid w:val="0098178A"/>
    <w:rsid w:val="00981AF4"/>
    <w:rsid w:val="0098239F"/>
    <w:rsid w:val="00982458"/>
    <w:rsid w:val="009829B8"/>
    <w:rsid w:val="00982CAE"/>
    <w:rsid w:val="0098415F"/>
    <w:rsid w:val="00984FB4"/>
    <w:rsid w:val="00985667"/>
    <w:rsid w:val="00986C43"/>
    <w:rsid w:val="00987C2E"/>
    <w:rsid w:val="00987F11"/>
    <w:rsid w:val="00987FC1"/>
    <w:rsid w:val="009905ED"/>
    <w:rsid w:val="00990B5F"/>
    <w:rsid w:val="00991200"/>
    <w:rsid w:val="00991618"/>
    <w:rsid w:val="0099221C"/>
    <w:rsid w:val="00992AFA"/>
    <w:rsid w:val="00992D27"/>
    <w:rsid w:val="00992FB3"/>
    <w:rsid w:val="009930F8"/>
    <w:rsid w:val="00993352"/>
    <w:rsid w:val="0099509F"/>
    <w:rsid w:val="00995DBB"/>
    <w:rsid w:val="00996BB6"/>
    <w:rsid w:val="00996D93"/>
    <w:rsid w:val="009970A0"/>
    <w:rsid w:val="009971A9"/>
    <w:rsid w:val="00997703"/>
    <w:rsid w:val="00997DB1"/>
    <w:rsid w:val="009A00A2"/>
    <w:rsid w:val="009A081E"/>
    <w:rsid w:val="009A0B95"/>
    <w:rsid w:val="009A0EAF"/>
    <w:rsid w:val="009A10C9"/>
    <w:rsid w:val="009A167A"/>
    <w:rsid w:val="009A1E3D"/>
    <w:rsid w:val="009A2637"/>
    <w:rsid w:val="009A2DDE"/>
    <w:rsid w:val="009A406E"/>
    <w:rsid w:val="009A4328"/>
    <w:rsid w:val="009A455D"/>
    <w:rsid w:val="009A45C4"/>
    <w:rsid w:val="009A4A86"/>
    <w:rsid w:val="009A4C8E"/>
    <w:rsid w:val="009A4F3A"/>
    <w:rsid w:val="009A6530"/>
    <w:rsid w:val="009A7AFB"/>
    <w:rsid w:val="009B0B45"/>
    <w:rsid w:val="009B126B"/>
    <w:rsid w:val="009B2A2A"/>
    <w:rsid w:val="009B36C8"/>
    <w:rsid w:val="009B41AE"/>
    <w:rsid w:val="009B4657"/>
    <w:rsid w:val="009B4C8D"/>
    <w:rsid w:val="009B4F5A"/>
    <w:rsid w:val="009B52B7"/>
    <w:rsid w:val="009B5B7B"/>
    <w:rsid w:val="009B5F0B"/>
    <w:rsid w:val="009B743C"/>
    <w:rsid w:val="009B7A81"/>
    <w:rsid w:val="009B7B06"/>
    <w:rsid w:val="009B7E5A"/>
    <w:rsid w:val="009C00C4"/>
    <w:rsid w:val="009C2BF5"/>
    <w:rsid w:val="009C32B7"/>
    <w:rsid w:val="009C35B7"/>
    <w:rsid w:val="009C44C2"/>
    <w:rsid w:val="009C5BF3"/>
    <w:rsid w:val="009C7C1B"/>
    <w:rsid w:val="009C7DA3"/>
    <w:rsid w:val="009D03E6"/>
    <w:rsid w:val="009D09D3"/>
    <w:rsid w:val="009D10B7"/>
    <w:rsid w:val="009D234E"/>
    <w:rsid w:val="009D2667"/>
    <w:rsid w:val="009D3620"/>
    <w:rsid w:val="009D3FD0"/>
    <w:rsid w:val="009D401F"/>
    <w:rsid w:val="009D50D7"/>
    <w:rsid w:val="009D5638"/>
    <w:rsid w:val="009D5740"/>
    <w:rsid w:val="009D5C4C"/>
    <w:rsid w:val="009D7589"/>
    <w:rsid w:val="009D76EF"/>
    <w:rsid w:val="009D7971"/>
    <w:rsid w:val="009D7B90"/>
    <w:rsid w:val="009E1A9D"/>
    <w:rsid w:val="009E2264"/>
    <w:rsid w:val="009E3343"/>
    <w:rsid w:val="009E3C29"/>
    <w:rsid w:val="009E4589"/>
    <w:rsid w:val="009E5FB9"/>
    <w:rsid w:val="009E656C"/>
    <w:rsid w:val="009E7C74"/>
    <w:rsid w:val="009F0514"/>
    <w:rsid w:val="009F0C63"/>
    <w:rsid w:val="009F17FA"/>
    <w:rsid w:val="009F23A3"/>
    <w:rsid w:val="009F2B08"/>
    <w:rsid w:val="009F3BAB"/>
    <w:rsid w:val="009F40D6"/>
    <w:rsid w:val="009F4ECA"/>
    <w:rsid w:val="009F5114"/>
    <w:rsid w:val="009F62B1"/>
    <w:rsid w:val="009F65CB"/>
    <w:rsid w:val="009F66E4"/>
    <w:rsid w:val="009F6EC0"/>
    <w:rsid w:val="009F717C"/>
    <w:rsid w:val="009F7CCB"/>
    <w:rsid w:val="00A01A6E"/>
    <w:rsid w:val="00A01E47"/>
    <w:rsid w:val="00A04776"/>
    <w:rsid w:val="00A047DF"/>
    <w:rsid w:val="00A05EF8"/>
    <w:rsid w:val="00A06012"/>
    <w:rsid w:val="00A06914"/>
    <w:rsid w:val="00A07388"/>
    <w:rsid w:val="00A07968"/>
    <w:rsid w:val="00A10A60"/>
    <w:rsid w:val="00A11366"/>
    <w:rsid w:val="00A1146A"/>
    <w:rsid w:val="00A1170B"/>
    <w:rsid w:val="00A13314"/>
    <w:rsid w:val="00A135A5"/>
    <w:rsid w:val="00A13700"/>
    <w:rsid w:val="00A13915"/>
    <w:rsid w:val="00A13C92"/>
    <w:rsid w:val="00A13CDD"/>
    <w:rsid w:val="00A1485F"/>
    <w:rsid w:val="00A14F73"/>
    <w:rsid w:val="00A15389"/>
    <w:rsid w:val="00A15A19"/>
    <w:rsid w:val="00A15CF6"/>
    <w:rsid w:val="00A15D1B"/>
    <w:rsid w:val="00A15DF2"/>
    <w:rsid w:val="00A16003"/>
    <w:rsid w:val="00A1667F"/>
    <w:rsid w:val="00A16AD7"/>
    <w:rsid w:val="00A20188"/>
    <w:rsid w:val="00A20499"/>
    <w:rsid w:val="00A20A0B"/>
    <w:rsid w:val="00A2107E"/>
    <w:rsid w:val="00A21735"/>
    <w:rsid w:val="00A21A88"/>
    <w:rsid w:val="00A22A75"/>
    <w:rsid w:val="00A22D32"/>
    <w:rsid w:val="00A2404F"/>
    <w:rsid w:val="00A24066"/>
    <w:rsid w:val="00A243C9"/>
    <w:rsid w:val="00A2478D"/>
    <w:rsid w:val="00A24E8A"/>
    <w:rsid w:val="00A257EB"/>
    <w:rsid w:val="00A260F5"/>
    <w:rsid w:val="00A268DB"/>
    <w:rsid w:val="00A2775C"/>
    <w:rsid w:val="00A27AEE"/>
    <w:rsid w:val="00A301D4"/>
    <w:rsid w:val="00A3027C"/>
    <w:rsid w:val="00A316ED"/>
    <w:rsid w:val="00A31A6C"/>
    <w:rsid w:val="00A31C4C"/>
    <w:rsid w:val="00A32CF3"/>
    <w:rsid w:val="00A32EBF"/>
    <w:rsid w:val="00A33F78"/>
    <w:rsid w:val="00A34148"/>
    <w:rsid w:val="00A348EE"/>
    <w:rsid w:val="00A34D81"/>
    <w:rsid w:val="00A35009"/>
    <w:rsid w:val="00A3507E"/>
    <w:rsid w:val="00A35D7C"/>
    <w:rsid w:val="00A37730"/>
    <w:rsid w:val="00A37CE9"/>
    <w:rsid w:val="00A37DDE"/>
    <w:rsid w:val="00A41547"/>
    <w:rsid w:val="00A42187"/>
    <w:rsid w:val="00A42DB6"/>
    <w:rsid w:val="00A43018"/>
    <w:rsid w:val="00A43130"/>
    <w:rsid w:val="00A437B3"/>
    <w:rsid w:val="00A43C90"/>
    <w:rsid w:val="00A44262"/>
    <w:rsid w:val="00A448C4"/>
    <w:rsid w:val="00A44A7C"/>
    <w:rsid w:val="00A44F3F"/>
    <w:rsid w:val="00A45119"/>
    <w:rsid w:val="00A452DD"/>
    <w:rsid w:val="00A46D20"/>
    <w:rsid w:val="00A478D0"/>
    <w:rsid w:val="00A47D03"/>
    <w:rsid w:val="00A50C15"/>
    <w:rsid w:val="00A51889"/>
    <w:rsid w:val="00A51F3B"/>
    <w:rsid w:val="00A5299F"/>
    <w:rsid w:val="00A52D1E"/>
    <w:rsid w:val="00A532A0"/>
    <w:rsid w:val="00A5364B"/>
    <w:rsid w:val="00A537CF"/>
    <w:rsid w:val="00A5432B"/>
    <w:rsid w:val="00A55474"/>
    <w:rsid w:val="00A5575D"/>
    <w:rsid w:val="00A55FD6"/>
    <w:rsid w:val="00A560BA"/>
    <w:rsid w:val="00A5641C"/>
    <w:rsid w:val="00A56FEC"/>
    <w:rsid w:val="00A57A86"/>
    <w:rsid w:val="00A60654"/>
    <w:rsid w:val="00A60C98"/>
    <w:rsid w:val="00A613B9"/>
    <w:rsid w:val="00A6176E"/>
    <w:rsid w:val="00A619CE"/>
    <w:rsid w:val="00A61BCC"/>
    <w:rsid w:val="00A61E6F"/>
    <w:rsid w:val="00A61FA1"/>
    <w:rsid w:val="00A623B2"/>
    <w:rsid w:val="00A6289A"/>
    <w:rsid w:val="00A63A8F"/>
    <w:rsid w:val="00A64E2D"/>
    <w:rsid w:val="00A6601F"/>
    <w:rsid w:val="00A67425"/>
    <w:rsid w:val="00A6766C"/>
    <w:rsid w:val="00A72598"/>
    <w:rsid w:val="00A727B4"/>
    <w:rsid w:val="00A72BDC"/>
    <w:rsid w:val="00A72CDB"/>
    <w:rsid w:val="00A73487"/>
    <w:rsid w:val="00A734E3"/>
    <w:rsid w:val="00A73874"/>
    <w:rsid w:val="00A74EF7"/>
    <w:rsid w:val="00A76159"/>
    <w:rsid w:val="00A76627"/>
    <w:rsid w:val="00A76F92"/>
    <w:rsid w:val="00A77404"/>
    <w:rsid w:val="00A77562"/>
    <w:rsid w:val="00A77591"/>
    <w:rsid w:val="00A77E19"/>
    <w:rsid w:val="00A800E8"/>
    <w:rsid w:val="00A80CFF"/>
    <w:rsid w:val="00A80EEE"/>
    <w:rsid w:val="00A81175"/>
    <w:rsid w:val="00A81516"/>
    <w:rsid w:val="00A822C5"/>
    <w:rsid w:val="00A82E4B"/>
    <w:rsid w:val="00A84585"/>
    <w:rsid w:val="00A85593"/>
    <w:rsid w:val="00A858F6"/>
    <w:rsid w:val="00A85937"/>
    <w:rsid w:val="00A868FE"/>
    <w:rsid w:val="00A86BA7"/>
    <w:rsid w:val="00A871AC"/>
    <w:rsid w:val="00A878A2"/>
    <w:rsid w:val="00A90699"/>
    <w:rsid w:val="00A9216B"/>
    <w:rsid w:val="00A92209"/>
    <w:rsid w:val="00A92D08"/>
    <w:rsid w:val="00A93398"/>
    <w:rsid w:val="00A9377C"/>
    <w:rsid w:val="00A93C7E"/>
    <w:rsid w:val="00A93DD3"/>
    <w:rsid w:val="00A94291"/>
    <w:rsid w:val="00A947B1"/>
    <w:rsid w:val="00A95914"/>
    <w:rsid w:val="00A96671"/>
    <w:rsid w:val="00A97614"/>
    <w:rsid w:val="00AA2256"/>
    <w:rsid w:val="00AA2379"/>
    <w:rsid w:val="00AA2897"/>
    <w:rsid w:val="00AA2D78"/>
    <w:rsid w:val="00AA3CB9"/>
    <w:rsid w:val="00AA444E"/>
    <w:rsid w:val="00AA4D5A"/>
    <w:rsid w:val="00AA52C6"/>
    <w:rsid w:val="00AA54DE"/>
    <w:rsid w:val="00AA5740"/>
    <w:rsid w:val="00AA6687"/>
    <w:rsid w:val="00AB0346"/>
    <w:rsid w:val="00AB04A2"/>
    <w:rsid w:val="00AB0852"/>
    <w:rsid w:val="00AB16A9"/>
    <w:rsid w:val="00AB1FC4"/>
    <w:rsid w:val="00AB2FE1"/>
    <w:rsid w:val="00AB321E"/>
    <w:rsid w:val="00AB333B"/>
    <w:rsid w:val="00AB409D"/>
    <w:rsid w:val="00AB48A7"/>
    <w:rsid w:val="00AB4C2D"/>
    <w:rsid w:val="00AB5421"/>
    <w:rsid w:val="00AB5E95"/>
    <w:rsid w:val="00AB61E3"/>
    <w:rsid w:val="00AB66CE"/>
    <w:rsid w:val="00AB6872"/>
    <w:rsid w:val="00AB6AC5"/>
    <w:rsid w:val="00AB6C30"/>
    <w:rsid w:val="00AB6E32"/>
    <w:rsid w:val="00AB751C"/>
    <w:rsid w:val="00AB774C"/>
    <w:rsid w:val="00AB788C"/>
    <w:rsid w:val="00AC0322"/>
    <w:rsid w:val="00AC128F"/>
    <w:rsid w:val="00AC14D6"/>
    <w:rsid w:val="00AC15DF"/>
    <w:rsid w:val="00AC3026"/>
    <w:rsid w:val="00AC3785"/>
    <w:rsid w:val="00AC4383"/>
    <w:rsid w:val="00AC58BF"/>
    <w:rsid w:val="00AC6461"/>
    <w:rsid w:val="00AC6B24"/>
    <w:rsid w:val="00AC757F"/>
    <w:rsid w:val="00AD1D82"/>
    <w:rsid w:val="00AD290C"/>
    <w:rsid w:val="00AD39F8"/>
    <w:rsid w:val="00AD619B"/>
    <w:rsid w:val="00AD65B5"/>
    <w:rsid w:val="00AD6904"/>
    <w:rsid w:val="00AD7554"/>
    <w:rsid w:val="00AD762D"/>
    <w:rsid w:val="00AE06FF"/>
    <w:rsid w:val="00AE0A6B"/>
    <w:rsid w:val="00AE1838"/>
    <w:rsid w:val="00AE1BD4"/>
    <w:rsid w:val="00AE218B"/>
    <w:rsid w:val="00AE2B04"/>
    <w:rsid w:val="00AE2C0A"/>
    <w:rsid w:val="00AE4189"/>
    <w:rsid w:val="00AE4299"/>
    <w:rsid w:val="00AE494D"/>
    <w:rsid w:val="00AE4D59"/>
    <w:rsid w:val="00AE77A5"/>
    <w:rsid w:val="00AF0308"/>
    <w:rsid w:val="00AF0516"/>
    <w:rsid w:val="00AF10F1"/>
    <w:rsid w:val="00AF1771"/>
    <w:rsid w:val="00AF1AB5"/>
    <w:rsid w:val="00AF36C6"/>
    <w:rsid w:val="00AF3A26"/>
    <w:rsid w:val="00AF4854"/>
    <w:rsid w:val="00AF505D"/>
    <w:rsid w:val="00AF51A0"/>
    <w:rsid w:val="00AF578B"/>
    <w:rsid w:val="00AF5CE7"/>
    <w:rsid w:val="00AF7167"/>
    <w:rsid w:val="00AF7E5D"/>
    <w:rsid w:val="00AF7EA6"/>
    <w:rsid w:val="00B0007C"/>
    <w:rsid w:val="00B012F2"/>
    <w:rsid w:val="00B01BE2"/>
    <w:rsid w:val="00B01ED9"/>
    <w:rsid w:val="00B03305"/>
    <w:rsid w:val="00B0359A"/>
    <w:rsid w:val="00B036D9"/>
    <w:rsid w:val="00B03810"/>
    <w:rsid w:val="00B03905"/>
    <w:rsid w:val="00B03941"/>
    <w:rsid w:val="00B039E5"/>
    <w:rsid w:val="00B04204"/>
    <w:rsid w:val="00B0461A"/>
    <w:rsid w:val="00B049D8"/>
    <w:rsid w:val="00B04D45"/>
    <w:rsid w:val="00B05A2E"/>
    <w:rsid w:val="00B0671D"/>
    <w:rsid w:val="00B07094"/>
    <w:rsid w:val="00B070FE"/>
    <w:rsid w:val="00B07B62"/>
    <w:rsid w:val="00B07D32"/>
    <w:rsid w:val="00B101C0"/>
    <w:rsid w:val="00B1042D"/>
    <w:rsid w:val="00B107C4"/>
    <w:rsid w:val="00B11A3F"/>
    <w:rsid w:val="00B131F8"/>
    <w:rsid w:val="00B1344D"/>
    <w:rsid w:val="00B134C2"/>
    <w:rsid w:val="00B13B42"/>
    <w:rsid w:val="00B13B4A"/>
    <w:rsid w:val="00B1527C"/>
    <w:rsid w:val="00B152FE"/>
    <w:rsid w:val="00B16694"/>
    <w:rsid w:val="00B16715"/>
    <w:rsid w:val="00B167E4"/>
    <w:rsid w:val="00B16EDD"/>
    <w:rsid w:val="00B17619"/>
    <w:rsid w:val="00B17694"/>
    <w:rsid w:val="00B2090A"/>
    <w:rsid w:val="00B20EB2"/>
    <w:rsid w:val="00B210FC"/>
    <w:rsid w:val="00B22241"/>
    <w:rsid w:val="00B23322"/>
    <w:rsid w:val="00B23B8B"/>
    <w:rsid w:val="00B249CF"/>
    <w:rsid w:val="00B24D74"/>
    <w:rsid w:val="00B2534C"/>
    <w:rsid w:val="00B253E9"/>
    <w:rsid w:val="00B26857"/>
    <w:rsid w:val="00B26A08"/>
    <w:rsid w:val="00B274F9"/>
    <w:rsid w:val="00B30017"/>
    <w:rsid w:val="00B30D4D"/>
    <w:rsid w:val="00B310BD"/>
    <w:rsid w:val="00B31921"/>
    <w:rsid w:val="00B31E8B"/>
    <w:rsid w:val="00B31F04"/>
    <w:rsid w:val="00B33A5D"/>
    <w:rsid w:val="00B3429B"/>
    <w:rsid w:val="00B34337"/>
    <w:rsid w:val="00B34531"/>
    <w:rsid w:val="00B34A35"/>
    <w:rsid w:val="00B34BBE"/>
    <w:rsid w:val="00B3502F"/>
    <w:rsid w:val="00B35868"/>
    <w:rsid w:val="00B3644C"/>
    <w:rsid w:val="00B36676"/>
    <w:rsid w:val="00B374C6"/>
    <w:rsid w:val="00B3782F"/>
    <w:rsid w:val="00B40034"/>
    <w:rsid w:val="00B407F4"/>
    <w:rsid w:val="00B4272C"/>
    <w:rsid w:val="00B42B58"/>
    <w:rsid w:val="00B42CD6"/>
    <w:rsid w:val="00B43B2E"/>
    <w:rsid w:val="00B4462A"/>
    <w:rsid w:val="00B4733D"/>
    <w:rsid w:val="00B479FC"/>
    <w:rsid w:val="00B508A8"/>
    <w:rsid w:val="00B50B9C"/>
    <w:rsid w:val="00B512B4"/>
    <w:rsid w:val="00B51F61"/>
    <w:rsid w:val="00B52AA3"/>
    <w:rsid w:val="00B52E90"/>
    <w:rsid w:val="00B53EA4"/>
    <w:rsid w:val="00B53F90"/>
    <w:rsid w:val="00B54496"/>
    <w:rsid w:val="00B55615"/>
    <w:rsid w:val="00B55E12"/>
    <w:rsid w:val="00B567AF"/>
    <w:rsid w:val="00B574B3"/>
    <w:rsid w:val="00B57671"/>
    <w:rsid w:val="00B5777A"/>
    <w:rsid w:val="00B6033A"/>
    <w:rsid w:val="00B61F7E"/>
    <w:rsid w:val="00B629C0"/>
    <w:rsid w:val="00B62BF2"/>
    <w:rsid w:val="00B62CC8"/>
    <w:rsid w:val="00B63735"/>
    <w:rsid w:val="00B643A1"/>
    <w:rsid w:val="00B64B3D"/>
    <w:rsid w:val="00B65BBC"/>
    <w:rsid w:val="00B66162"/>
    <w:rsid w:val="00B6637F"/>
    <w:rsid w:val="00B669BC"/>
    <w:rsid w:val="00B67743"/>
    <w:rsid w:val="00B67CED"/>
    <w:rsid w:val="00B67EEA"/>
    <w:rsid w:val="00B700D0"/>
    <w:rsid w:val="00B716DF"/>
    <w:rsid w:val="00B717CC"/>
    <w:rsid w:val="00B71811"/>
    <w:rsid w:val="00B72A90"/>
    <w:rsid w:val="00B72F66"/>
    <w:rsid w:val="00B7310E"/>
    <w:rsid w:val="00B73417"/>
    <w:rsid w:val="00B74B1C"/>
    <w:rsid w:val="00B74D24"/>
    <w:rsid w:val="00B74FA3"/>
    <w:rsid w:val="00B762D5"/>
    <w:rsid w:val="00B76BB7"/>
    <w:rsid w:val="00B802C7"/>
    <w:rsid w:val="00B809B7"/>
    <w:rsid w:val="00B80E9B"/>
    <w:rsid w:val="00B81079"/>
    <w:rsid w:val="00B81A1F"/>
    <w:rsid w:val="00B81AD6"/>
    <w:rsid w:val="00B81CDE"/>
    <w:rsid w:val="00B81F05"/>
    <w:rsid w:val="00B83D89"/>
    <w:rsid w:val="00B8434D"/>
    <w:rsid w:val="00B854AE"/>
    <w:rsid w:val="00B8681B"/>
    <w:rsid w:val="00B86A4E"/>
    <w:rsid w:val="00B87580"/>
    <w:rsid w:val="00B9002C"/>
    <w:rsid w:val="00B902D2"/>
    <w:rsid w:val="00B90592"/>
    <w:rsid w:val="00B9062C"/>
    <w:rsid w:val="00B90790"/>
    <w:rsid w:val="00B90EA2"/>
    <w:rsid w:val="00B9200E"/>
    <w:rsid w:val="00B9211B"/>
    <w:rsid w:val="00B92486"/>
    <w:rsid w:val="00B92FA2"/>
    <w:rsid w:val="00B93172"/>
    <w:rsid w:val="00B93E45"/>
    <w:rsid w:val="00B9449F"/>
    <w:rsid w:val="00B94F7C"/>
    <w:rsid w:val="00B95578"/>
    <w:rsid w:val="00B95F68"/>
    <w:rsid w:val="00B96377"/>
    <w:rsid w:val="00B9676E"/>
    <w:rsid w:val="00B9687E"/>
    <w:rsid w:val="00B96E36"/>
    <w:rsid w:val="00B97498"/>
    <w:rsid w:val="00B975E2"/>
    <w:rsid w:val="00B97B33"/>
    <w:rsid w:val="00BA03B0"/>
    <w:rsid w:val="00BA12D6"/>
    <w:rsid w:val="00BA215C"/>
    <w:rsid w:val="00BA2252"/>
    <w:rsid w:val="00BA265E"/>
    <w:rsid w:val="00BA2EB0"/>
    <w:rsid w:val="00BA30EA"/>
    <w:rsid w:val="00BA33C6"/>
    <w:rsid w:val="00BA35C4"/>
    <w:rsid w:val="00BA3638"/>
    <w:rsid w:val="00BA3B8A"/>
    <w:rsid w:val="00BA43E7"/>
    <w:rsid w:val="00BA4E5F"/>
    <w:rsid w:val="00BA5AB5"/>
    <w:rsid w:val="00BA5BC1"/>
    <w:rsid w:val="00BA5DC9"/>
    <w:rsid w:val="00BA6480"/>
    <w:rsid w:val="00BA69F4"/>
    <w:rsid w:val="00BA74D7"/>
    <w:rsid w:val="00BA7DCD"/>
    <w:rsid w:val="00BB0E74"/>
    <w:rsid w:val="00BB264C"/>
    <w:rsid w:val="00BB29B6"/>
    <w:rsid w:val="00BB3463"/>
    <w:rsid w:val="00BB3688"/>
    <w:rsid w:val="00BB3A47"/>
    <w:rsid w:val="00BB46AD"/>
    <w:rsid w:val="00BB47D8"/>
    <w:rsid w:val="00BB4E59"/>
    <w:rsid w:val="00BB56E4"/>
    <w:rsid w:val="00BB5710"/>
    <w:rsid w:val="00BB5CAA"/>
    <w:rsid w:val="00BB6C5C"/>
    <w:rsid w:val="00BB796A"/>
    <w:rsid w:val="00BC0957"/>
    <w:rsid w:val="00BC1069"/>
    <w:rsid w:val="00BC111B"/>
    <w:rsid w:val="00BC1A7B"/>
    <w:rsid w:val="00BC285D"/>
    <w:rsid w:val="00BC3646"/>
    <w:rsid w:val="00BC3C6E"/>
    <w:rsid w:val="00BC3F6C"/>
    <w:rsid w:val="00BC5544"/>
    <w:rsid w:val="00BC5C35"/>
    <w:rsid w:val="00BC5ED8"/>
    <w:rsid w:val="00BC5F39"/>
    <w:rsid w:val="00BC6255"/>
    <w:rsid w:val="00BC7C2B"/>
    <w:rsid w:val="00BD1315"/>
    <w:rsid w:val="00BD1540"/>
    <w:rsid w:val="00BD179A"/>
    <w:rsid w:val="00BD1AB0"/>
    <w:rsid w:val="00BD1AB7"/>
    <w:rsid w:val="00BD2260"/>
    <w:rsid w:val="00BD278B"/>
    <w:rsid w:val="00BD2833"/>
    <w:rsid w:val="00BD3720"/>
    <w:rsid w:val="00BD39CF"/>
    <w:rsid w:val="00BD3BD7"/>
    <w:rsid w:val="00BD63CD"/>
    <w:rsid w:val="00BD6B1F"/>
    <w:rsid w:val="00BE0441"/>
    <w:rsid w:val="00BE0C7A"/>
    <w:rsid w:val="00BE1F86"/>
    <w:rsid w:val="00BE2EA4"/>
    <w:rsid w:val="00BE3113"/>
    <w:rsid w:val="00BE3A26"/>
    <w:rsid w:val="00BE3F04"/>
    <w:rsid w:val="00BE4922"/>
    <w:rsid w:val="00BE4E16"/>
    <w:rsid w:val="00BE4FB7"/>
    <w:rsid w:val="00BE5064"/>
    <w:rsid w:val="00BE5903"/>
    <w:rsid w:val="00BE61EE"/>
    <w:rsid w:val="00BE629F"/>
    <w:rsid w:val="00BE746F"/>
    <w:rsid w:val="00BF0E28"/>
    <w:rsid w:val="00BF1403"/>
    <w:rsid w:val="00BF155A"/>
    <w:rsid w:val="00BF253C"/>
    <w:rsid w:val="00BF2E37"/>
    <w:rsid w:val="00BF33BA"/>
    <w:rsid w:val="00BF3437"/>
    <w:rsid w:val="00BF35EB"/>
    <w:rsid w:val="00BF3D76"/>
    <w:rsid w:val="00BF4A25"/>
    <w:rsid w:val="00BF4ABB"/>
    <w:rsid w:val="00BF4D8D"/>
    <w:rsid w:val="00BF5CA9"/>
    <w:rsid w:val="00BF61C7"/>
    <w:rsid w:val="00BF69C1"/>
    <w:rsid w:val="00BF6C7A"/>
    <w:rsid w:val="00BF6EAA"/>
    <w:rsid w:val="00C00840"/>
    <w:rsid w:val="00C018E1"/>
    <w:rsid w:val="00C01AB1"/>
    <w:rsid w:val="00C026C5"/>
    <w:rsid w:val="00C0490F"/>
    <w:rsid w:val="00C05054"/>
    <w:rsid w:val="00C06EC0"/>
    <w:rsid w:val="00C07420"/>
    <w:rsid w:val="00C0796E"/>
    <w:rsid w:val="00C07EA8"/>
    <w:rsid w:val="00C101A9"/>
    <w:rsid w:val="00C115C0"/>
    <w:rsid w:val="00C118C0"/>
    <w:rsid w:val="00C1592F"/>
    <w:rsid w:val="00C16009"/>
    <w:rsid w:val="00C16A60"/>
    <w:rsid w:val="00C16CF3"/>
    <w:rsid w:val="00C16D9B"/>
    <w:rsid w:val="00C1768A"/>
    <w:rsid w:val="00C2080E"/>
    <w:rsid w:val="00C20DE9"/>
    <w:rsid w:val="00C21399"/>
    <w:rsid w:val="00C21AB1"/>
    <w:rsid w:val="00C21F07"/>
    <w:rsid w:val="00C2288D"/>
    <w:rsid w:val="00C24289"/>
    <w:rsid w:val="00C24A9C"/>
    <w:rsid w:val="00C25301"/>
    <w:rsid w:val="00C25561"/>
    <w:rsid w:val="00C25D35"/>
    <w:rsid w:val="00C26582"/>
    <w:rsid w:val="00C265AE"/>
    <w:rsid w:val="00C27188"/>
    <w:rsid w:val="00C27414"/>
    <w:rsid w:val="00C27B89"/>
    <w:rsid w:val="00C27B8A"/>
    <w:rsid w:val="00C3020D"/>
    <w:rsid w:val="00C30F9F"/>
    <w:rsid w:val="00C31121"/>
    <w:rsid w:val="00C31CFC"/>
    <w:rsid w:val="00C3276B"/>
    <w:rsid w:val="00C32A0A"/>
    <w:rsid w:val="00C33430"/>
    <w:rsid w:val="00C33D03"/>
    <w:rsid w:val="00C349CB"/>
    <w:rsid w:val="00C34F32"/>
    <w:rsid w:val="00C353D0"/>
    <w:rsid w:val="00C36891"/>
    <w:rsid w:val="00C36BD4"/>
    <w:rsid w:val="00C372EA"/>
    <w:rsid w:val="00C37998"/>
    <w:rsid w:val="00C41346"/>
    <w:rsid w:val="00C42999"/>
    <w:rsid w:val="00C42C12"/>
    <w:rsid w:val="00C4463E"/>
    <w:rsid w:val="00C447DA"/>
    <w:rsid w:val="00C44ECC"/>
    <w:rsid w:val="00C44FCE"/>
    <w:rsid w:val="00C45B78"/>
    <w:rsid w:val="00C45F89"/>
    <w:rsid w:val="00C47109"/>
    <w:rsid w:val="00C473BE"/>
    <w:rsid w:val="00C5036F"/>
    <w:rsid w:val="00C5046F"/>
    <w:rsid w:val="00C510FA"/>
    <w:rsid w:val="00C514A1"/>
    <w:rsid w:val="00C51D96"/>
    <w:rsid w:val="00C523D9"/>
    <w:rsid w:val="00C52BA8"/>
    <w:rsid w:val="00C54034"/>
    <w:rsid w:val="00C54444"/>
    <w:rsid w:val="00C54534"/>
    <w:rsid w:val="00C54D61"/>
    <w:rsid w:val="00C554DC"/>
    <w:rsid w:val="00C55A81"/>
    <w:rsid w:val="00C5635C"/>
    <w:rsid w:val="00C56B1F"/>
    <w:rsid w:val="00C5735F"/>
    <w:rsid w:val="00C57766"/>
    <w:rsid w:val="00C604D8"/>
    <w:rsid w:val="00C6057C"/>
    <w:rsid w:val="00C61A4D"/>
    <w:rsid w:val="00C62C50"/>
    <w:rsid w:val="00C63204"/>
    <w:rsid w:val="00C638AF"/>
    <w:rsid w:val="00C63A3B"/>
    <w:rsid w:val="00C64ADF"/>
    <w:rsid w:val="00C65430"/>
    <w:rsid w:val="00C6583D"/>
    <w:rsid w:val="00C675B6"/>
    <w:rsid w:val="00C67CA2"/>
    <w:rsid w:val="00C70E3A"/>
    <w:rsid w:val="00C718E5"/>
    <w:rsid w:val="00C72B08"/>
    <w:rsid w:val="00C737DD"/>
    <w:rsid w:val="00C73FBF"/>
    <w:rsid w:val="00C74957"/>
    <w:rsid w:val="00C759AF"/>
    <w:rsid w:val="00C75F81"/>
    <w:rsid w:val="00C7699D"/>
    <w:rsid w:val="00C76E64"/>
    <w:rsid w:val="00C77D73"/>
    <w:rsid w:val="00C81089"/>
    <w:rsid w:val="00C81134"/>
    <w:rsid w:val="00C81689"/>
    <w:rsid w:val="00C816E4"/>
    <w:rsid w:val="00C818C0"/>
    <w:rsid w:val="00C81D18"/>
    <w:rsid w:val="00C828E9"/>
    <w:rsid w:val="00C83415"/>
    <w:rsid w:val="00C8427E"/>
    <w:rsid w:val="00C844B3"/>
    <w:rsid w:val="00C849AE"/>
    <w:rsid w:val="00C84AD5"/>
    <w:rsid w:val="00C84BF7"/>
    <w:rsid w:val="00C84D20"/>
    <w:rsid w:val="00C8546B"/>
    <w:rsid w:val="00C85947"/>
    <w:rsid w:val="00C862BE"/>
    <w:rsid w:val="00C86524"/>
    <w:rsid w:val="00C865E3"/>
    <w:rsid w:val="00C86A3F"/>
    <w:rsid w:val="00C87C26"/>
    <w:rsid w:val="00C905AF"/>
    <w:rsid w:val="00C90CB8"/>
    <w:rsid w:val="00C91911"/>
    <w:rsid w:val="00C91CF9"/>
    <w:rsid w:val="00C9206D"/>
    <w:rsid w:val="00C92686"/>
    <w:rsid w:val="00C92808"/>
    <w:rsid w:val="00C92E63"/>
    <w:rsid w:val="00C931F6"/>
    <w:rsid w:val="00C9330B"/>
    <w:rsid w:val="00C93698"/>
    <w:rsid w:val="00C937FF"/>
    <w:rsid w:val="00C9442A"/>
    <w:rsid w:val="00C944EB"/>
    <w:rsid w:val="00C946C9"/>
    <w:rsid w:val="00C95385"/>
    <w:rsid w:val="00C95B61"/>
    <w:rsid w:val="00C96269"/>
    <w:rsid w:val="00C96357"/>
    <w:rsid w:val="00C9652A"/>
    <w:rsid w:val="00C97049"/>
    <w:rsid w:val="00C97594"/>
    <w:rsid w:val="00CA061F"/>
    <w:rsid w:val="00CA0C52"/>
    <w:rsid w:val="00CA0E18"/>
    <w:rsid w:val="00CA1A19"/>
    <w:rsid w:val="00CA2312"/>
    <w:rsid w:val="00CA2467"/>
    <w:rsid w:val="00CA2472"/>
    <w:rsid w:val="00CA248D"/>
    <w:rsid w:val="00CA2CB6"/>
    <w:rsid w:val="00CA3D01"/>
    <w:rsid w:val="00CA53AD"/>
    <w:rsid w:val="00CA594D"/>
    <w:rsid w:val="00CA70D5"/>
    <w:rsid w:val="00CA735D"/>
    <w:rsid w:val="00CA738E"/>
    <w:rsid w:val="00CA76D4"/>
    <w:rsid w:val="00CB07B8"/>
    <w:rsid w:val="00CB0A16"/>
    <w:rsid w:val="00CB1566"/>
    <w:rsid w:val="00CB23D9"/>
    <w:rsid w:val="00CB257A"/>
    <w:rsid w:val="00CB2772"/>
    <w:rsid w:val="00CB2D83"/>
    <w:rsid w:val="00CB366A"/>
    <w:rsid w:val="00CB44B6"/>
    <w:rsid w:val="00CB4C99"/>
    <w:rsid w:val="00CB4CAB"/>
    <w:rsid w:val="00CB52DB"/>
    <w:rsid w:val="00CB5751"/>
    <w:rsid w:val="00CB6736"/>
    <w:rsid w:val="00CB72F7"/>
    <w:rsid w:val="00CB73D5"/>
    <w:rsid w:val="00CB73F8"/>
    <w:rsid w:val="00CB7584"/>
    <w:rsid w:val="00CC075E"/>
    <w:rsid w:val="00CC0920"/>
    <w:rsid w:val="00CC0D69"/>
    <w:rsid w:val="00CC26C1"/>
    <w:rsid w:val="00CC2AD2"/>
    <w:rsid w:val="00CC2D0D"/>
    <w:rsid w:val="00CC3121"/>
    <w:rsid w:val="00CC34E9"/>
    <w:rsid w:val="00CC372C"/>
    <w:rsid w:val="00CC392E"/>
    <w:rsid w:val="00CC402B"/>
    <w:rsid w:val="00CC42C0"/>
    <w:rsid w:val="00CC50C4"/>
    <w:rsid w:val="00CC6E29"/>
    <w:rsid w:val="00CC6FA2"/>
    <w:rsid w:val="00CC70E3"/>
    <w:rsid w:val="00CC7C5E"/>
    <w:rsid w:val="00CC7D62"/>
    <w:rsid w:val="00CD1287"/>
    <w:rsid w:val="00CD19E9"/>
    <w:rsid w:val="00CD1F32"/>
    <w:rsid w:val="00CD26C0"/>
    <w:rsid w:val="00CD2BEA"/>
    <w:rsid w:val="00CD330E"/>
    <w:rsid w:val="00CD33FD"/>
    <w:rsid w:val="00CD497D"/>
    <w:rsid w:val="00CD4A72"/>
    <w:rsid w:val="00CD4D20"/>
    <w:rsid w:val="00CD4F81"/>
    <w:rsid w:val="00CD5D38"/>
    <w:rsid w:val="00CD641F"/>
    <w:rsid w:val="00CD6591"/>
    <w:rsid w:val="00CD6B50"/>
    <w:rsid w:val="00CD6B9F"/>
    <w:rsid w:val="00CD6FD8"/>
    <w:rsid w:val="00CD72A3"/>
    <w:rsid w:val="00CD730C"/>
    <w:rsid w:val="00CD7330"/>
    <w:rsid w:val="00CE0158"/>
    <w:rsid w:val="00CE039F"/>
    <w:rsid w:val="00CE133A"/>
    <w:rsid w:val="00CE149A"/>
    <w:rsid w:val="00CE23E7"/>
    <w:rsid w:val="00CE442C"/>
    <w:rsid w:val="00CE4978"/>
    <w:rsid w:val="00CE55CF"/>
    <w:rsid w:val="00CE6687"/>
    <w:rsid w:val="00CE681C"/>
    <w:rsid w:val="00CE69C8"/>
    <w:rsid w:val="00CE7408"/>
    <w:rsid w:val="00CE7D56"/>
    <w:rsid w:val="00CE7F58"/>
    <w:rsid w:val="00CF078C"/>
    <w:rsid w:val="00CF0FCB"/>
    <w:rsid w:val="00CF133E"/>
    <w:rsid w:val="00CF133F"/>
    <w:rsid w:val="00CF1E61"/>
    <w:rsid w:val="00CF21C0"/>
    <w:rsid w:val="00CF21D4"/>
    <w:rsid w:val="00CF33E0"/>
    <w:rsid w:val="00CF3513"/>
    <w:rsid w:val="00CF3946"/>
    <w:rsid w:val="00CF438C"/>
    <w:rsid w:val="00CF4FDD"/>
    <w:rsid w:val="00CF5659"/>
    <w:rsid w:val="00CF644E"/>
    <w:rsid w:val="00CF716E"/>
    <w:rsid w:val="00CF7407"/>
    <w:rsid w:val="00D00350"/>
    <w:rsid w:val="00D01329"/>
    <w:rsid w:val="00D0173E"/>
    <w:rsid w:val="00D02388"/>
    <w:rsid w:val="00D02D65"/>
    <w:rsid w:val="00D02FC1"/>
    <w:rsid w:val="00D03095"/>
    <w:rsid w:val="00D04387"/>
    <w:rsid w:val="00D04A1B"/>
    <w:rsid w:val="00D052C6"/>
    <w:rsid w:val="00D05381"/>
    <w:rsid w:val="00D062C1"/>
    <w:rsid w:val="00D062CE"/>
    <w:rsid w:val="00D0664E"/>
    <w:rsid w:val="00D10CF1"/>
    <w:rsid w:val="00D10D82"/>
    <w:rsid w:val="00D10DCF"/>
    <w:rsid w:val="00D12269"/>
    <w:rsid w:val="00D14271"/>
    <w:rsid w:val="00D14E26"/>
    <w:rsid w:val="00D16755"/>
    <w:rsid w:val="00D176A8"/>
    <w:rsid w:val="00D21526"/>
    <w:rsid w:val="00D2195E"/>
    <w:rsid w:val="00D21A58"/>
    <w:rsid w:val="00D21EC6"/>
    <w:rsid w:val="00D224FF"/>
    <w:rsid w:val="00D2287B"/>
    <w:rsid w:val="00D235BA"/>
    <w:rsid w:val="00D24221"/>
    <w:rsid w:val="00D25017"/>
    <w:rsid w:val="00D2510A"/>
    <w:rsid w:val="00D253A6"/>
    <w:rsid w:val="00D25B5F"/>
    <w:rsid w:val="00D25F89"/>
    <w:rsid w:val="00D26288"/>
    <w:rsid w:val="00D2634D"/>
    <w:rsid w:val="00D26BF5"/>
    <w:rsid w:val="00D277B8"/>
    <w:rsid w:val="00D305EA"/>
    <w:rsid w:val="00D30C7C"/>
    <w:rsid w:val="00D312DE"/>
    <w:rsid w:val="00D320FD"/>
    <w:rsid w:val="00D32957"/>
    <w:rsid w:val="00D32C4F"/>
    <w:rsid w:val="00D32EB7"/>
    <w:rsid w:val="00D32F61"/>
    <w:rsid w:val="00D336AB"/>
    <w:rsid w:val="00D33B8B"/>
    <w:rsid w:val="00D347FE"/>
    <w:rsid w:val="00D348E0"/>
    <w:rsid w:val="00D34D94"/>
    <w:rsid w:val="00D351BC"/>
    <w:rsid w:val="00D36508"/>
    <w:rsid w:val="00D3666C"/>
    <w:rsid w:val="00D36737"/>
    <w:rsid w:val="00D36F2D"/>
    <w:rsid w:val="00D376DC"/>
    <w:rsid w:val="00D37AD4"/>
    <w:rsid w:val="00D37D6F"/>
    <w:rsid w:val="00D40853"/>
    <w:rsid w:val="00D416AC"/>
    <w:rsid w:val="00D4232A"/>
    <w:rsid w:val="00D430B1"/>
    <w:rsid w:val="00D43466"/>
    <w:rsid w:val="00D43642"/>
    <w:rsid w:val="00D44078"/>
    <w:rsid w:val="00D45009"/>
    <w:rsid w:val="00D465D6"/>
    <w:rsid w:val="00D46896"/>
    <w:rsid w:val="00D475C2"/>
    <w:rsid w:val="00D50310"/>
    <w:rsid w:val="00D504B5"/>
    <w:rsid w:val="00D5096D"/>
    <w:rsid w:val="00D5100F"/>
    <w:rsid w:val="00D51FE5"/>
    <w:rsid w:val="00D520A0"/>
    <w:rsid w:val="00D520AE"/>
    <w:rsid w:val="00D52DFD"/>
    <w:rsid w:val="00D52E46"/>
    <w:rsid w:val="00D540B3"/>
    <w:rsid w:val="00D548F6"/>
    <w:rsid w:val="00D552F4"/>
    <w:rsid w:val="00D554B3"/>
    <w:rsid w:val="00D554B9"/>
    <w:rsid w:val="00D55E34"/>
    <w:rsid w:val="00D55F7C"/>
    <w:rsid w:val="00D5625E"/>
    <w:rsid w:val="00D56595"/>
    <w:rsid w:val="00D56B12"/>
    <w:rsid w:val="00D57079"/>
    <w:rsid w:val="00D615B6"/>
    <w:rsid w:val="00D61CFE"/>
    <w:rsid w:val="00D63065"/>
    <w:rsid w:val="00D630B3"/>
    <w:rsid w:val="00D638EC"/>
    <w:rsid w:val="00D63B59"/>
    <w:rsid w:val="00D655E0"/>
    <w:rsid w:val="00D65EB7"/>
    <w:rsid w:val="00D6751E"/>
    <w:rsid w:val="00D67726"/>
    <w:rsid w:val="00D679DC"/>
    <w:rsid w:val="00D67D6C"/>
    <w:rsid w:val="00D67DB7"/>
    <w:rsid w:val="00D704BD"/>
    <w:rsid w:val="00D706EB"/>
    <w:rsid w:val="00D70970"/>
    <w:rsid w:val="00D71181"/>
    <w:rsid w:val="00D713B0"/>
    <w:rsid w:val="00D71A03"/>
    <w:rsid w:val="00D7209F"/>
    <w:rsid w:val="00D72151"/>
    <w:rsid w:val="00D735D1"/>
    <w:rsid w:val="00D73B85"/>
    <w:rsid w:val="00D73E15"/>
    <w:rsid w:val="00D74097"/>
    <w:rsid w:val="00D7486C"/>
    <w:rsid w:val="00D74F70"/>
    <w:rsid w:val="00D759E7"/>
    <w:rsid w:val="00D75F17"/>
    <w:rsid w:val="00D763C3"/>
    <w:rsid w:val="00D763FF"/>
    <w:rsid w:val="00D76E55"/>
    <w:rsid w:val="00D80A31"/>
    <w:rsid w:val="00D81548"/>
    <w:rsid w:val="00D82953"/>
    <w:rsid w:val="00D83393"/>
    <w:rsid w:val="00D841AC"/>
    <w:rsid w:val="00D84332"/>
    <w:rsid w:val="00D847A8"/>
    <w:rsid w:val="00D84908"/>
    <w:rsid w:val="00D84932"/>
    <w:rsid w:val="00D85169"/>
    <w:rsid w:val="00D85766"/>
    <w:rsid w:val="00D85D7E"/>
    <w:rsid w:val="00D86138"/>
    <w:rsid w:val="00D86817"/>
    <w:rsid w:val="00D86A6F"/>
    <w:rsid w:val="00D872C5"/>
    <w:rsid w:val="00D877F7"/>
    <w:rsid w:val="00D903A7"/>
    <w:rsid w:val="00D904F4"/>
    <w:rsid w:val="00D90568"/>
    <w:rsid w:val="00D90629"/>
    <w:rsid w:val="00D90FCD"/>
    <w:rsid w:val="00D9125A"/>
    <w:rsid w:val="00D92D2A"/>
    <w:rsid w:val="00D93F50"/>
    <w:rsid w:val="00D94E24"/>
    <w:rsid w:val="00D95052"/>
    <w:rsid w:val="00D9515C"/>
    <w:rsid w:val="00D95367"/>
    <w:rsid w:val="00D958AD"/>
    <w:rsid w:val="00D95CD2"/>
    <w:rsid w:val="00D95DED"/>
    <w:rsid w:val="00D96C32"/>
    <w:rsid w:val="00D974B1"/>
    <w:rsid w:val="00D9764B"/>
    <w:rsid w:val="00D97BE0"/>
    <w:rsid w:val="00DA04AE"/>
    <w:rsid w:val="00DA0B9F"/>
    <w:rsid w:val="00DA11D9"/>
    <w:rsid w:val="00DA1F3F"/>
    <w:rsid w:val="00DA21D5"/>
    <w:rsid w:val="00DA2AF6"/>
    <w:rsid w:val="00DA2D99"/>
    <w:rsid w:val="00DA3B14"/>
    <w:rsid w:val="00DA46B7"/>
    <w:rsid w:val="00DA5172"/>
    <w:rsid w:val="00DA5635"/>
    <w:rsid w:val="00DA5B66"/>
    <w:rsid w:val="00DA60C3"/>
    <w:rsid w:val="00DA62FC"/>
    <w:rsid w:val="00DA68FB"/>
    <w:rsid w:val="00DA697D"/>
    <w:rsid w:val="00DA7AE8"/>
    <w:rsid w:val="00DB027B"/>
    <w:rsid w:val="00DB0DDC"/>
    <w:rsid w:val="00DB1614"/>
    <w:rsid w:val="00DB19F2"/>
    <w:rsid w:val="00DB1E3A"/>
    <w:rsid w:val="00DB2D87"/>
    <w:rsid w:val="00DB3575"/>
    <w:rsid w:val="00DB3888"/>
    <w:rsid w:val="00DB3E0E"/>
    <w:rsid w:val="00DB44DD"/>
    <w:rsid w:val="00DB450F"/>
    <w:rsid w:val="00DB4EED"/>
    <w:rsid w:val="00DB5761"/>
    <w:rsid w:val="00DB6AA9"/>
    <w:rsid w:val="00DB6E46"/>
    <w:rsid w:val="00DB7B85"/>
    <w:rsid w:val="00DB7EB6"/>
    <w:rsid w:val="00DC05BA"/>
    <w:rsid w:val="00DC1687"/>
    <w:rsid w:val="00DC1ABB"/>
    <w:rsid w:val="00DC20B5"/>
    <w:rsid w:val="00DC2D40"/>
    <w:rsid w:val="00DC2DC7"/>
    <w:rsid w:val="00DC3D84"/>
    <w:rsid w:val="00DC45EB"/>
    <w:rsid w:val="00DC51BA"/>
    <w:rsid w:val="00DC6383"/>
    <w:rsid w:val="00DC6582"/>
    <w:rsid w:val="00DC7131"/>
    <w:rsid w:val="00DC785D"/>
    <w:rsid w:val="00DD2352"/>
    <w:rsid w:val="00DD2E77"/>
    <w:rsid w:val="00DD3C10"/>
    <w:rsid w:val="00DD40B2"/>
    <w:rsid w:val="00DD42D8"/>
    <w:rsid w:val="00DD433F"/>
    <w:rsid w:val="00DD43C4"/>
    <w:rsid w:val="00DD47E4"/>
    <w:rsid w:val="00DD4A7F"/>
    <w:rsid w:val="00DD4EF4"/>
    <w:rsid w:val="00DD52DE"/>
    <w:rsid w:val="00DD59E5"/>
    <w:rsid w:val="00DD5BCB"/>
    <w:rsid w:val="00DD5EAB"/>
    <w:rsid w:val="00DD6B44"/>
    <w:rsid w:val="00DD7963"/>
    <w:rsid w:val="00DD79F6"/>
    <w:rsid w:val="00DD7A9F"/>
    <w:rsid w:val="00DD7F77"/>
    <w:rsid w:val="00DE19B1"/>
    <w:rsid w:val="00DE2200"/>
    <w:rsid w:val="00DE28DE"/>
    <w:rsid w:val="00DE29CB"/>
    <w:rsid w:val="00DE343B"/>
    <w:rsid w:val="00DE52B0"/>
    <w:rsid w:val="00DE64E6"/>
    <w:rsid w:val="00DE6BA9"/>
    <w:rsid w:val="00DE6D80"/>
    <w:rsid w:val="00DE6DB3"/>
    <w:rsid w:val="00DE76D4"/>
    <w:rsid w:val="00DE77EA"/>
    <w:rsid w:val="00DE7897"/>
    <w:rsid w:val="00DE7CAA"/>
    <w:rsid w:val="00DE7CF2"/>
    <w:rsid w:val="00DF144D"/>
    <w:rsid w:val="00DF190B"/>
    <w:rsid w:val="00DF227E"/>
    <w:rsid w:val="00DF2716"/>
    <w:rsid w:val="00DF3238"/>
    <w:rsid w:val="00DF4F37"/>
    <w:rsid w:val="00DF520E"/>
    <w:rsid w:val="00DF5D38"/>
    <w:rsid w:val="00DF5E1B"/>
    <w:rsid w:val="00DF610D"/>
    <w:rsid w:val="00DF6E20"/>
    <w:rsid w:val="00DF784A"/>
    <w:rsid w:val="00DF7A82"/>
    <w:rsid w:val="00E00033"/>
    <w:rsid w:val="00E00479"/>
    <w:rsid w:val="00E007A4"/>
    <w:rsid w:val="00E0093B"/>
    <w:rsid w:val="00E00A91"/>
    <w:rsid w:val="00E00F06"/>
    <w:rsid w:val="00E012E2"/>
    <w:rsid w:val="00E01424"/>
    <w:rsid w:val="00E01BA0"/>
    <w:rsid w:val="00E02663"/>
    <w:rsid w:val="00E028C9"/>
    <w:rsid w:val="00E02CF2"/>
    <w:rsid w:val="00E034A5"/>
    <w:rsid w:val="00E0396B"/>
    <w:rsid w:val="00E03D56"/>
    <w:rsid w:val="00E03F84"/>
    <w:rsid w:val="00E040DA"/>
    <w:rsid w:val="00E043C5"/>
    <w:rsid w:val="00E04BBD"/>
    <w:rsid w:val="00E051B6"/>
    <w:rsid w:val="00E0566C"/>
    <w:rsid w:val="00E05690"/>
    <w:rsid w:val="00E062D4"/>
    <w:rsid w:val="00E064D6"/>
    <w:rsid w:val="00E06D0D"/>
    <w:rsid w:val="00E070E0"/>
    <w:rsid w:val="00E07127"/>
    <w:rsid w:val="00E079AB"/>
    <w:rsid w:val="00E10FFE"/>
    <w:rsid w:val="00E115D9"/>
    <w:rsid w:val="00E12834"/>
    <w:rsid w:val="00E129DF"/>
    <w:rsid w:val="00E130DD"/>
    <w:rsid w:val="00E1339E"/>
    <w:rsid w:val="00E14D9E"/>
    <w:rsid w:val="00E15AB0"/>
    <w:rsid w:val="00E162BD"/>
    <w:rsid w:val="00E167C0"/>
    <w:rsid w:val="00E168FD"/>
    <w:rsid w:val="00E175F7"/>
    <w:rsid w:val="00E17B9F"/>
    <w:rsid w:val="00E17EC2"/>
    <w:rsid w:val="00E20558"/>
    <w:rsid w:val="00E222E2"/>
    <w:rsid w:val="00E226E2"/>
    <w:rsid w:val="00E22A62"/>
    <w:rsid w:val="00E2354C"/>
    <w:rsid w:val="00E23B3C"/>
    <w:rsid w:val="00E23EAF"/>
    <w:rsid w:val="00E240C2"/>
    <w:rsid w:val="00E241A6"/>
    <w:rsid w:val="00E242E0"/>
    <w:rsid w:val="00E243A8"/>
    <w:rsid w:val="00E24B65"/>
    <w:rsid w:val="00E251DA"/>
    <w:rsid w:val="00E2560D"/>
    <w:rsid w:val="00E26355"/>
    <w:rsid w:val="00E26596"/>
    <w:rsid w:val="00E26FCE"/>
    <w:rsid w:val="00E30646"/>
    <w:rsid w:val="00E31B17"/>
    <w:rsid w:val="00E3280B"/>
    <w:rsid w:val="00E32B3A"/>
    <w:rsid w:val="00E3313C"/>
    <w:rsid w:val="00E332A6"/>
    <w:rsid w:val="00E33D30"/>
    <w:rsid w:val="00E342C0"/>
    <w:rsid w:val="00E34331"/>
    <w:rsid w:val="00E35859"/>
    <w:rsid w:val="00E35868"/>
    <w:rsid w:val="00E363F6"/>
    <w:rsid w:val="00E368F2"/>
    <w:rsid w:val="00E36D58"/>
    <w:rsid w:val="00E37BDA"/>
    <w:rsid w:val="00E37C62"/>
    <w:rsid w:val="00E40045"/>
    <w:rsid w:val="00E40542"/>
    <w:rsid w:val="00E405EC"/>
    <w:rsid w:val="00E40FCA"/>
    <w:rsid w:val="00E41407"/>
    <w:rsid w:val="00E4143A"/>
    <w:rsid w:val="00E41A4A"/>
    <w:rsid w:val="00E42196"/>
    <w:rsid w:val="00E4388F"/>
    <w:rsid w:val="00E43BAA"/>
    <w:rsid w:val="00E444E6"/>
    <w:rsid w:val="00E44851"/>
    <w:rsid w:val="00E44C36"/>
    <w:rsid w:val="00E44E38"/>
    <w:rsid w:val="00E45E14"/>
    <w:rsid w:val="00E46104"/>
    <w:rsid w:val="00E46508"/>
    <w:rsid w:val="00E47006"/>
    <w:rsid w:val="00E4716D"/>
    <w:rsid w:val="00E4792F"/>
    <w:rsid w:val="00E47F3E"/>
    <w:rsid w:val="00E5062D"/>
    <w:rsid w:val="00E50948"/>
    <w:rsid w:val="00E51556"/>
    <w:rsid w:val="00E517D9"/>
    <w:rsid w:val="00E51DE6"/>
    <w:rsid w:val="00E51FE7"/>
    <w:rsid w:val="00E52344"/>
    <w:rsid w:val="00E52913"/>
    <w:rsid w:val="00E53841"/>
    <w:rsid w:val="00E53C67"/>
    <w:rsid w:val="00E53DCC"/>
    <w:rsid w:val="00E541F2"/>
    <w:rsid w:val="00E54CD1"/>
    <w:rsid w:val="00E54E45"/>
    <w:rsid w:val="00E54F0E"/>
    <w:rsid w:val="00E55B5F"/>
    <w:rsid w:val="00E571E6"/>
    <w:rsid w:val="00E576C1"/>
    <w:rsid w:val="00E608B8"/>
    <w:rsid w:val="00E60D29"/>
    <w:rsid w:val="00E60E00"/>
    <w:rsid w:val="00E61020"/>
    <w:rsid w:val="00E614AC"/>
    <w:rsid w:val="00E617B9"/>
    <w:rsid w:val="00E61C88"/>
    <w:rsid w:val="00E61F74"/>
    <w:rsid w:val="00E6248E"/>
    <w:rsid w:val="00E63A98"/>
    <w:rsid w:val="00E63B53"/>
    <w:rsid w:val="00E645BE"/>
    <w:rsid w:val="00E64BDC"/>
    <w:rsid w:val="00E65095"/>
    <w:rsid w:val="00E66F07"/>
    <w:rsid w:val="00E66F0B"/>
    <w:rsid w:val="00E67100"/>
    <w:rsid w:val="00E67E63"/>
    <w:rsid w:val="00E716F4"/>
    <w:rsid w:val="00E71790"/>
    <w:rsid w:val="00E72060"/>
    <w:rsid w:val="00E723BE"/>
    <w:rsid w:val="00E72431"/>
    <w:rsid w:val="00E7283F"/>
    <w:rsid w:val="00E73485"/>
    <w:rsid w:val="00E739F0"/>
    <w:rsid w:val="00E73EAF"/>
    <w:rsid w:val="00E74692"/>
    <w:rsid w:val="00E74A2F"/>
    <w:rsid w:val="00E74FA3"/>
    <w:rsid w:val="00E755CC"/>
    <w:rsid w:val="00E764F1"/>
    <w:rsid w:val="00E77ABB"/>
    <w:rsid w:val="00E77B17"/>
    <w:rsid w:val="00E80209"/>
    <w:rsid w:val="00E808C3"/>
    <w:rsid w:val="00E80D6A"/>
    <w:rsid w:val="00E824E1"/>
    <w:rsid w:val="00E82F3D"/>
    <w:rsid w:val="00E831F8"/>
    <w:rsid w:val="00E834D1"/>
    <w:rsid w:val="00E83635"/>
    <w:rsid w:val="00E83790"/>
    <w:rsid w:val="00E84765"/>
    <w:rsid w:val="00E850DE"/>
    <w:rsid w:val="00E8664B"/>
    <w:rsid w:val="00E869F7"/>
    <w:rsid w:val="00E87F36"/>
    <w:rsid w:val="00E90129"/>
    <w:rsid w:val="00E904A5"/>
    <w:rsid w:val="00E90791"/>
    <w:rsid w:val="00E90BA4"/>
    <w:rsid w:val="00E91BB0"/>
    <w:rsid w:val="00E92650"/>
    <w:rsid w:val="00E9317A"/>
    <w:rsid w:val="00E93548"/>
    <w:rsid w:val="00E93D6D"/>
    <w:rsid w:val="00E93E56"/>
    <w:rsid w:val="00E946F5"/>
    <w:rsid w:val="00E949D4"/>
    <w:rsid w:val="00E94DDB"/>
    <w:rsid w:val="00E94F85"/>
    <w:rsid w:val="00E95099"/>
    <w:rsid w:val="00E95515"/>
    <w:rsid w:val="00E958C5"/>
    <w:rsid w:val="00E95998"/>
    <w:rsid w:val="00E95DED"/>
    <w:rsid w:val="00E965C1"/>
    <w:rsid w:val="00E9752F"/>
    <w:rsid w:val="00E97C6A"/>
    <w:rsid w:val="00EA01EF"/>
    <w:rsid w:val="00EA1B0B"/>
    <w:rsid w:val="00EA1C7F"/>
    <w:rsid w:val="00EA2029"/>
    <w:rsid w:val="00EA281B"/>
    <w:rsid w:val="00EA2B10"/>
    <w:rsid w:val="00EA3B52"/>
    <w:rsid w:val="00EA3E53"/>
    <w:rsid w:val="00EA453C"/>
    <w:rsid w:val="00EA4FF1"/>
    <w:rsid w:val="00EA5248"/>
    <w:rsid w:val="00EA5B62"/>
    <w:rsid w:val="00EA5DA5"/>
    <w:rsid w:val="00EA6FB3"/>
    <w:rsid w:val="00EA7713"/>
    <w:rsid w:val="00EB050C"/>
    <w:rsid w:val="00EB1030"/>
    <w:rsid w:val="00EB1F66"/>
    <w:rsid w:val="00EB262D"/>
    <w:rsid w:val="00EB29A4"/>
    <w:rsid w:val="00EB2A1B"/>
    <w:rsid w:val="00EB2B7D"/>
    <w:rsid w:val="00EB2E25"/>
    <w:rsid w:val="00EB312C"/>
    <w:rsid w:val="00EB3164"/>
    <w:rsid w:val="00EB6390"/>
    <w:rsid w:val="00EB7310"/>
    <w:rsid w:val="00EB7688"/>
    <w:rsid w:val="00EB7CD7"/>
    <w:rsid w:val="00EC0359"/>
    <w:rsid w:val="00EC0369"/>
    <w:rsid w:val="00EC0CFB"/>
    <w:rsid w:val="00EC12A8"/>
    <w:rsid w:val="00EC2120"/>
    <w:rsid w:val="00EC2E18"/>
    <w:rsid w:val="00EC39AB"/>
    <w:rsid w:val="00EC3B56"/>
    <w:rsid w:val="00EC4076"/>
    <w:rsid w:val="00EC4C24"/>
    <w:rsid w:val="00EC4CEB"/>
    <w:rsid w:val="00EC4E10"/>
    <w:rsid w:val="00EC5093"/>
    <w:rsid w:val="00EC52F3"/>
    <w:rsid w:val="00EC6829"/>
    <w:rsid w:val="00EC6A31"/>
    <w:rsid w:val="00EC718F"/>
    <w:rsid w:val="00EC79F3"/>
    <w:rsid w:val="00EC7A65"/>
    <w:rsid w:val="00EC7C28"/>
    <w:rsid w:val="00ED01C1"/>
    <w:rsid w:val="00ED0EF3"/>
    <w:rsid w:val="00ED11EE"/>
    <w:rsid w:val="00ED128C"/>
    <w:rsid w:val="00ED1F88"/>
    <w:rsid w:val="00ED2A10"/>
    <w:rsid w:val="00ED38BB"/>
    <w:rsid w:val="00ED4601"/>
    <w:rsid w:val="00ED4E4E"/>
    <w:rsid w:val="00ED5581"/>
    <w:rsid w:val="00ED55A2"/>
    <w:rsid w:val="00ED5A8C"/>
    <w:rsid w:val="00ED5B33"/>
    <w:rsid w:val="00ED6C9C"/>
    <w:rsid w:val="00ED6D56"/>
    <w:rsid w:val="00ED6DA2"/>
    <w:rsid w:val="00ED725D"/>
    <w:rsid w:val="00ED7D7B"/>
    <w:rsid w:val="00EE0497"/>
    <w:rsid w:val="00EE1376"/>
    <w:rsid w:val="00EE1AF8"/>
    <w:rsid w:val="00EE1BC8"/>
    <w:rsid w:val="00EE2883"/>
    <w:rsid w:val="00EE29A2"/>
    <w:rsid w:val="00EE2B4E"/>
    <w:rsid w:val="00EE2BFD"/>
    <w:rsid w:val="00EE2D90"/>
    <w:rsid w:val="00EE2E08"/>
    <w:rsid w:val="00EE2ECE"/>
    <w:rsid w:val="00EE4393"/>
    <w:rsid w:val="00EE4A3B"/>
    <w:rsid w:val="00EE4D19"/>
    <w:rsid w:val="00EE4D73"/>
    <w:rsid w:val="00EE4FA9"/>
    <w:rsid w:val="00EE57C4"/>
    <w:rsid w:val="00EE5994"/>
    <w:rsid w:val="00EE61E2"/>
    <w:rsid w:val="00EE6636"/>
    <w:rsid w:val="00EE7042"/>
    <w:rsid w:val="00EE785F"/>
    <w:rsid w:val="00EE7A15"/>
    <w:rsid w:val="00EF07C4"/>
    <w:rsid w:val="00EF24DE"/>
    <w:rsid w:val="00EF2BF2"/>
    <w:rsid w:val="00EF2FE4"/>
    <w:rsid w:val="00EF3831"/>
    <w:rsid w:val="00EF3DE1"/>
    <w:rsid w:val="00EF4A67"/>
    <w:rsid w:val="00EF56E8"/>
    <w:rsid w:val="00EF62F6"/>
    <w:rsid w:val="00EF71B0"/>
    <w:rsid w:val="00EF7670"/>
    <w:rsid w:val="00F002AE"/>
    <w:rsid w:val="00F01359"/>
    <w:rsid w:val="00F0159A"/>
    <w:rsid w:val="00F0319E"/>
    <w:rsid w:val="00F03D93"/>
    <w:rsid w:val="00F04D6C"/>
    <w:rsid w:val="00F05903"/>
    <w:rsid w:val="00F059E5"/>
    <w:rsid w:val="00F05B1E"/>
    <w:rsid w:val="00F06701"/>
    <w:rsid w:val="00F07529"/>
    <w:rsid w:val="00F075B0"/>
    <w:rsid w:val="00F0763D"/>
    <w:rsid w:val="00F10377"/>
    <w:rsid w:val="00F10C30"/>
    <w:rsid w:val="00F12DC7"/>
    <w:rsid w:val="00F139C1"/>
    <w:rsid w:val="00F1471D"/>
    <w:rsid w:val="00F148DF"/>
    <w:rsid w:val="00F157CD"/>
    <w:rsid w:val="00F16684"/>
    <w:rsid w:val="00F16AC3"/>
    <w:rsid w:val="00F16AF8"/>
    <w:rsid w:val="00F170D2"/>
    <w:rsid w:val="00F17117"/>
    <w:rsid w:val="00F17446"/>
    <w:rsid w:val="00F176F2"/>
    <w:rsid w:val="00F17D97"/>
    <w:rsid w:val="00F20351"/>
    <w:rsid w:val="00F20BA8"/>
    <w:rsid w:val="00F21B8E"/>
    <w:rsid w:val="00F21FD5"/>
    <w:rsid w:val="00F22027"/>
    <w:rsid w:val="00F22D73"/>
    <w:rsid w:val="00F23B40"/>
    <w:rsid w:val="00F23B43"/>
    <w:rsid w:val="00F23BD7"/>
    <w:rsid w:val="00F24173"/>
    <w:rsid w:val="00F247FF"/>
    <w:rsid w:val="00F24B37"/>
    <w:rsid w:val="00F24DC4"/>
    <w:rsid w:val="00F24E3C"/>
    <w:rsid w:val="00F24EE0"/>
    <w:rsid w:val="00F258DF"/>
    <w:rsid w:val="00F26BC5"/>
    <w:rsid w:val="00F26D29"/>
    <w:rsid w:val="00F302F0"/>
    <w:rsid w:val="00F312BB"/>
    <w:rsid w:val="00F31D6E"/>
    <w:rsid w:val="00F32EF5"/>
    <w:rsid w:val="00F336DB"/>
    <w:rsid w:val="00F33C2A"/>
    <w:rsid w:val="00F348E1"/>
    <w:rsid w:val="00F35087"/>
    <w:rsid w:val="00F35673"/>
    <w:rsid w:val="00F3617E"/>
    <w:rsid w:val="00F37104"/>
    <w:rsid w:val="00F3765E"/>
    <w:rsid w:val="00F4013B"/>
    <w:rsid w:val="00F409C2"/>
    <w:rsid w:val="00F40CB0"/>
    <w:rsid w:val="00F40E75"/>
    <w:rsid w:val="00F40EDF"/>
    <w:rsid w:val="00F41D25"/>
    <w:rsid w:val="00F41EE3"/>
    <w:rsid w:val="00F42A71"/>
    <w:rsid w:val="00F438AA"/>
    <w:rsid w:val="00F43C09"/>
    <w:rsid w:val="00F4473D"/>
    <w:rsid w:val="00F4504D"/>
    <w:rsid w:val="00F452E1"/>
    <w:rsid w:val="00F458BF"/>
    <w:rsid w:val="00F464A4"/>
    <w:rsid w:val="00F465E5"/>
    <w:rsid w:val="00F46D36"/>
    <w:rsid w:val="00F46D7D"/>
    <w:rsid w:val="00F479B5"/>
    <w:rsid w:val="00F47D33"/>
    <w:rsid w:val="00F47D9E"/>
    <w:rsid w:val="00F50BB8"/>
    <w:rsid w:val="00F50D58"/>
    <w:rsid w:val="00F512E8"/>
    <w:rsid w:val="00F51F76"/>
    <w:rsid w:val="00F533F7"/>
    <w:rsid w:val="00F53678"/>
    <w:rsid w:val="00F53FBB"/>
    <w:rsid w:val="00F541E4"/>
    <w:rsid w:val="00F54BFB"/>
    <w:rsid w:val="00F54CFF"/>
    <w:rsid w:val="00F558F9"/>
    <w:rsid w:val="00F55E85"/>
    <w:rsid w:val="00F55FC4"/>
    <w:rsid w:val="00F56405"/>
    <w:rsid w:val="00F603D1"/>
    <w:rsid w:val="00F60787"/>
    <w:rsid w:val="00F60BB1"/>
    <w:rsid w:val="00F61730"/>
    <w:rsid w:val="00F617AE"/>
    <w:rsid w:val="00F61D76"/>
    <w:rsid w:val="00F622C5"/>
    <w:rsid w:val="00F622DC"/>
    <w:rsid w:val="00F625B4"/>
    <w:rsid w:val="00F62678"/>
    <w:rsid w:val="00F62EBC"/>
    <w:rsid w:val="00F62F71"/>
    <w:rsid w:val="00F65135"/>
    <w:rsid w:val="00F66A2C"/>
    <w:rsid w:val="00F67251"/>
    <w:rsid w:val="00F678EA"/>
    <w:rsid w:val="00F70B24"/>
    <w:rsid w:val="00F70CD5"/>
    <w:rsid w:val="00F73F4B"/>
    <w:rsid w:val="00F73F58"/>
    <w:rsid w:val="00F740B8"/>
    <w:rsid w:val="00F75A11"/>
    <w:rsid w:val="00F767D5"/>
    <w:rsid w:val="00F76968"/>
    <w:rsid w:val="00F76BD0"/>
    <w:rsid w:val="00F76F32"/>
    <w:rsid w:val="00F770CF"/>
    <w:rsid w:val="00F7710B"/>
    <w:rsid w:val="00F771D2"/>
    <w:rsid w:val="00F804E2"/>
    <w:rsid w:val="00F81253"/>
    <w:rsid w:val="00F81648"/>
    <w:rsid w:val="00F81FC4"/>
    <w:rsid w:val="00F8282A"/>
    <w:rsid w:val="00F82C16"/>
    <w:rsid w:val="00F83157"/>
    <w:rsid w:val="00F8405D"/>
    <w:rsid w:val="00F84534"/>
    <w:rsid w:val="00F8467F"/>
    <w:rsid w:val="00F84724"/>
    <w:rsid w:val="00F84DB9"/>
    <w:rsid w:val="00F85405"/>
    <w:rsid w:val="00F857C0"/>
    <w:rsid w:val="00F86A09"/>
    <w:rsid w:val="00F8748C"/>
    <w:rsid w:val="00F90879"/>
    <w:rsid w:val="00F91235"/>
    <w:rsid w:val="00F91E0F"/>
    <w:rsid w:val="00F9234A"/>
    <w:rsid w:val="00F924C9"/>
    <w:rsid w:val="00F92556"/>
    <w:rsid w:val="00F9306A"/>
    <w:rsid w:val="00F94CBD"/>
    <w:rsid w:val="00F94E68"/>
    <w:rsid w:val="00F951A7"/>
    <w:rsid w:val="00F9623A"/>
    <w:rsid w:val="00F96308"/>
    <w:rsid w:val="00F96B8F"/>
    <w:rsid w:val="00F973EF"/>
    <w:rsid w:val="00F97A85"/>
    <w:rsid w:val="00F97F12"/>
    <w:rsid w:val="00FA0203"/>
    <w:rsid w:val="00FA0632"/>
    <w:rsid w:val="00FA0918"/>
    <w:rsid w:val="00FA0C3D"/>
    <w:rsid w:val="00FA0FCB"/>
    <w:rsid w:val="00FA111A"/>
    <w:rsid w:val="00FA128B"/>
    <w:rsid w:val="00FA2390"/>
    <w:rsid w:val="00FA2435"/>
    <w:rsid w:val="00FA27EB"/>
    <w:rsid w:val="00FA281A"/>
    <w:rsid w:val="00FA34D8"/>
    <w:rsid w:val="00FA3794"/>
    <w:rsid w:val="00FA3E41"/>
    <w:rsid w:val="00FA4602"/>
    <w:rsid w:val="00FA47C8"/>
    <w:rsid w:val="00FA55EE"/>
    <w:rsid w:val="00FA5AA8"/>
    <w:rsid w:val="00FA6EB9"/>
    <w:rsid w:val="00FA7161"/>
    <w:rsid w:val="00FA7EC4"/>
    <w:rsid w:val="00FB1A05"/>
    <w:rsid w:val="00FB1CE0"/>
    <w:rsid w:val="00FB3811"/>
    <w:rsid w:val="00FB3812"/>
    <w:rsid w:val="00FB3D34"/>
    <w:rsid w:val="00FB3E04"/>
    <w:rsid w:val="00FB3EAA"/>
    <w:rsid w:val="00FB4783"/>
    <w:rsid w:val="00FB53F0"/>
    <w:rsid w:val="00FB5424"/>
    <w:rsid w:val="00FB5DA9"/>
    <w:rsid w:val="00FB65DB"/>
    <w:rsid w:val="00FB7AB9"/>
    <w:rsid w:val="00FB7D04"/>
    <w:rsid w:val="00FB7EC8"/>
    <w:rsid w:val="00FC08DF"/>
    <w:rsid w:val="00FC0F52"/>
    <w:rsid w:val="00FC1905"/>
    <w:rsid w:val="00FC2034"/>
    <w:rsid w:val="00FC2067"/>
    <w:rsid w:val="00FC2AAD"/>
    <w:rsid w:val="00FC32D9"/>
    <w:rsid w:val="00FC3579"/>
    <w:rsid w:val="00FC4345"/>
    <w:rsid w:val="00FC4A5B"/>
    <w:rsid w:val="00FC4BA1"/>
    <w:rsid w:val="00FC4D1F"/>
    <w:rsid w:val="00FC5CF5"/>
    <w:rsid w:val="00FC6608"/>
    <w:rsid w:val="00FC6E55"/>
    <w:rsid w:val="00FC75DF"/>
    <w:rsid w:val="00FD039C"/>
    <w:rsid w:val="00FD1EC9"/>
    <w:rsid w:val="00FD20A6"/>
    <w:rsid w:val="00FD268A"/>
    <w:rsid w:val="00FD29BB"/>
    <w:rsid w:val="00FD30DD"/>
    <w:rsid w:val="00FD4CB7"/>
    <w:rsid w:val="00FD4EE7"/>
    <w:rsid w:val="00FD4EEA"/>
    <w:rsid w:val="00FD5121"/>
    <w:rsid w:val="00FD61C6"/>
    <w:rsid w:val="00FD6927"/>
    <w:rsid w:val="00FD75EC"/>
    <w:rsid w:val="00FE0703"/>
    <w:rsid w:val="00FE0A8D"/>
    <w:rsid w:val="00FE0C39"/>
    <w:rsid w:val="00FE0D6B"/>
    <w:rsid w:val="00FE18A1"/>
    <w:rsid w:val="00FE27D9"/>
    <w:rsid w:val="00FE2D6B"/>
    <w:rsid w:val="00FE3C78"/>
    <w:rsid w:val="00FE5A81"/>
    <w:rsid w:val="00FE5AEC"/>
    <w:rsid w:val="00FE5F5D"/>
    <w:rsid w:val="00FE6B07"/>
    <w:rsid w:val="00FE6C6E"/>
    <w:rsid w:val="00FE7018"/>
    <w:rsid w:val="00FE7D00"/>
    <w:rsid w:val="00FF020C"/>
    <w:rsid w:val="00FF074D"/>
    <w:rsid w:val="00FF141A"/>
    <w:rsid w:val="00FF177A"/>
    <w:rsid w:val="00FF1B91"/>
    <w:rsid w:val="00FF1BD0"/>
    <w:rsid w:val="00FF24D7"/>
    <w:rsid w:val="00FF2BE6"/>
    <w:rsid w:val="00FF32D1"/>
    <w:rsid w:val="00FF3722"/>
    <w:rsid w:val="00FF3E7B"/>
    <w:rsid w:val="00FF468B"/>
    <w:rsid w:val="00FF4783"/>
    <w:rsid w:val="00FF5521"/>
    <w:rsid w:val="00FF5F69"/>
    <w:rsid w:val="00FF61FD"/>
    <w:rsid w:val="00FF6325"/>
    <w:rsid w:val="00FF687D"/>
    <w:rsid w:val="00FF6D2F"/>
    <w:rsid w:val="00FF7073"/>
    <w:rsid w:val="00FF7099"/>
    <w:rsid w:val="00FF7599"/>
    <w:rsid w:val="0539337B"/>
    <w:rsid w:val="0BDC36B4"/>
    <w:rsid w:val="10833FD2"/>
    <w:rsid w:val="55DB61F0"/>
    <w:rsid w:val="587A37B8"/>
    <w:rsid w:val="5C7133B8"/>
    <w:rsid w:val="74C67254"/>
    <w:rsid w:val="775B2710"/>
    <w:rsid w:val="7F1901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华文楷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locked="1" w:uiPriority="0" w:qFormat="1"/>
    <w:lsdException w:name="annotation reference" w:semiHidden="0" w:unhideWhenUsed="0"/>
    <w:lsdException w:name="page number" w:semiHidden="0" w:unhideWhenUsed="0"/>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semiHidden="0" w:unhideWhenUsed="0" w:qFormat="1"/>
    <w:lsdException w:name="Normal (Web)" w:semiHidden="0" w:uiPriority="0" w:unhideWhenUsed="0"/>
    <w:lsdException w:name="Normal Table" w:semiHidden="0" w:qFormat="1"/>
    <w:lsdException w:name="annotation subject" w:semiHidden="0" w:unhideWhenUsed="0"/>
    <w:lsdException w:name="Balloon Text" w:semiHidden="0" w:unhideWhenUsed="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szCs w:val="24"/>
    </w:rPr>
  </w:style>
  <w:style w:type="paragraph" w:styleId="1">
    <w:name w:val="heading 1"/>
    <w:basedOn w:val="a"/>
    <w:next w:val="a"/>
    <w:link w:val="1Char"/>
    <w:qFormat/>
    <w:locked/>
    <w:rsid w:val="00A80EEE"/>
    <w:pPr>
      <w:keepNext/>
      <w:keepLines/>
      <w:spacing w:before="340" w:after="330" w:line="578" w:lineRule="auto"/>
      <w:outlineLvl w:val="0"/>
    </w:pPr>
    <w:rPr>
      <w:b/>
      <w:bCs/>
      <w:kern w:val="44"/>
      <w:sz w:val="44"/>
      <w:szCs w:val="44"/>
      <w:lang/>
    </w:rPr>
  </w:style>
  <w:style w:type="paragraph" w:styleId="2">
    <w:name w:val="heading 2"/>
    <w:aliases w:val="2,Chapter X.X. Statement,Header 2,Level 2 Head,h2,heading 2,l2,标题 2 Char Char"/>
    <w:basedOn w:val="a"/>
    <w:next w:val="a"/>
    <w:link w:val="2Char"/>
    <w:qFormat/>
    <w:locked/>
    <w:rsid w:val="00D21EC6"/>
    <w:pPr>
      <w:keepNext/>
      <w:keepLines/>
      <w:spacing w:before="260" w:after="260" w:line="416" w:lineRule="auto"/>
      <w:outlineLvl w:val="1"/>
    </w:pPr>
    <w:rPr>
      <w:rFonts w:ascii="Arial" w:eastAsia="黑体" w:hAnsi="Arial"/>
      <w:b/>
      <w:bCs/>
      <w:sz w:val="32"/>
      <w:szCs w:val="32"/>
      <w:lang/>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Pr>
      <w:rFonts w:cs="Times New Roman"/>
      <w:color w:val="CC0000"/>
    </w:rPr>
  </w:style>
  <w:style w:type="character" w:styleId="a4">
    <w:name w:val="page number"/>
    <w:uiPriority w:val="99"/>
    <w:rPr>
      <w:rFonts w:cs="Times New Roman"/>
    </w:rPr>
  </w:style>
  <w:style w:type="character" w:styleId="a5">
    <w:name w:val="annotation reference"/>
    <w:uiPriority w:val="99"/>
    <w:rPr>
      <w:rFonts w:cs="Times New Roman"/>
      <w:sz w:val="21"/>
      <w:szCs w:val="21"/>
    </w:rPr>
  </w:style>
  <w:style w:type="character" w:customStyle="1" w:styleId="Char">
    <w:name w:val="批注框文本 Char"/>
    <w:link w:val="a6"/>
    <w:uiPriority w:val="99"/>
    <w:locked/>
    <w:rPr>
      <w:rFonts w:ascii="Tahoma" w:eastAsia="宋体" w:hAnsi="Tahoma" w:cs="Tahoma"/>
      <w:kern w:val="2"/>
      <w:sz w:val="16"/>
      <w:szCs w:val="16"/>
    </w:rPr>
  </w:style>
  <w:style w:type="character" w:customStyle="1" w:styleId="Char0">
    <w:name w:val="批注主题 Char"/>
    <w:link w:val="a7"/>
    <w:uiPriority w:val="99"/>
    <w:locked/>
    <w:rPr>
      <w:rFonts w:eastAsia="宋体" w:cs="Times New Roman"/>
      <w:b/>
      <w:bCs/>
      <w:kern w:val="2"/>
      <w:sz w:val="24"/>
      <w:szCs w:val="24"/>
    </w:rPr>
  </w:style>
  <w:style w:type="character" w:customStyle="1" w:styleId="Char1">
    <w:name w:val="页眉 Char"/>
    <w:link w:val="a8"/>
    <w:uiPriority w:val="99"/>
    <w:locked/>
    <w:rPr>
      <w:rFonts w:eastAsia="宋体" w:cs="Times New Roman"/>
      <w:kern w:val="2"/>
      <w:sz w:val="24"/>
      <w:szCs w:val="24"/>
    </w:rPr>
  </w:style>
  <w:style w:type="character" w:customStyle="1" w:styleId="Char2">
    <w:name w:val="页脚 Char"/>
    <w:link w:val="a9"/>
    <w:uiPriority w:val="99"/>
    <w:rPr>
      <w:rFonts w:eastAsia="宋体"/>
      <w:sz w:val="18"/>
      <w:szCs w:val="18"/>
    </w:rPr>
  </w:style>
  <w:style w:type="character" w:customStyle="1" w:styleId="Char3">
    <w:name w:val="批注文字 Char"/>
    <w:link w:val="aa"/>
    <w:uiPriority w:val="99"/>
    <w:locked/>
    <w:rPr>
      <w:rFonts w:eastAsia="宋体" w:cs="Times New Roman"/>
      <w:kern w:val="2"/>
      <w:sz w:val="24"/>
      <w:szCs w:val="24"/>
    </w:rPr>
  </w:style>
  <w:style w:type="paragraph" w:styleId="aa">
    <w:name w:val="annotation text"/>
    <w:basedOn w:val="a"/>
    <w:link w:val="Char3"/>
    <w:uiPriority w:val="99"/>
    <w:pPr>
      <w:jc w:val="left"/>
    </w:pPr>
    <w:rPr>
      <w:sz w:val="24"/>
      <w:lang/>
    </w:rPr>
  </w:style>
  <w:style w:type="paragraph" w:styleId="ab">
    <w:name w:val="Normal (Web)"/>
    <w:basedOn w:val="a"/>
    <w:pPr>
      <w:widowControl/>
      <w:spacing w:before="100" w:beforeAutospacing="1" w:after="100" w:afterAutospacing="1"/>
      <w:jc w:val="left"/>
    </w:pPr>
    <w:rPr>
      <w:rFonts w:ascii="宋体" w:hAnsi="宋体" w:cs="宋体"/>
      <w:kern w:val="0"/>
      <w:sz w:val="24"/>
    </w:rPr>
  </w:style>
  <w:style w:type="paragraph" w:styleId="a7">
    <w:name w:val="annotation subject"/>
    <w:basedOn w:val="aa"/>
    <w:next w:val="aa"/>
    <w:link w:val="Char0"/>
    <w:uiPriority w:val="99"/>
    <w:rPr>
      <w:b/>
      <w:bCs/>
    </w:rPr>
  </w:style>
  <w:style w:type="paragraph" w:styleId="a8">
    <w:name w:val="header"/>
    <w:basedOn w:val="a"/>
    <w:link w:val="Char1"/>
    <w:uiPriority w:val="99"/>
    <w:pPr>
      <w:tabs>
        <w:tab w:val="center" w:pos="4320"/>
        <w:tab w:val="right" w:pos="8640"/>
      </w:tabs>
    </w:pPr>
    <w:rPr>
      <w:sz w:val="24"/>
      <w:lang/>
    </w:rPr>
  </w:style>
  <w:style w:type="paragraph" w:styleId="a9">
    <w:name w:val="footer"/>
    <w:basedOn w:val="a"/>
    <w:link w:val="Char2"/>
    <w:uiPriority w:val="99"/>
    <w:pPr>
      <w:tabs>
        <w:tab w:val="center" w:pos="4320"/>
        <w:tab w:val="right" w:pos="8640"/>
      </w:tabs>
    </w:pPr>
    <w:rPr>
      <w:kern w:val="0"/>
      <w:sz w:val="18"/>
      <w:szCs w:val="18"/>
      <w:lang/>
    </w:rPr>
  </w:style>
  <w:style w:type="paragraph" w:styleId="a6">
    <w:name w:val="Balloon Text"/>
    <w:basedOn w:val="a"/>
    <w:link w:val="Char"/>
    <w:uiPriority w:val="99"/>
    <w:rPr>
      <w:rFonts w:ascii="Tahoma" w:hAnsi="Tahoma"/>
      <w:sz w:val="16"/>
      <w:szCs w:val="16"/>
      <w:lang/>
    </w:rPr>
  </w:style>
  <w:style w:type="paragraph" w:styleId="ac">
    <w:name w:val="Revision"/>
    <w:uiPriority w:val="99"/>
    <w:semiHidden/>
    <w:rPr>
      <w:rFonts w:eastAsia="宋体"/>
      <w:kern w:val="2"/>
      <w:sz w:val="21"/>
      <w:szCs w:val="24"/>
    </w:rPr>
  </w:style>
  <w:style w:type="paragraph" w:styleId="ad">
    <w:name w:val="List Paragraph"/>
    <w:basedOn w:val="a"/>
    <w:uiPriority w:val="99"/>
    <w:qFormat/>
    <w:pPr>
      <w:ind w:firstLineChars="200" w:firstLine="420"/>
    </w:pPr>
  </w:style>
  <w:style w:type="table" w:styleId="ae">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5515"/>
    <w:pPr>
      <w:widowControl w:val="0"/>
      <w:autoSpaceDE w:val="0"/>
      <w:autoSpaceDN w:val="0"/>
      <w:adjustRightInd w:val="0"/>
    </w:pPr>
    <w:rPr>
      <w:rFonts w:ascii="宋体" w:eastAsia="宋体" w:cs="宋体"/>
      <w:color w:val="000000"/>
      <w:sz w:val="24"/>
      <w:szCs w:val="24"/>
      <w:lang w:bidi="th-TH"/>
    </w:rPr>
  </w:style>
  <w:style w:type="character" w:customStyle="1" w:styleId="2CharCharChar">
    <w:name w:val="标题 2 Char Char Char"/>
    <w:rsid w:val="00D21EC6"/>
    <w:rPr>
      <w:rFonts w:ascii="Arial" w:eastAsia="宋体" w:hAnsi="Arial"/>
      <w:b/>
      <w:kern w:val="2"/>
      <w:sz w:val="28"/>
      <w:szCs w:val="28"/>
      <w:lang w:val="en-US" w:eastAsia="zh-CN" w:bidi="ar-SA"/>
    </w:rPr>
  </w:style>
  <w:style w:type="character" w:customStyle="1" w:styleId="2Char">
    <w:name w:val="标题 2 Char"/>
    <w:aliases w:val="2 Char,Chapter X.X. Statement Char,Header 2 Char,Level 2 Head Char,h2 Char,heading 2 Char,l2 Char,标题 2 Char Char Char1"/>
    <w:link w:val="2"/>
    <w:rsid w:val="00D21EC6"/>
    <w:rPr>
      <w:rFonts w:ascii="Arial" w:eastAsia="黑体" w:hAnsi="Arial"/>
      <w:b/>
      <w:bCs/>
      <w:kern w:val="2"/>
      <w:sz w:val="32"/>
      <w:szCs w:val="32"/>
      <w:lang w:bidi="ar-SA"/>
    </w:rPr>
  </w:style>
  <w:style w:type="paragraph" w:styleId="20">
    <w:name w:val="toc 2"/>
    <w:basedOn w:val="a"/>
    <w:next w:val="a"/>
    <w:autoRedefine/>
    <w:uiPriority w:val="39"/>
    <w:rsid w:val="00A80EEE"/>
    <w:pPr>
      <w:tabs>
        <w:tab w:val="right" w:leader="dot" w:pos="8302"/>
      </w:tabs>
      <w:spacing w:line="360" w:lineRule="auto"/>
      <w:ind w:left="210"/>
      <w:jc w:val="left"/>
    </w:pPr>
    <w:rPr>
      <w:smallCaps/>
      <w:sz w:val="20"/>
      <w:szCs w:val="20"/>
    </w:rPr>
  </w:style>
  <w:style w:type="character" w:styleId="af">
    <w:name w:val="Hyperlink"/>
    <w:uiPriority w:val="99"/>
    <w:rsid w:val="00A80EEE"/>
    <w:rPr>
      <w:color w:val="0000FF"/>
      <w:u w:val="single"/>
    </w:rPr>
  </w:style>
  <w:style w:type="character" w:customStyle="1" w:styleId="1Char">
    <w:name w:val="标题 1 Char"/>
    <w:link w:val="1"/>
    <w:rsid w:val="00A80EEE"/>
    <w:rPr>
      <w:rFonts w:eastAsia="宋体"/>
      <w:b/>
      <w:bCs/>
      <w:kern w:val="44"/>
      <w:sz w:val="44"/>
      <w:szCs w:val="44"/>
      <w:lang w:bidi="ar-SA"/>
    </w:rPr>
  </w:style>
  <w:style w:type="paragraph" w:customStyle="1" w:styleId="14">
    <w:name w:val="正文_14"/>
    <w:qFormat/>
    <w:rsid w:val="00A80EEE"/>
    <w:pPr>
      <w:widowControl w:val="0"/>
      <w:jc w:val="both"/>
    </w:pPr>
    <w:rPr>
      <w:rFonts w:eastAsia="宋体"/>
      <w:kern w:val="2"/>
      <w:sz w:val="21"/>
      <w:szCs w:val="24"/>
    </w:rPr>
  </w:style>
  <w:style w:type="paragraph" w:customStyle="1" w:styleId="21">
    <w:name w:val="正文_21"/>
    <w:qFormat/>
    <w:rsid w:val="00A80EEE"/>
    <w:pPr>
      <w:widowControl w:val="0"/>
      <w:jc w:val="both"/>
    </w:pPr>
    <w:rPr>
      <w:rFonts w:eastAsia="宋体"/>
      <w:kern w:val="2"/>
      <w:sz w:val="21"/>
      <w:szCs w:val="24"/>
    </w:rPr>
  </w:style>
  <w:style w:type="paragraph" w:styleId="10">
    <w:name w:val="toc 1"/>
    <w:basedOn w:val="a"/>
    <w:next w:val="a"/>
    <w:autoRedefine/>
    <w:uiPriority w:val="39"/>
    <w:unhideWhenUsed/>
    <w:rsid w:val="000F6087"/>
    <w:pPr>
      <w:tabs>
        <w:tab w:val="right" w:leader="dot" w:pos="9060"/>
      </w:tabs>
      <w:spacing w:line="360" w:lineRule="auto"/>
    </w:pPr>
  </w:style>
  <w:style w:type="paragraph" w:styleId="af0">
    <w:name w:val="Document Map"/>
    <w:basedOn w:val="a"/>
    <w:link w:val="Char4"/>
    <w:uiPriority w:val="99"/>
    <w:semiHidden/>
    <w:unhideWhenUsed/>
    <w:rsid w:val="0089481E"/>
    <w:rPr>
      <w:rFonts w:ascii="宋体"/>
      <w:sz w:val="18"/>
      <w:szCs w:val="18"/>
      <w:lang/>
    </w:rPr>
  </w:style>
  <w:style w:type="character" w:customStyle="1" w:styleId="Char4">
    <w:name w:val="文档结构图 Char"/>
    <w:link w:val="af0"/>
    <w:uiPriority w:val="99"/>
    <w:semiHidden/>
    <w:rsid w:val="0089481E"/>
    <w:rPr>
      <w:rFonts w:ascii="宋体" w:eastAsia="宋体"/>
      <w:kern w:val="2"/>
      <w:sz w:val="18"/>
      <w:szCs w:val="18"/>
      <w:lang w:bidi="ar-SA"/>
    </w:rPr>
  </w:style>
  <w:style w:type="paragraph" w:customStyle="1" w:styleId="28">
    <w:name w:val="正文_28"/>
    <w:qFormat/>
    <w:rsid w:val="00D554B3"/>
    <w:pPr>
      <w:widowControl w:val="0"/>
      <w:jc w:val="both"/>
    </w:pPr>
    <w:rPr>
      <w:rFonts w:eastAsia="宋体"/>
      <w:kern w:val="2"/>
      <w:sz w:val="21"/>
      <w:szCs w:val="24"/>
    </w:rPr>
  </w:style>
</w:styles>
</file>

<file path=word/webSettings.xml><?xml version="1.0" encoding="utf-8"?>
<w:webSettings xmlns:r="http://schemas.openxmlformats.org/officeDocument/2006/relationships" xmlns:w="http://schemas.openxmlformats.org/wordprocessingml/2006/main">
  <w:divs>
    <w:div w:id="93861516">
      <w:bodyDiv w:val="1"/>
      <w:marLeft w:val="0"/>
      <w:marRight w:val="0"/>
      <w:marTop w:val="0"/>
      <w:marBottom w:val="0"/>
      <w:divBdr>
        <w:top w:val="none" w:sz="0" w:space="0" w:color="auto"/>
        <w:left w:val="none" w:sz="0" w:space="0" w:color="auto"/>
        <w:bottom w:val="none" w:sz="0" w:space="0" w:color="auto"/>
        <w:right w:val="none" w:sz="0" w:space="0" w:color="auto"/>
      </w:divBdr>
    </w:div>
    <w:div w:id="126162861">
      <w:bodyDiv w:val="1"/>
      <w:marLeft w:val="0"/>
      <w:marRight w:val="0"/>
      <w:marTop w:val="0"/>
      <w:marBottom w:val="0"/>
      <w:divBdr>
        <w:top w:val="none" w:sz="0" w:space="0" w:color="auto"/>
        <w:left w:val="none" w:sz="0" w:space="0" w:color="auto"/>
        <w:bottom w:val="none" w:sz="0" w:space="0" w:color="auto"/>
        <w:right w:val="none" w:sz="0" w:space="0" w:color="auto"/>
      </w:divBdr>
    </w:div>
    <w:div w:id="157967628">
      <w:bodyDiv w:val="1"/>
      <w:marLeft w:val="0"/>
      <w:marRight w:val="0"/>
      <w:marTop w:val="0"/>
      <w:marBottom w:val="0"/>
      <w:divBdr>
        <w:top w:val="none" w:sz="0" w:space="0" w:color="auto"/>
        <w:left w:val="none" w:sz="0" w:space="0" w:color="auto"/>
        <w:bottom w:val="none" w:sz="0" w:space="0" w:color="auto"/>
        <w:right w:val="none" w:sz="0" w:space="0" w:color="auto"/>
      </w:divBdr>
    </w:div>
    <w:div w:id="254215434">
      <w:bodyDiv w:val="1"/>
      <w:marLeft w:val="0"/>
      <w:marRight w:val="0"/>
      <w:marTop w:val="0"/>
      <w:marBottom w:val="0"/>
      <w:divBdr>
        <w:top w:val="none" w:sz="0" w:space="0" w:color="auto"/>
        <w:left w:val="none" w:sz="0" w:space="0" w:color="auto"/>
        <w:bottom w:val="none" w:sz="0" w:space="0" w:color="auto"/>
        <w:right w:val="none" w:sz="0" w:space="0" w:color="auto"/>
      </w:divBdr>
    </w:div>
    <w:div w:id="284506911">
      <w:bodyDiv w:val="1"/>
      <w:marLeft w:val="0"/>
      <w:marRight w:val="0"/>
      <w:marTop w:val="0"/>
      <w:marBottom w:val="0"/>
      <w:divBdr>
        <w:top w:val="none" w:sz="0" w:space="0" w:color="auto"/>
        <w:left w:val="none" w:sz="0" w:space="0" w:color="auto"/>
        <w:bottom w:val="none" w:sz="0" w:space="0" w:color="auto"/>
        <w:right w:val="none" w:sz="0" w:space="0" w:color="auto"/>
      </w:divBdr>
    </w:div>
    <w:div w:id="370153758">
      <w:bodyDiv w:val="1"/>
      <w:marLeft w:val="0"/>
      <w:marRight w:val="0"/>
      <w:marTop w:val="0"/>
      <w:marBottom w:val="0"/>
      <w:divBdr>
        <w:top w:val="none" w:sz="0" w:space="0" w:color="auto"/>
        <w:left w:val="none" w:sz="0" w:space="0" w:color="auto"/>
        <w:bottom w:val="none" w:sz="0" w:space="0" w:color="auto"/>
        <w:right w:val="none" w:sz="0" w:space="0" w:color="auto"/>
      </w:divBdr>
    </w:div>
    <w:div w:id="424110628">
      <w:bodyDiv w:val="1"/>
      <w:marLeft w:val="0"/>
      <w:marRight w:val="0"/>
      <w:marTop w:val="0"/>
      <w:marBottom w:val="0"/>
      <w:divBdr>
        <w:top w:val="none" w:sz="0" w:space="0" w:color="auto"/>
        <w:left w:val="none" w:sz="0" w:space="0" w:color="auto"/>
        <w:bottom w:val="none" w:sz="0" w:space="0" w:color="auto"/>
        <w:right w:val="none" w:sz="0" w:space="0" w:color="auto"/>
      </w:divBdr>
    </w:div>
    <w:div w:id="436759876">
      <w:bodyDiv w:val="1"/>
      <w:marLeft w:val="0"/>
      <w:marRight w:val="0"/>
      <w:marTop w:val="0"/>
      <w:marBottom w:val="0"/>
      <w:divBdr>
        <w:top w:val="none" w:sz="0" w:space="0" w:color="auto"/>
        <w:left w:val="none" w:sz="0" w:space="0" w:color="auto"/>
        <w:bottom w:val="none" w:sz="0" w:space="0" w:color="auto"/>
        <w:right w:val="none" w:sz="0" w:space="0" w:color="auto"/>
      </w:divBdr>
    </w:div>
    <w:div w:id="523325596">
      <w:bodyDiv w:val="1"/>
      <w:marLeft w:val="0"/>
      <w:marRight w:val="0"/>
      <w:marTop w:val="0"/>
      <w:marBottom w:val="0"/>
      <w:divBdr>
        <w:top w:val="none" w:sz="0" w:space="0" w:color="auto"/>
        <w:left w:val="none" w:sz="0" w:space="0" w:color="auto"/>
        <w:bottom w:val="none" w:sz="0" w:space="0" w:color="auto"/>
        <w:right w:val="none" w:sz="0" w:space="0" w:color="auto"/>
      </w:divBdr>
    </w:div>
    <w:div w:id="608045536">
      <w:bodyDiv w:val="1"/>
      <w:marLeft w:val="0"/>
      <w:marRight w:val="0"/>
      <w:marTop w:val="0"/>
      <w:marBottom w:val="0"/>
      <w:divBdr>
        <w:top w:val="none" w:sz="0" w:space="0" w:color="auto"/>
        <w:left w:val="none" w:sz="0" w:space="0" w:color="auto"/>
        <w:bottom w:val="none" w:sz="0" w:space="0" w:color="auto"/>
        <w:right w:val="none" w:sz="0" w:space="0" w:color="auto"/>
      </w:divBdr>
    </w:div>
    <w:div w:id="753942308">
      <w:bodyDiv w:val="1"/>
      <w:marLeft w:val="0"/>
      <w:marRight w:val="0"/>
      <w:marTop w:val="0"/>
      <w:marBottom w:val="0"/>
      <w:divBdr>
        <w:top w:val="none" w:sz="0" w:space="0" w:color="auto"/>
        <w:left w:val="none" w:sz="0" w:space="0" w:color="auto"/>
        <w:bottom w:val="none" w:sz="0" w:space="0" w:color="auto"/>
        <w:right w:val="none" w:sz="0" w:space="0" w:color="auto"/>
      </w:divBdr>
    </w:div>
    <w:div w:id="760032303">
      <w:bodyDiv w:val="1"/>
      <w:marLeft w:val="0"/>
      <w:marRight w:val="0"/>
      <w:marTop w:val="0"/>
      <w:marBottom w:val="0"/>
      <w:divBdr>
        <w:top w:val="none" w:sz="0" w:space="0" w:color="auto"/>
        <w:left w:val="none" w:sz="0" w:space="0" w:color="auto"/>
        <w:bottom w:val="none" w:sz="0" w:space="0" w:color="auto"/>
        <w:right w:val="none" w:sz="0" w:space="0" w:color="auto"/>
      </w:divBdr>
    </w:div>
    <w:div w:id="762725239">
      <w:bodyDiv w:val="1"/>
      <w:marLeft w:val="0"/>
      <w:marRight w:val="0"/>
      <w:marTop w:val="0"/>
      <w:marBottom w:val="0"/>
      <w:divBdr>
        <w:top w:val="none" w:sz="0" w:space="0" w:color="auto"/>
        <w:left w:val="none" w:sz="0" w:space="0" w:color="auto"/>
        <w:bottom w:val="none" w:sz="0" w:space="0" w:color="auto"/>
        <w:right w:val="none" w:sz="0" w:space="0" w:color="auto"/>
      </w:divBdr>
    </w:div>
    <w:div w:id="774791161">
      <w:bodyDiv w:val="1"/>
      <w:marLeft w:val="0"/>
      <w:marRight w:val="0"/>
      <w:marTop w:val="0"/>
      <w:marBottom w:val="0"/>
      <w:divBdr>
        <w:top w:val="none" w:sz="0" w:space="0" w:color="auto"/>
        <w:left w:val="none" w:sz="0" w:space="0" w:color="auto"/>
        <w:bottom w:val="none" w:sz="0" w:space="0" w:color="auto"/>
        <w:right w:val="none" w:sz="0" w:space="0" w:color="auto"/>
      </w:divBdr>
    </w:div>
    <w:div w:id="809054427">
      <w:bodyDiv w:val="1"/>
      <w:marLeft w:val="0"/>
      <w:marRight w:val="0"/>
      <w:marTop w:val="0"/>
      <w:marBottom w:val="0"/>
      <w:divBdr>
        <w:top w:val="none" w:sz="0" w:space="0" w:color="auto"/>
        <w:left w:val="none" w:sz="0" w:space="0" w:color="auto"/>
        <w:bottom w:val="none" w:sz="0" w:space="0" w:color="auto"/>
        <w:right w:val="none" w:sz="0" w:space="0" w:color="auto"/>
      </w:divBdr>
    </w:div>
    <w:div w:id="843861846">
      <w:bodyDiv w:val="1"/>
      <w:marLeft w:val="0"/>
      <w:marRight w:val="0"/>
      <w:marTop w:val="0"/>
      <w:marBottom w:val="0"/>
      <w:divBdr>
        <w:top w:val="none" w:sz="0" w:space="0" w:color="auto"/>
        <w:left w:val="none" w:sz="0" w:space="0" w:color="auto"/>
        <w:bottom w:val="none" w:sz="0" w:space="0" w:color="auto"/>
        <w:right w:val="none" w:sz="0" w:space="0" w:color="auto"/>
      </w:divBdr>
    </w:div>
    <w:div w:id="928853987">
      <w:bodyDiv w:val="1"/>
      <w:marLeft w:val="0"/>
      <w:marRight w:val="0"/>
      <w:marTop w:val="0"/>
      <w:marBottom w:val="0"/>
      <w:divBdr>
        <w:top w:val="none" w:sz="0" w:space="0" w:color="auto"/>
        <w:left w:val="none" w:sz="0" w:space="0" w:color="auto"/>
        <w:bottom w:val="none" w:sz="0" w:space="0" w:color="auto"/>
        <w:right w:val="none" w:sz="0" w:space="0" w:color="auto"/>
      </w:divBdr>
    </w:div>
    <w:div w:id="968825317">
      <w:bodyDiv w:val="1"/>
      <w:marLeft w:val="0"/>
      <w:marRight w:val="0"/>
      <w:marTop w:val="0"/>
      <w:marBottom w:val="0"/>
      <w:divBdr>
        <w:top w:val="none" w:sz="0" w:space="0" w:color="auto"/>
        <w:left w:val="none" w:sz="0" w:space="0" w:color="auto"/>
        <w:bottom w:val="none" w:sz="0" w:space="0" w:color="auto"/>
        <w:right w:val="none" w:sz="0" w:space="0" w:color="auto"/>
      </w:divBdr>
    </w:div>
    <w:div w:id="1017198617">
      <w:bodyDiv w:val="1"/>
      <w:marLeft w:val="0"/>
      <w:marRight w:val="0"/>
      <w:marTop w:val="0"/>
      <w:marBottom w:val="0"/>
      <w:divBdr>
        <w:top w:val="none" w:sz="0" w:space="0" w:color="auto"/>
        <w:left w:val="none" w:sz="0" w:space="0" w:color="auto"/>
        <w:bottom w:val="none" w:sz="0" w:space="0" w:color="auto"/>
        <w:right w:val="none" w:sz="0" w:space="0" w:color="auto"/>
      </w:divBdr>
    </w:div>
    <w:div w:id="1064333395">
      <w:bodyDiv w:val="1"/>
      <w:marLeft w:val="0"/>
      <w:marRight w:val="0"/>
      <w:marTop w:val="0"/>
      <w:marBottom w:val="0"/>
      <w:divBdr>
        <w:top w:val="none" w:sz="0" w:space="0" w:color="auto"/>
        <w:left w:val="none" w:sz="0" w:space="0" w:color="auto"/>
        <w:bottom w:val="none" w:sz="0" w:space="0" w:color="auto"/>
        <w:right w:val="none" w:sz="0" w:space="0" w:color="auto"/>
      </w:divBdr>
    </w:div>
    <w:div w:id="1070734578">
      <w:bodyDiv w:val="1"/>
      <w:marLeft w:val="0"/>
      <w:marRight w:val="0"/>
      <w:marTop w:val="0"/>
      <w:marBottom w:val="0"/>
      <w:divBdr>
        <w:top w:val="none" w:sz="0" w:space="0" w:color="auto"/>
        <w:left w:val="none" w:sz="0" w:space="0" w:color="auto"/>
        <w:bottom w:val="none" w:sz="0" w:space="0" w:color="auto"/>
        <w:right w:val="none" w:sz="0" w:space="0" w:color="auto"/>
      </w:divBdr>
    </w:div>
    <w:div w:id="1085414692">
      <w:bodyDiv w:val="1"/>
      <w:marLeft w:val="0"/>
      <w:marRight w:val="0"/>
      <w:marTop w:val="0"/>
      <w:marBottom w:val="0"/>
      <w:divBdr>
        <w:top w:val="none" w:sz="0" w:space="0" w:color="auto"/>
        <w:left w:val="none" w:sz="0" w:space="0" w:color="auto"/>
        <w:bottom w:val="none" w:sz="0" w:space="0" w:color="auto"/>
        <w:right w:val="none" w:sz="0" w:space="0" w:color="auto"/>
      </w:divBdr>
    </w:div>
    <w:div w:id="1098982442">
      <w:bodyDiv w:val="1"/>
      <w:marLeft w:val="0"/>
      <w:marRight w:val="0"/>
      <w:marTop w:val="0"/>
      <w:marBottom w:val="0"/>
      <w:divBdr>
        <w:top w:val="none" w:sz="0" w:space="0" w:color="auto"/>
        <w:left w:val="none" w:sz="0" w:space="0" w:color="auto"/>
        <w:bottom w:val="none" w:sz="0" w:space="0" w:color="auto"/>
        <w:right w:val="none" w:sz="0" w:space="0" w:color="auto"/>
      </w:divBdr>
    </w:div>
    <w:div w:id="1169980172">
      <w:bodyDiv w:val="1"/>
      <w:marLeft w:val="0"/>
      <w:marRight w:val="0"/>
      <w:marTop w:val="0"/>
      <w:marBottom w:val="0"/>
      <w:divBdr>
        <w:top w:val="none" w:sz="0" w:space="0" w:color="auto"/>
        <w:left w:val="none" w:sz="0" w:space="0" w:color="auto"/>
        <w:bottom w:val="none" w:sz="0" w:space="0" w:color="auto"/>
        <w:right w:val="none" w:sz="0" w:space="0" w:color="auto"/>
      </w:divBdr>
    </w:div>
    <w:div w:id="1210261326">
      <w:bodyDiv w:val="1"/>
      <w:marLeft w:val="0"/>
      <w:marRight w:val="0"/>
      <w:marTop w:val="0"/>
      <w:marBottom w:val="0"/>
      <w:divBdr>
        <w:top w:val="none" w:sz="0" w:space="0" w:color="auto"/>
        <w:left w:val="none" w:sz="0" w:space="0" w:color="auto"/>
        <w:bottom w:val="none" w:sz="0" w:space="0" w:color="auto"/>
        <w:right w:val="none" w:sz="0" w:space="0" w:color="auto"/>
      </w:divBdr>
    </w:div>
    <w:div w:id="1357004030">
      <w:bodyDiv w:val="1"/>
      <w:marLeft w:val="0"/>
      <w:marRight w:val="0"/>
      <w:marTop w:val="0"/>
      <w:marBottom w:val="0"/>
      <w:divBdr>
        <w:top w:val="none" w:sz="0" w:space="0" w:color="auto"/>
        <w:left w:val="none" w:sz="0" w:space="0" w:color="auto"/>
        <w:bottom w:val="none" w:sz="0" w:space="0" w:color="auto"/>
        <w:right w:val="none" w:sz="0" w:space="0" w:color="auto"/>
      </w:divBdr>
    </w:div>
    <w:div w:id="1370838410">
      <w:bodyDiv w:val="1"/>
      <w:marLeft w:val="0"/>
      <w:marRight w:val="0"/>
      <w:marTop w:val="0"/>
      <w:marBottom w:val="0"/>
      <w:divBdr>
        <w:top w:val="none" w:sz="0" w:space="0" w:color="auto"/>
        <w:left w:val="none" w:sz="0" w:space="0" w:color="auto"/>
        <w:bottom w:val="none" w:sz="0" w:space="0" w:color="auto"/>
        <w:right w:val="none" w:sz="0" w:space="0" w:color="auto"/>
      </w:divBdr>
    </w:div>
    <w:div w:id="1542015212">
      <w:bodyDiv w:val="1"/>
      <w:marLeft w:val="0"/>
      <w:marRight w:val="0"/>
      <w:marTop w:val="0"/>
      <w:marBottom w:val="0"/>
      <w:divBdr>
        <w:top w:val="none" w:sz="0" w:space="0" w:color="auto"/>
        <w:left w:val="none" w:sz="0" w:space="0" w:color="auto"/>
        <w:bottom w:val="none" w:sz="0" w:space="0" w:color="auto"/>
        <w:right w:val="none" w:sz="0" w:space="0" w:color="auto"/>
      </w:divBdr>
    </w:div>
    <w:div w:id="1547571756">
      <w:bodyDiv w:val="1"/>
      <w:marLeft w:val="0"/>
      <w:marRight w:val="0"/>
      <w:marTop w:val="0"/>
      <w:marBottom w:val="0"/>
      <w:divBdr>
        <w:top w:val="none" w:sz="0" w:space="0" w:color="auto"/>
        <w:left w:val="none" w:sz="0" w:space="0" w:color="auto"/>
        <w:bottom w:val="none" w:sz="0" w:space="0" w:color="auto"/>
        <w:right w:val="none" w:sz="0" w:space="0" w:color="auto"/>
      </w:divBdr>
    </w:div>
    <w:div w:id="1584878397">
      <w:bodyDiv w:val="1"/>
      <w:marLeft w:val="0"/>
      <w:marRight w:val="0"/>
      <w:marTop w:val="0"/>
      <w:marBottom w:val="0"/>
      <w:divBdr>
        <w:top w:val="none" w:sz="0" w:space="0" w:color="auto"/>
        <w:left w:val="none" w:sz="0" w:space="0" w:color="auto"/>
        <w:bottom w:val="none" w:sz="0" w:space="0" w:color="auto"/>
        <w:right w:val="none" w:sz="0" w:space="0" w:color="auto"/>
      </w:divBdr>
    </w:div>
    <w:div w:id="1589843536">
      <w:bodyDiv w:val="1"/>
      <w:marLeft w:val="0"/>
      <w:marRight w:val="0"/>
      <w:marTop w:val="0"/>
      <w:marBottom w:val="0"/>
      <w:divBdr>
        <w:top w:val="none" w:sz="0" w:space="0" w:color="auto"/>
        <w:left w:val="none" w:sz="0" w:space="0" w:color="auto"/>
        <w:bottom w:val="none" w:sz="0" w:space="0" w:color="auto"/>
        <w:right w:val="none" w:sz="0" w:space="0" w:color="auto"/>
      </w:divBdr>
    </w:div>
    <w:div w:id="1640500820">
      <w:bodyDiv w:val="1"/>
      <w:marLeft w:val="0"/>
      <w:marRight w:val="0"/>
      <w:marTop w:val="0"/>
      <w:marBottom w:val="0"/>
      <w:divBdr>
        <w:top w:val="none" w:sz="0" w:space="0" w:color="auto"/>
        <w:left w:val="none" w:sz="0" w:space="0" w:color="auto"/>
        <w:bottom w:val="none" w:sz="0" w:space="0" w:color="auto"/>
        <w:right w:val="none" w:sz="0" w:space="0" w:color="auto"/>
      </w:divBdr>
    </w:div>
    <w:div w:id="1677657029">
      <w:bodyDiv w:val="1"/>
      <w:marLeft w:val="0"/>
      <w:marRight w:val="0"/>
      <w:marTop w:val="0"/>
      <w:marBottom w:val="0"/>
      <w:divBdr>
        <w:top w:val="none" w:sz="0" w:space="0" w:color="auto"/>
        <w:left w:val="none" w:sz="0" w:space="0" w:color="auto"/>
        <w:bottom w:val="none" w:sz="0" w:space="0" w:color="auto"/>
        <w:right w:val="none" w:sz="0" w:space="0" w:color="auto"/>
      </w:divBdr>
    </w:div>
    <w:div w:id="1723287123">
      <w:bodyDiv w:val="1"/>
      <w:marLeft w:val="0"/>
      <w:marRight w:val="0"/>
      <w:marTop w:val="0"/>
      <w:marBottom w:val="0"/>
      <w:divBdr>
        <w:top w:val="none" w:sz="0" w:space="0" w:color="auto"/>
        <w:left w:val="none" w:sz="0" w:space="0" w:color="auto"/>
        <w:bottom w:val="none" w:sz="0" w:space="0" w:color="auto"/>
        <w:right w:val="none" w:sz="0" w:space="0" w:color="auto"/>
      </w:divBdr>
    </w:div>
    <w:div w:id="1776098777">
      <w:bodyDiv w:val="1"/>
      <w:marLeft w:val="0"/>
      <w:marRight w:val="0"/>
      <w:marTop w:val="0"/>
      <w:marBottom w:val="0"/>
      <w:divBdr>
        <w:top w:val="none" w:sz="0" w:space="0" w:color="auto"/>
        <w:left w:val="none" w:sz="0" w:space="0" w:color="auto"/>
        <w:bottom w:val="none" w:sz="0" w:space="0" w:color="auto"/>
        <w:right w:val="none" w:sz="0" w:space="0" w:color="auto"/>
      </w:divBdr>
    </w:div>
    <w:div w:id="1797720732">
      <w:bodyDiv w:val="1"/>
      <w:marLeft w:val="0"/>
      <w:marRight w:val="0"/>
      <w:marTop w:val="0"/>
      <w:marBottom w:val="0"/>
      <w:divBdr>
        <w:top w:val="none" w:sz="0" w:space="0" w:color="auto"/>
        <w:left w:val="none" w:sz="0" w:space="0" w:color="auto"/>
        <w:bottom w:val="none" w:sz="0" w:space="0" w:color="auto"/>
        <w:right w:val="none" w:sz="0" w:space="0" w:color="auto"/>
      </w:divBdr>
    </w:div>
    <w:div w:id="1879970153">
      <w:bodyDiv w:val="1"/>
      <w:marLeft w:val="0"/>
      <w:marRight w:val="0"/>
      <w:marTop w:val="0"/>
      <w:marBottom w:val="0"/>
      <w:divBdr>
        <w:top w:val="none" w:sz="0" w:space="0" w:color="auto"/>
        <w:left w:val="none" w:sz="0" w:space="0" w:color="auto"/>
        <w:bottom w:val="none" w:sz="0" w:space="0" w:color="auto"/>
        <w:right w:val="none" w:sz="0" w:space="0" w:color="auto"/>
      </w:divBdr>
    </w:div>
    <w:div w:id="1933539284">
      <w:bodyDiv w:val="1"/>
      <w:marLeft w:val="0"/>
      <w:marRight w:val="0"/>
      <w:marTop w:val="0"/>
      <w:marBottom w:val="0"/>
      <w:divBdr>
        <w:top w:val="none" w:sz="0" w:space="0" w:color="auto"/>
        <w:left w:val="none" w:sz="0" w:space="0" w:color="auto"/>
        <w:bottom w:val="none" w:sz="0" w:space="0" w:color="auto"/>
        <w:right w:val="none" w:sz="0" w:space="0" w:color="auto"/>
      </w:divBdr>
    </w:div>
    <w:div w:id="1965698701">
      <w:bodyDiv w:val="1"/>
      <w:marLeft w:val="0"/>
      <w:marRight w:val="0"/>
      <w:marTop w:val="0"/>
      <w:marBottom w:val="0"/>
      <w:divBdr>
        <w:top w:val="none" w:sz="0" w:space="0" w:color="auto"/>
        <w:left w:val="none" w:sz="0" w:space="0" w:color="auto"/>
        <w:bottom w:val="none" w:sz="0" w:space="0" w:color="auto"/>
        <w:right w:val="none" w:sz="0" w:space="0" w:color="auto"/>
      </w:divBdr>
    </w:div>
    <w:div w:id="2004116645">
      <w:bodyDiv w:val="1"/>
      <w:marLeft w:val="0"/>
      <w:marRight w:val="0"/>
      <w:marTop w:val="0"/>
      <w:marBottom w:val="0"/>
      <w:divBdr>
        <w:top w:val="none" w:sz="0" w:space="0" w:color="auto"/>
        <w:left w:val="none" w:sz="0" w:space="0" w:color="auto"/>
        <w:bottom w:val="none" w:sz="0" w:space="0" w:color="auto"/>
        <w:right w:val="none" w:sz="0" w:space="0" w:color="auto"/>
      </w:divBdr>
    </w:div>
    <w:div w:id="2048093397">
      <w:bodyDiv w:val="1"/>
      <w:marLeft w:val="0"/>
      <w:marRight w:val="0"/>
      <w:marTop w:val="0"/>
      <w:marBottom w:val="0"/>
      <w:divBdr>
        <w:top w:val="none" w:sz="0" w:space="0" w:color="auto"/>
        <w:left w:val="none" w:sz="0" w:space="0" w:color="auto"/>
        <w:bottom w:val="none" w:sz="0" w:space="0" w:color="auto"/>
        <w:right w:val="none" w:sz="0" w:space="0" w:color="auto"/>
      </w:divBdr>
    </w:div>
    <w:div w:id="2048600506">
      <w:bodyDiv w:val="1"/>
      <w:marLeft w:val="0"/>
      <w:marRight w:val="0"/>
      <w:marTop w:val="0"/>
      <w:marBottom w:val="0"/>
      <w:divBdr>
        <w:top w:val="none" w:sz="0" w:space="0" w:color="auto"/>
        <w:left w:val="none" w:sz="0" w:space="0" w:color="auto"/>
        <w:bottom w:val="none" w:sz="0" w:space="0" w:color="auto"/>
        <w:right w:val="none" w:sz="0" w:space="0" w:color="auto"/>
      </w:divBdr>
    </w:div>
    <w:div w:id="21283090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4449</Characters>
  <Application>Microsoft Office Word</Application>
  <DocSecurity>4</DocSecurity>
  <PresentationFormat/>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清算审计报告</vt:lpstr>
    </vt:vector>
  </TitlesOfParts>
  <Company>Ernst &amp; Young</Company>
  <LinksUpToDate>false</LinksUpToDate>
  <CharactersWithSpaces>5219</CharactersWithSpaces>
  <SharedDoc>false</SharedDoc>
  <HLinks>
    <vt:vector size="36" baseType="variant">
      <vt:variant>
        <vt:i4>1114174</vt:i4>
      </vt:variant>
      <vt:variant>
        <vt:i4>32</vt:i4>
      </vt:variant>
      <vt:variant>
        <vt:i4>0</vt:i4>
      </vt:variant>
      <vt:variant>
        <vt:i4>5</vt:i4>
      </vt:variant>
      <vt:variant>
        <vt:lpwstr/>
      </vt:variant>
      <vt:variant>
        <vt:lpwstr>_Toc447194472</vt:lpwstr>
      </vt:variant>
      <vt:variant>
        <vt:i4>1114174</vt:i4>
      </vt:variant>
      <vt:variant>
        <vt:i4>26</vt:i4>
      </vt:variant>
      <vt:variant>
        <vt:i4>0</vt:i4>
      </vt:variant>
      <vt:variant>
        <vt:i4>5</vt:i4>
      </vt:variant>
      <vt:variant>
        <vt:lpwstr/>
      </vt:variant>
      <vt:variant>
        <vt:lpwstr>_Toc447194471</vt:lpwstr>
      </vt:variant>
      <vt:variant>
        <vt:i4>1114174</vt:i4>
      </vt:variant>
      <vt:variant>
        <vt:i4>20</vt:i4>
      </vt:variant>
      <vt:variant>
        <vt:i4>0</vt:i4>
      </vt:variant>
      <vt:variant>
        <vt:i4>5</vt:i4>
      </vt:variant>
      <vt:variant>
        <vt:lpwstr/>
      </vt:variant>
      <vt:variant>
        <vt:lpwstr>_Toc447194470</vt:lpwstr>
      </vt:variant>
      <vt:variant>
        <vt:i4>1048638</vt:i4>
      </vt:variant>
      <vt:variant>
        <vt:i4>14</vt:i4>
      </vt:variant>
      <vt:variant>
        <vt:i4>0</vt:i4>
      </vt:variant>
      <vt:variant>
        <vt:i4>5</vt:i4>
      </vt:variant>
      <vt:variant>
        <vt:lpwstr/>
      </vt:variant>
      <vt:variant>
        <vt:lpwstr>_Toc447194469</vt:lpwstr>
      </vt:variant>
      <vt:variant>
        <vt:i4>1048638</vt:i4>
      </vt:variant>
      <vt:variant>
        <vt:i4>8</vt:i4>
      </vt:variant>
      <vt:variant>
        <vt:i4>0</vt:i4>
      </vt:variant>
      <vt:variant>
        <vt:i4>5</vt:i4>
      </vt:variant>
      <vt:variant>
        <vt:lpwstr/>
      </vt:variant>
      <vt:variant>
        <vt:lpwstr>_Toc447194468</vt:lpwstr>
      </vt:variant>
      <vt:variant>
        <vt:i4>1048638</vt:i4>
      </vt:variant>
      <vt:variant>
        <vt:i4>2</vt:i4>
      </vt:variant>
      <vt:variant>
        <vt:i4>0</vt:i4>
      </vt:variant>
      <vt:variant>
        <vt:i4>5</vt:i4>
      </vt:variant>
      <vt:variant>
        <vt:lpwstr/>
      </vt:variant>
      <vt:variant>
        <vt:lpwstr>_Toc447194467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清算审计报告</dc:title>
  <dc:subject/>
  <dc:creator>Celiya Zhang</dc:creator>
  <cp:keywords/>
  <cp:lastModifiedBy>ZHONGM</cp:lastModifiedBy>
  <cp:revision>2</cp:revision>
  <cp:lastPrinted>2016-04-01T07:45:00Z</cp:lastPrinted>
  <dcterms:created xsi:type="dcterms:W3CDTF">2024-01-17T16:01:00Z</dcterms:created>
  <dcterms:modified xsi:type="dcterms:W3CDTF">2024-01-17T16:01:00Z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