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1E6E" w:rsidRDefault="00011E6E">
      <w:pPr>
        <w:pStyle w:val="XBRL2"/>
        <w:spacing w:before="156"/>
        <w:rPr>
          <w:lang w:eastAsia="zh-CN"/>
        </w:rPr>
      </w:pPr>
      <w:bookmarkStart w:id="0" w:name="_Toc510201001"/>
      <w:bookmarkEnd w:id="0"/>
      <w:r>
        <w:rPr>
          <w:lang w:eastAsia="zh-CN"/>
        </w:rPr>
        <w:t xml:space="preserve">　</w:t>
      </w:r>
      <w:r>
        <w:rPr>
          <w:lang w:eastAsia="zh-CN"/>
        </w:rPr>
        <w:t xml:space="preserve"> </w:t>
      </w:r>
    </w:p>
    <w:p w:rsidR="00011E6E" w:rsidRDefault="00011E6E">
      <w:pPr>
        <w:jc w:val="center"/>
      </w:pPr>
      <w:r>
        <w:rPr>
          <w:rFonts w:cs="Times New Roman" w:hint="eastAsia"/>
          <w:b/>
          <w:sz w:val="48"/>
          <w:szCs w:val="48"/>
        </w:rPr>
        <w:t>交银施罗德基金管理有限公司关于交银施罗德周期回报灵活配置混合型证券投资基金分红公告</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560" w:lineRule="exact"/>
        <w:jc w:val="center"/>
        <w:rPr>
          <w:rFonts w:hint="eastAsia"/>
          <w:color w:val="000000"/>
          <w:kern w:val="0"/>
          <w:sz w:val="18"/>
        </w:rPr>
      </w:pPr>
      <w:r>
        <w:rPr>
          <w:rFonts w:hint="eastAsia"/>
          <w:color w:val="000000"/>
          <w:kern w:val="0"/>
          <w:sz w:val="18"/>
        </w:rPr>
        <w:t xml:space="preserve">　 </w:t>
      </w:r>
    </w:p>
    <w:p w:rsidR="00011E6E" w:rsidRDefault="00011E6E">
      <w:pPr>
        <w:spacing w:line="360" w:lineRule="auto"/>
        <w:jc w:val="center"/>
        <w:rPr>
          <w:rFonts w:hint="eastAsia"/>
        </w:rPr>
      </w:pPr>
      <w:r>
        <w:rPr>
          <w:rFonts w:hint="eastAsia"/>
          <w:b/>
          <w:bCs/>
          <w:sz w:val="24"/>
          <w:szCs w:val="30"/>
        </w:rPr>
        <w:t>公告送出日期：2024年1月16日</w:t>
      </w:r>
    </w:p>
    <w:p w:rsidR="00011E6E" w:rsidRDefault="00011E6E">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tblBorders>
        <w:tblLayout w:type="fixed"/>
        <w:tblLook w:val="04A0"/>
      </w:tblPr>
      <w:tblGrid>
        <w:gridCol w:w="896"/>
        <w:gridCol w:w="998"/>
        <w:gridCol w:w="3313"/>
        <w:gridCol w:w="3313"/>
      </w:tblGrid>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基金名称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交银施罗德周期回报灵活配置混合型证券投资基金</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基金简称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交银周期回报灵活配置混合</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基金主代码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519738</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基金合同生效日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2014年5月22日</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基金管理人名称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交银施罗德基金管理有限公司</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基金托管人名称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中国农业银行股份有限公司</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公告依据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《公开募集证券投资基金信息披露管理办法》、《交银施罗德周期回报灵活配置混合型证券投资基金基金合同》、《交银施罗德周期回报灵活配置混合型证券投资基金招募说明书》等</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收益分配基准日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2024年1月2日</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vAlign w:val="center"/>
            <w:hideMark/>
          </w:tcPr>
          <w:p w:rsidR="00011E6E" w:rsidRDefault="00011E6E">
            <w:pPr>
              <w:rPr>
                <w:rFonts w:hint="eastAsia"/>
              </w:rPr>
            </w:pPr>
            <w:r>
              <w:rPr>
                <w:rFonts w:hint="eastAsia"/>
                <w:szCs w:val="21"/>
              </w:rPr>
              <w:t xml:space="preserve">有关年度分红次数的说明 </w:t>
            </w:r>
          </w:p>
        </w:tc>
        <w:tc>
          <w:tcPr>
            <w:tcW w:w="6626"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本次分红为2024年度的第一次分红</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下属分级基金的基金简称 </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交银周期回报灵活配置混合A</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交银周期回报灵活配置混合C</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vAlign w:val="center"/>
            <w:hideMark/>
          </w:tcPr>
          <w:p w:rsidR="00011E6E" w:rsidRDefault="00011E6E">
            <w:pPr>
              <w:rPr>
                <w:rFonts w:hint="eastAsia"/>
              </w:rPr>
            </w:pPr>
            <w:r>
              <w:rPr>
                <w:rFonts w:hint="eastAsia"/>
                <w:szCs w:val="21"/>
              </w:rPr>
              <w:t xml:space="preserve">下属分级基金的交易代码 </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519738</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519759</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vAlign w:val="center"/>
            <w:hideMark/>
          </w:tcPr>
          <w:p w:rsidR="00011E6E" w:rsidRDefault="00011E6E">
            <w:pPr>
              <w:rPr>
                <w:rFonts w:hint="eastAsia"/>
              </w:rPr>
            </w:pPr>
            <w:r>
              <w:rPr>
                <w:rFonts w:hint="eastAsia"/>
                <w:szCs w:val="21"/>
              </w:rPr>
              <w:t xml:space="preserve">下属分级基金的基金前端交易代码 </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519738</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vAlign w:val="center"/>
            <w:hideMark/>
          </w:tcPr>
          <w:p w:rsidR="00011E6E" w:rsidRDefault="00011E6E">
            <w:pPr>
              <w:rPr>
                <w:rFonts w:hint="eastAsia"/>
              </w:rPr>
            </w:pPr>
            <w:r>
              <w:rPr>
                <w:rFonts w:hint="eastAsia"/>
                <w:szCs w:val="21"/>
              </w:rPr>
              <w:t xml:space="preserve">下属分级基金的基金后端交易代码 </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519739</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w:t>
            </w:r>
          </w:p>
        </w:tc>
      </w:tr>
      <w:tr w:rsidR="00011E6E" w:rsidTr="006E261A">
        <w:tc>
          <w:tcPr>
            <w:tcW w:w="896" w:type="dxa"/>
            <w:vMerge w:val="restart"/>
            <w:tcBorders>
              <w:top w:val="single" w:sz="4" w:space="0" w:color="000000"/>
              <w:left w:val="single" w:sz="4" w:space="0" w:color="000000"/>
              <w:bottom w:val="single" w:sz="4" w:space="0" w:color="000000"/>
              <w:right w:val="single" w:sz="4" w:space="0" w:color="000000"/>
            </w:tcBorders>
            <w:vAlign w:val="center"/>
            <w:hideMark/>
          </w:tcPr>
          <w:p w:rsidR="00011E6E" w:rsidRDefault="00011E6E">
            <w:pPr>
              <w:rPr>
                <w:rFonts w:hint="eastAsia"/>
              </w:rPr>
            </w:pPr>
            <w:r>
              <w:rPr>
                <w:rFonts w:hint="eastAsia"/>
                <w:szCs w:val="21"/>
              </w:rPr>
              <w:t xml:space="preserve">截止基准日下属分级基金的相关指标 </w:t>
            </w:r>
          </w:p>
        </w:tc>
        <w:tc>
          <w:tcPr>
            <w:tcW w:w="998"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基准日下属分级基金份额净值（单位： 人民币元） </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1.229</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1.217</w:t>
            </w:r>
          </w:p>
        </w:tc>
      </w:tr>
      <w:tr w:rsidR="00011E6E" w:rsidTr="006E261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011E6E" w:rsidRDefault="00011E6E">
            <w:pPr>
              <w:widowControl/>
              <w:jc w:val="left"/>
            </w:pPr>
          </w:p>
        </w:tc>
        <w:tc>
          <w:tcPr>
            <w:tcW w:w="998"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 xml:space="preserve">基准日下属分级基金可供分配利润（单位:人民币元） </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147,632,621.63</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72,579,784.99</w:t>
            </w:r>
          </w:p>
        </w:tc>
      </w:tr>
      <w:tr w:rsidR="00011E6E" w:rsidTr="006E261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011E6E" w:rsidRDefault="00011E6E">
            <w:pPr>
              <w:widowControl/>
              <w:jc w:val="left"/>
            </w:pPr>
          </w:p>
        </w:tc>
        <w:tc>
          <w:tcPr>
            <w:tcW w:w="998"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截止基准日下属分级基金按照基金合同约</w:t>
            </w:r>
            <w:r>
              <w:rPr>
                <w:rFonts w:hint="eastAsia"/>
                <w:szCs w:val="21"/>
              </w:rPr>
              <w:lastRenderedPageBreak/>
              <w:t>定的分红比例计算的应分配金额（单位：元）</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lastRenderedPageBreak/>
              <w:t>14,814,787.61</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7,459,744.47</w:t>
            </w:r>
          </w:p>
        </w:tc>
      </w:tr>
      <w:tr w:rsidR="00011E6E" w:rsidTr="006E261A">
        <w:tc>
          <w:tcPr>
            <w:tcW w:w="1894" w:type="dxa"/>
            <w:gridSpan w:val="2"/>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lastRenderedPageBreak/>
              <w:t xml:space="preserve">本次下属分级基金分红方案（单位：元/10份基金份额） </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0.2200</w:t>
            </w:r>
          </w:p>
        </w:tc>
        <w:tc>
          <w:tcPr>
            <w:tcW w:w="3313" w:type="dxa"/>
            <w:tcBorders>
              <w:top w:val="single" w:sz="4" w:space="0" w:color="000000"/>
              <w:left w:val="single" w:sz="4" w:space="0" w:color="000000"/>
              <w:bottom w:val="single" w:sz="4" w:space="0" w:color="000000"/>
              <w:right w:val="single" w:sz="4" w:space="0" w:color="000000"/>
            </w:tcBorders>
            <w:hideMark/>
          </w:tcPr>
          <w:p w:rsidR="00011E6E" w:rsidRDefault="00011E6E">
            <w:pPr>
              <w:rPr>
                <w:rFonts w:hint="eastAsia"/>
              </w:rPr>
            </w:pPr>
            <w:r>
              <w:rPr>
                <w:rFonts w:hint="eastAsia"/>
                <w:szCs w:val="21"/>
              </w:rPr>
              <w:t>0.2100</w:t>
            </w:r>
          </w:p>
        </w:tc>
      </w:tr>
    </w:tbl>
    <w:p w:rsidR="00011E6E" w:rsidRDefault="00011E6E">
      <w:pPr>
        <w:adjustRightInd w:val="0"/>
        <w:snapToGrid w:val="0"/>
        <w:spacing w:beforeLines="50" w:line="360" w:lineRule="auto"/>
        <w:jc w:val="left"/>
        <w:rPr>
          <w:rFonts w:hint="eastAsia"/>
        </w:rPr>
      </w:pPr>
      <w:r>
        <w:rPr>
          <w:rFonts w:hint="eastAsia"/>
        </w:rPr>
        <w:t>注：</w:t>
      </w:r>
      <w:r>
        <w:rPr>
          <w:rFonts w:hint="eastAsia"/>
          <w:szCs w:val="24"/>
          <w:lang/>
        </w:rPr>
        <w:t>1、本基金基金份额分为A类和C类基金份额。投资人申购A类基金份额支付申购费用（投资人可以选择前端收费模式，即在申购时支付申购费用；也可以选择后端收费模式，即在赎回时才支付相应的申购费用，该费用随基金份额的持有时间递减）；投资人申购C类基金份额不支付申购费用，而是从该类别基金资产中计提销售服务费。</w:t>
      </w:r>
      <w:r>
        <w:rPr>
          <w:rFonts w:hint="eastAsia"/>
          <w:szCs w:val="24"/>
          <w:lang/>
        </w:rPr>
        <w:br/>
        <w:t xml:space="preserve">　　2、根据本基金基金合同有关收益与分配的约定，在符合有关基金分红条件的前提下，本基金每年收益分配次数最多为4次，每份基金份额每次收益分配比例不得低于收益分配基准日每份基金份额可供分配利润的10%。在符合上述约定收益分配次数和比例的前提下，在每个公历年度，当本基金A类、C类每份基金份额可供分配利润分别首次达到或首次超过0.08元、首次达到或首次超过0.18元、首次达到或首次超过0.28元和首次达到或首次超过0.38元时，本基金管理人应在接下来的15个工作日内进行该类基金份额的收益分配。截止2024年1月2日，本基金A类基金份额可供分配利润为147,632,621.63元，每份A类基金份额可供分配利润为0.219元。本基金C类基金份额可供分配利润为72,579,784.99元，每份C类基金份额可供分配利润为0.204元。截止基准日下属分级基金按照基金合同约定的分红比例计算的每份基金份额应分配金额 = 基准日下属分级基金每份基金份额可供分配利润×10%。因此按照基金合同约定的分红比例计算，本次A类基金份额每份需分配的最低金额为0.022元，C类基金份额每份需分配的最低金额为0.021元。上表中的“截止基准日下属分级基金按照基金合同约定的分红比例计算的应分配金额”=“截止基准日下属分级基金按照基金合同约定的分红比例计算的每份基金份额应分配金额×基准日下属分级基金基金份额数”。 </w:t>
      </w:r>
    </w:p>
    <w:p w:rsidR="00011E6E" w:rsidRDefault="00011E6E">
      <w:pPr>
        <w:pStyle w:val="XBRLTitle1"/>
        <w:spacing w:before="156" w:line="360" w:lineRule="auto"/>
        <w:jc w:val="left"/>
        <w:rPr>
          <w:rFonts w:hint="eastAsia"/>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011E6E">
        <w:tc>
          <w:tcPr>
            <w:tcW w:w="3927"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2024年1月18日</w:t>
            </w:r>
          </w:p>
        </w:tc>
      </w:tr>
      <w:tr w:rsidR="00011E6E">
        <w:tc>
          <w:tcPr>
            <w:tcW w:w="3927"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2024年01月18日</w:t>
            </w:r>
          </w:p>
        </w:tc>
      </w:tr>
      <w:tr w:rsidR="00011E6E">
        <w:tc>
          <w:tcPr>
            <w:tcW w:w="3927"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2024年1月22日</w:t>
            </w:r>
          </w:p>
        </w:tc>
      </w:tr>
      <w:tr w:rsidR="00011E6E">
        <w:tc>
          <w:tcPr>
            <w:tcW w:w="3927"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权益登记日登记在册的本基金的份额持有人</w:t>
            </w:r>
          </w:p>
        </w:tc>
      </w:tr>
      <w:tr w:rsidR="00011E6E">
        <w:tc>
          <w:tcPr>
            <w:tcW w:w="3927" w:type="dxa"/>
            <w:tcBorders>
              <w:top w:val="single" w:sz="4" w:space="0" w:color="auto"/>
              <w:left w:val="single" w:sz="4" w:space="0" w:color="auto"/>
              <w:bottom w:val="single" w:sz="4" w:space="0" w:color="auto"/>
              <w:right w:val="single" w:sz="4" w:space="0" w:color="auto"/>
            </w:tcBorders>
            <w:vAlign w:val="center"/>
            <w:hideMark/>
          </w:tcPr>
          <w:p w:rsidR="00011E6E" w:rsidRDefault="00011E6E">
            <w:pPr>
              <w:rPr>
                <w:rFonts w:hint="eastAsia"/>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选择红利再投资方式的基金份额持有人，其红利将按2024年1月18日除息后的基金份额净值转换为基金份额，再投资所得的基金份额自2024年1月22日可以查询、赎回。</w:t>
            </w:r>
          </w:p>
        </w:tc>
      </w:tr>
      <w:tr w:rsidR="00011E6E">
        <w:tc>
          <w:tcPr>
            <w:tcW w:w="3927"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根据财政部、国家税务总局的相关规定，基金向基金份额持有人分配的基金收益，暂免征收所得税。</w:t>
            </w:r>
          </w:p>
        </w:tc>
      </w:tr>
      <w:tr w:rsidR="00011E6E">
        <w:tc>
          <w:tcPr>
            <w:tcW w:w="3927"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11E6E" w:rsidRDefault="00011E6E">
            <w:pPr>
              <w:rPr>
                <w:rFonts w:hint="eastAsia"/>
              </w:rPr>
            </w:pPr>
            <w:r>
              <w:rPr>
                <w:rFonts w:hint="eastAsia"/>
                <w:szCs w:val="21"/>
              </w:rPr>
              <w:t>本基金本次分红免收分红手续费。投资人选择红利再投资，红利再投资的份额免收申购费用。</w:t>
            </w:r>
          </w:p>
        </w:tc>
      </w:tr>
    </w:tbl>
    <w:p w:rsidR="00011E6E" w:rsidRDefault="00011E6E">
      <w:pPr>
        <w:adjustRightInd w:val="0"/>
        <w:snapToGrid w:val="0"/>
        <w:spacing w:beforeLines="50" w:line="360" w:lineRule="auto"/>
        <w:jc w:val="left"/>
        <w:rPr>
          <w:rFonts w:hint="eastAsia"/>
        </w:rPr>
      </w:pPr>
      <w:r>
        <w:rPr>
          <w:rFonts w:hint="eastAsia"/>
        </w:rPr>
        <w:t>注：</w:t>
      </w:r>
      <w:r>
        <w:rPr>
          <w:rFonts w:hint="eastAsia"/>
          <w:szCs w:val="24"/>
          <w:lang/>
        </w:rPr>
        <w:t>1、本分红方案经本基金管理人计算并由基金托管人中国农业银行股份有限公司复核。</w:t>
      </w:r>
      <w:r>
        <w:rPr>
          <w:rFonts w:hint="eastAsia"/>
          <w:szCs w:val="24"/>
          <w:lang/>
        </w:rPr>
        <w:br/>
        <w:t>2、本基金的基金份额持有人事先未做出收益分配方式选择的，则默认方式为现金分红。选择现金红利方式的基金份额持有人的红利款将于现金红利发放日自基金托管账户划出。</w:t>
      </w:r>
      <w:r>
        <w:rPr>
          <w:rFonts w:hint="eastAsia"/>
          <w:szCs w:val="24"/>
        </w:rPr>
        <w:t xml:space="preserve"> </w:t>
      </w:r>
    </w:p>
    <w:p w:rsidR="00011E6E" w:rsidRDefault="00011E6E">
      <w:pPr>
        <w:pStyle w:val="XBRLTitle1"/>
        <w:spacing w:before="156" w:line="360" w:lineRule="auto"/>
        <w:jc w:val="left"/>
        <w:rPr>
          <w:rFonts w:hint="eastAsia"/>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011E6E" w:rsidRDefault="00011E6E">
      <w:pPr>
        <w:spacing w:line="360" w:lineRule="auto"/>
        <w:ind w:firstLineChars="200" w:firstLine="420"/>
        <w:jc w:val="left"/>
        <w:rPr>
          <w:rFonts w:hint="eastAsia"/>
        </w:rPr>
      </w:pPr>
      <w:r>
        <w:rPr>
          <w:rFonts w:hint="eastAsia"/>
          <w:szCs w:val="21"/>
        </w:rPr>
        <w:t>1、本基金收益分配方式分为两种：现金分红与红利再投资。基金份额持有人可选择现金红利或将现金红利按除息日除息后的基金份额净值自动转为基金份额进行再投资，本基金默认的收益分配方式是现金分红。</w:t>
      </w:r>
      <w:r>
        <w:rPr>
          <w:rFonts w:hint="eastAsia"/>
          <w:szCs w:val="21"/>
        </w:rPr>
        <w:br/>
        <w:t xml:space="preserve">　　2、本次分红确认的分红方式将按照投资者在权益登记日之前（不含权益登记日）最后一次提交并被本基金注册登记机构确认的分红方式为准。如需修改分红方式的，请务必在权益登记日前一工作日的交易时间结束前到销售机构办理变更手续，投资者在权益登记日前一工作日交易时间结束后提交的修改分红方式申请对本次分红无效。</w:t>
      </w:r>
      <w:r>
        <w:rPr>
          <w:rFonts w:hint="eastAsia"/>
          <w:szCs w:val="21"/>
        </w:rPr>
        <w:br/>
        <w:t xml:space="preserve">　　3、权益登记日申请申购的基金份额不享有本次分红权益，权益登记日申请赎回的基金份额享有本次分红权益。</w:t>
      </w:r>
      <w:r>
        <w:rPr>
          <w:rFonts w:hint="eastAsia"/>
          <w:szCs w:val="21"/>
        </w:rPr>
        <w:br/>
        <w:t xml:space="preserve">　　4、本基金管理人有权根据市场情况及本基金净值波动的客观因素，在不违反本基金基金合同的前提下，于权益登记日调整最终的分红方案并届时公告。</w:t>
      </w:r>
      <w:r>
        <w:rPr>
          <w:rFonts w:hint="eastAsia"/>
          <w:szCs w:val="21"/>
        </w:rPr>
        <w:br/>
        <w:t xml:space="preserve">　　5、基金份额持有人可随时拨打本公司客服电话（400-700-5000，021-61055000）或登录本公司网站（www.fund001.com）查询当前的分红方式。</w:t>
      </w:r>
      <w:r>
        <w:rPr>
          <w:rFonts w:hint="eastAsia"/>
          <w:szCs w:val="21"/>
        </w:rPr>
        <w:br/>
        <w:t xml:space="preserve">　　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rFonts w:hint="eastAsia"/>
          <w:szCs w:val="21"/>
        </w:rPr>
        <w:br/>
        <w:t xml:space="preserve">　　特此公告。</w:t>
      </w:r>
    </w:p>
    <w:p w:rsidR="00011E6E" w:rsidRDefault="00011E6E">
      <w:pPr>
        <w:spacing w:line="360" w:lineRule="auto"/>
        <w:ind w:firstLineChars="600" w:firstLine="1446"/>
        <w:jc w:val="right"/>
        <w:rPr>
          <w:rFonts w:hint="eastAsia"/>
          <w:b/>
          <w:bCs/>
          <w:sz w:val="24"/>
          <w:szCs w:val="30"/>
        </w:rPr>
      </w:pPr>
      <w:r>
        <w:rPr>
          <w:rFonts w:hint="eastAsia"/>
          <w:b/>
          <w:bCs/>
          <w:sz w:val="24"/>
          <w:szCs w:val="30"/>
        </w:rPr>
        <w:t xml:space="preserve">　 </w:t>
      </w:r>
    </w:p>
    <w:p w:rsidR="00011E6E" w:rsidRDefault="00011E6E">
      <w:pPr>
        <w:spacing w:line="360" w:lineRule="auto"/>
        <w:ind w:firstLineChars="600" w:firstLine="1446"/>
        <w:jc w:val="right"/>
        <w:rPr>
          <w:rFonts w:hint="eastAsia"/>
          <w:b/>
          <w:bCs/>
          <w:sz w:val="24"/>
          <w:szCs w:val="30"/>
        </w:rPr>
      </w:pPr>
      <w:r>
        <w:rPr>
          <w:rFonts w:hint="eastAsia"/>
          <w:b/>
          <w:bCs/>
          <w:sz w:val="24"/>
          <w:szCs w:val="30"/>
        </w:rPr>
        <w:t xml:space="preserve">　 </w:t>
      </w:r>
      <w:bookmarkEnd w:id="31"/>
    </w:p>
    <w:sectPr w:rsidR="00011E6E">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86" w:rsidRDefault="004F4586">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4F4586" w:rsidRDefault="004F4586">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6E" w:rsidRDefault="00011E6E">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7F04C4">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7F04C4">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86" w:rsidRDefault="004F4586">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4F4586" w:rsidRDefault="004F4586">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6E" w:rsidRDefault="00011E6E">
    <w:pPr>
      <w:pStyle w:val="a7"/>
      <w:jc w:val="right"/>
      <w:rPr>
        <w:rFonts w:hint="eastAsia"/>
      </w:rPr>
    </w:pPr>
    <w:r>
      <w:rPr>
        <w:rFonts w:hint="eastAsia"/>
      </w:rPr>
      <w:t>交银施罗德基金管理有限公司关于交银施罗德周期回报灵活配置混合型证券投资基金分红公告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7529"/>
    <w:rsid w:val="00011E6E"/>
    <w:rsid w:val="00497529"/>
    <w:rsid w:val="004F4586"/>
    <w:rsid w:val="006E261A"/>
    <w:rsid w:val="007F0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C35B-7B9A-4BA4-A679-5DC483D0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2161</Characters>
  <Application>Microsoft Office Word</Application>
  <DocSecurity>4</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2024-01-15T16:01:00Z</dcterms:created>
  <dcterms:modified xsi:type="dcterms:W3CDTF">2024-01-15T16:01:00Z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