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0E" w:rsidRDefault="00A04930">
      <w:pPr>
        <w:widowControl/>
        <w:snapToGrid w:val="0"/>
        <w:spacing w:line="440" w:lineRule="exact"/>
        <w:jc w:val="center"/>
        <w:rPr>
          <w:rFonts w:ascii="宋体" w:hAnsi="宋体"/>
          <w:b/>
          <w:kern w:val="0"/>
          <w:sz w:val="30"/>
          <w:szCs w:val="30"/>
        </w:rPr>
      </w:pPr>
      <w:r>
        <w:rPr>
          <w:rFonts w:ascii="宋体" w:hAnsi="宋体" w:hint="eastAsia"/>
          <w:b/>
          <w:kern w:val="0"/>
          <w:sz w:val="30"/>
          <w:szCs w:val="30"/>
        </w:rPr>
        <w:t>关于指定证券投资基金主流动性服务商的公告</w:t>
      </w:r>
    </w:p>
    <w:p w:rsidR="00A0470E" w:rsidRDefault="00A0470E">
      <w:pPr>
        <w:widowControl/>
        <w:snapToGrid w:val="0"/>
        <w:spacing w:line="440" w:lineRule="exact"/>
        <w:ind w:firstLine="600"/>
        <w:jc w:val="center"/>
        <w:rPr>
          <w:rFonts w:ascii="宋体" w:hAnsi="宋体"/>
          <w:kern w:val="0"/>
          <w:sz w:val="30"/>
          <w:szCs w:val="30"/>
        </w:rPr>
      </w:pPr>
    </w:p>
    <w:p w:rsidR="00A0470E" w:rsidRDefault="00A04930">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根据《深圳证券交易所证券投资基金业务指引第2号——流动性服务》等有关规定，自2024年1月16日起，本公司指定下列流动性服务商为相关证券投资基金的主流动性服务商：</w:t>
      </w:r>
    </w:p>
    <w:p w:rsidR="00A04930" w:rsidRPr="00A04930" w:rsidRDefault="00A04930" w:rsidP="00A04930">
      <w:pPr>
        <w:spacing w:line="440" w:lineRule="exact"/>
        <w:ind w:firstLine="420"/>
        <w:rPr>
          <w:rFonts w:ascii="宋体" w:hAnsi="宋体"/>
          <w:szCs w:val="21"/>
        </w:rPr>
      </w:pPr>
      <w:r w:rsidRPr="00A04930">
        <w:rPr>
          <w:rFonts w:ascii="宋体" w:hAnsi="宋体" w:hint="eastAsia"/>
          <w:szCs w:val="21"/>
        </w:rPr>
        <w:t>1、建信中证农牧主题交易型开放式指数证券投资基金（159616）：</w:t>
      </w:r>
    </w:p>
    <w:p w:rsidR="00A04930" w:rsidRPr="00A04930" w:rsidRDefault="00A04930" w:rsidP="00A04930">
      <w:pPr>
        <w:spacing w:line="440" w:lineRule="exact"/>
        <w:ind w:firstLine="420"/>
        <w:rPr>
          <w:rFonts w:ascii="宋体" w:hAnsi="宋体"/>
          <w:szCs w:val="21"/>
        </w:rPr>
      </w:pPr>
      <w:r w:rsidRPr="00A04930">
        <w:rPr>
          <w:rFonts w:ascii="宋体" w:hAnsi="宋体" w:hint="eastAsia"/>
          <w:szCs w:val="21"/>
        </w:rPr>
        <w:t>招商证券股份有限公司</w:t>
      </w:r>
    </w:p>
    <w:p w:rsidR="00A04930" w:rsidRPr="00A04930" w:rsidRDefault="00A04930" w:rsidP="00A04930">
      <w:pPr>
        <w:spacing w:line="440" w:lineRule="exact"/>
        <w:ind w:firstLine="420"/>
        <w:rPr>
          <w:rFonts w:ascii="宋体" w:hAnsi="宋体"/>
          <w:szCs w:val="21"/>
        </w:rPr>
      </w:pPr>
      <w:r w:rsidRPr="00A04930">
        <w:rPr>
          <w:rFonts w:ascii="宋体" w:hAnsi="宋体"/>
          <w:szCs w:val="21"/>
        </w:rPr>
        <w:t>2</w:t>
      </w:r>
      <w:r w:rsidRPr="00A04930">
        <w:rPr>
          <w:rFonts w:ascii="宋体" w:hAnsi="宋体" w:hint="eastAsia"/>
          <w:szCs w:val="21"/>
        </w:rPr>
        <w:t xml:space="preserve">、建信中证新材料主题交易型开放式指数证券投资基金（159763）： </w:t>
      </w:r>
    </w:p>
    <w:p w:rsidR="00A04930" w:rsidRPr="00A04930" w:rsidRDefault="00A04930" w:rsidP="00A04930">
      <w:pPr>
        <w:spacing w:line="440" w:lineRule="exact"/>
        <w:ind w:firstLine="420"/>
        <w:rPr>
          <w:rFonts w:ascii="宋体" w:hAnsi="宋体"/>
          <w:szCs w:val="21"/>
        </w:rPr>
      </w:pPr>
      <w:r w:rsidRPr="00A04930">
        <w:rPr>
          <w:rFonts w:ascii="宋体" w:hAnsi="宋体" w:hint="eastAsia"/>
          <w:szCs w:val="21"/>
        </w:rPr>
        <w:t>中信证券股份有限公司</w:t>
      </w:r>
    </w:p>
    <w:p w:rsidR="00A04930" w:rsidRPr="00A04930" w:rsidRDefault="00A04930" w:rsidP="00A04930">
      <w:pPr>
        <w:spacing w:line="440" w:lineRule="exact"/>
        <w:ind w:firstLine="420"/>
        <w:rPr>
          <w:rFonts w:ascii="宋体" w:hAnsi="宋体"/>
          <w:szCs w:val="21"/>
        </w:rPr>
      </w:pPr>
      <w:r w:rsidRPr="00A04930">
        <w:rPr>
          <w:rFonts w:ascii="宋体" w:hAnsi="宋体"/>
          <w:szCs w:val="21"/>
        </w:rPr>
        <w:t>3</w:t>
      </w:r>
      <w:r w:rsidRPr="00A04930">
        <w:rPr>
          <w:rFonts w:ascii="宋体" w:hAnsi="宋体" w:hint="eastAsia"/>
          <w:szCs w:val="21"/>
        </w:rPr>
        <w:t xml:space="preserve">、建信国证新能源 车电池交易型开放式指数证券投资基金（159775）： </w:t>
      </w:r>
      <w:bookmarkStart w:id="0" w:name="_GoBack"/>
      <w:bookmarkEnd w:id="0"/>
    </w:p>
    <w:p w:rsidR="00A04930" w:rsidRPr="00A04930" w:rsidRDefault="00A04930" w:rsidP="00A04930">
      <w:pPr>
        <w:spacing w:line="440" w:lineRule="exact"/>
        <w:ind w:firstLine="420"/>
        <w:rPr>
          <w:rFonts w:ascii="宋体" w:hAnsi="宋体"/>
          <w:szCs w:val="21"/>
        </w:rPr>
      </w:pPr>
      <w:r w:rsidRPr="00A04930">
        <w:rPr>
          <w:rFonts w:ascii="宋体" w:hAnsi="宋体" w:hint="eastAsia"/>
          <w:szCs w:val="21"/>
        </w:rPr>
        <w:t>方正证券股份有限公司</w:t>
      </w:r>
    </w:p>
    <w:p w:rsidR="00A04930" w:rsidRPr="00A04930" w:rsidRDefault="00A04930" w:rsidP="00A04930">
      <w:pPr>
        <w:spacing w:line="440" w:lineRule="exact"/>
        <w:ind w:firstLine="420"/>
        <w:rPr>
          <w:rFonts w:ascii="宋体" w:hAnsi="宋体"/>
          <w:szCs w:val="21"/>
        </w:rPr>
      </w:pPr>
      <w:r w:rsidRPr="00A04930">
        <w:rPr>
          <w:rFonts w:ascii="宋体" w:hAnsi="宋体"/>
          <w:szCs w:val="21"/>
        </w:rPr>
        <w:t>4</w:t>
      </w:r>
      <w:r w:rsidRPr="00A04930">
        <w:rPr>
          <w:rFonts w:ascii="宋体" w:hAnsi="宋体" w:hint="eastAsia"/>
          <w:szCs w:val="21"/>
        </w:rPr>
        <w:t xml:space="preserve">、建信中证创新药产业交易型开放式指数证券投资基金（159835）： </w:t>
      </w:r>
    </w:p>
    <w:p w:rsidR="00A04930" w:rsidRPr="00A04930" w:rsidRDefault="00A04930" w:rsidP="00A04930">
      <w:pPr>
        <w:spacing w:line="440" w:lineRule="exact"/>
        <w:ind w:firstLine="420"/>
        <w:rPr>
          <w:rFonts w:ascii="宋体" w:hAnsi="宋体"/>
          <w:szCs w:val="21"/>
        </w:rPr>
      </w:pPr>
      <w:r w:rsidRPr="00A04930">
        <w:rPr>
          <w:rFonts w:ascii="宋体" w:hAnsi="宋体" w:hint="eastAsia"/>
          <w:szCs w:val="21"/>
        </w:rPr>
        <w:t>方正证券股份有限公司</w:t>
      </w:r>
    </w:p>
    <w:p w:rsidR="00A04930" w:rsidRPr="00A04930" w:rsidRDefault="00A04930" w:rsidP="00A04930">
      <w:pPr>
        <w:spacing w:line="440" w:lineRule="exact"/>
        <w:ind w:firstLine="420"/>
        <w:rPr>
          <w:rFonts w:ascii="宋体" w:hAnsi="宋体"/>
          <w:szCs w:val="21"/>
        </w:rPr>
      </w:pPr>
      <w:r w:rsidRPr="00A04930">
        <w:rPr>
          <w:rFonts w:ascii="宋体" w:hAnsi="宋体"/>
          <w:szCs w:val="21"/>
        </w:rPr>
        <w:t>5</w:t>
      </w:r>
      <w:r w:rsidRPr="00A04930">
        <w:rPr>
          <w:rFonts w:ascii="宋体" w:hAnsi="宋体" w:hint="eastAsia"/>
          <w:szCs w:val="21"/>
        </w:rPr>
        <w:t>、建信中证全指医疗保健设备与服务交易型开放式指数证券投资基金（</w:t>
      </w:r>
      <w:r w:rsidRPr="00A04930">
        <w:rPr>
          <w:rFonts w:ascii="宋体" w:hAnsi="宋体"/>
          <w:szCs w:val="21"/>
        </w:rPr>
        <w:t>159891</w:t>
      </w:r>
      <w:r w:rsidRPr="00A04930">
        <w:rPr>
          <w:rFonts w:ascii="宋体" w:hAnsi="宋体" w:hint="eastAsia"/>
          <w:szCs w:val="21"/>
        </w:rPr>
        <w:t>）：</w:t>
      </w:r>
    </w:p>
    <w:p w:rsidR="00A04930" w:rsidRPr="00A04930" w:rsidRDefault="00A04930" w:rsidP="00A04930">
      <w:pPr>
        <w:spacing w:line="440" w:lineRule="exact"/>
        <w:ind w:firstLine="420"/>
        <w:rPr>
          <w:rFonts w:ascii="宋体" w:hAnsi="宋体"/>
          <w:szCs w:val="21"/>
        </w:rPr>
      </w:pPr>
      <w:r w:rsidRPr="00A04930">
        <w:rPr>
          <w:rFonts w:ascii="宋体" w:hAnsi="宋体" w:hint="eastAsia"/>
          <w:szCs w:val="21"/>
        </w:rPr>
        <w:t>中信证券股份有限公司</w:t>
      </w:r>
    </w:p>
    <w:p w:rsidR="00A04930" w:rsidRPr="00A04930" w:rsidRDefault="00A04930" w:rsidP="00A04930">
      <w:pPr>
        <w:spacing w:line="440" w:lineRule="exact"/>
        <w:ind w:firstLine="420"/>
        <w:rPr>
          <w:rFonts w:ascii="宋体" w:hAnsi="宋体"/>
          <w:szCs w:val="21"/>
        </w:rPr>
      </w:pPr>
      <w:r w:rsidRPr="00A04930">
        <w:rPr>
          <w:rFonts w:ascii="宋体" w:hAnsi="宋体"/>
          <w:szCs w:val="21"/>
        </w:rPr>
        <w:t>6</w:t>
      </w:r>
      <w:r w:rsidRPr="00A04930">
        <w:rPr>
          <w:rFonts w:ascii="宋体" w:hAnsi="宋体" w:hint="eastAsia"/>
          <w:szCs w:val="21"/>
        </w:rPr>
        <w:t>、深证基本面 60 交易型开放式指数证券投资基金（159916）：</w:t>
      </w:r>
    </w:p>
    <w:p w:rsidR="00A04930" w:rsidRPr="00A04930" w:rsidRDefault="00A04930" w:rsidP="00A04930">
      <w:pPr>
        <w:spacing w:line="440" w:lineRule="exact"/>
        <w:ind w:firstLine="420"/>
        <w:rPr>
          <w:rFonts w:ascii="宋体" w:hAnsi="宋体"/>
          <w:szCs w:val="21"/>
        </w:rPr>
      </w:pPr>
      <w:r w:rsidRPr="00A04930">
        <w:rPr>
          <w:rFonts w:ascii="宋体" w:hAnsi="宋体" w:hint="eastAsia"/>
          <w:szCs w:val="21"/>
        </w:rPr>
        <w:t>中信证券股份有限公司</w:t>
      </w:r>
    </w:p>
    <w:p w:rsidR="00A04930" w:rsidRPr="00A04930" w:rsidRDefault="00A04930" w:rsidP="00A04930">
      <w:pPr>
        <w:spacing w:line="440" w:lineRule="exact"/>
        <w:ind w:firstLine="420"/>
        <w:rPr>
          <w:rFonts w:ascii="宋体" w:hAnsi="宋体"/>
          <w:szCs w:val="21"/>
        </w:rPr>
      </w:pPr>
      <w:r w:rsidRPr="00A04930">
        <w:rPr>
          <w:rFonts w:ascii="宋体" w:hAnsi="宋体"/>
          <w:szCs w:val="21"/>
        </w:rPr>
        <w:t>7</w:t>
      </w:r>
      <w:r w:rsidRPr="00A04930">
        <w:rPr>
          <w:rFonts w:ascii="宋体" w:hAnsi="宋体" w:hint="eastAsia"/>
          <w:szCs w:val="21"/>
        </w:rPr>
        <w:t>、建信创业板交易型开放式指数证券投资基金（</w:t>
      </w:r>
      <w:r>
        <w:rPr>
          <w:rFonts w:ascii="宋体" w:hAnsi="宋体" w:hint="eastAsia"/>
          <w:szCs w:val="21"/>
        </w:rPr>
        <w:t>15995</w:t>
      </w:r>
      <w:r w:rsidRPr="00A04930">
        <w:rPr>
          <w:rFonts w:ascii="宋体" w:hAnsi="宋体" w:hint="eastAsia"/>
          <w:szCs w:val="21"/>
        </w:rPr>
        <w:t>6）：</w:t>
      </w:r>
      <w:r>
        <w:rPr>
          <w:rFonts w:ascii="宋体" w:hAnsi="宋体" w:hint="eastAsia"/>
          <w:szCs w:val="21"/>
        </w:rPr>
        <w:t xml:space="preserve"> </w:t>
      </w:r>
    </w:p>
    <w:p w:rsidR="00A04930" w:rsidRPr="00A04930" w:rsidRDefault="00A04930" w:rsidP="00A04930">
      <w:pPr>
        <w:spacing w:line="440" w:lineRule="exact"/>
        <w:ind w:firstLine="420"/>
        <w:rPr>
          <w:rFonts w:ascii="宋体" w:hAnsi="宋体"/>
          <w:szCs w:val="21"/>
        </w:rPr>
      </w:pPr>
      <w:r w:rsidRPr="00A04930">
        <w:rPr>
          <w:rFonts w:ascii="宋体" w:hAnsi="宋体" w:hint="eastAsia"/>
          <w:szCs w:val="21"/>
        </w:rPr>
        <w:t>中信证券股份有限公司</w:t>
      </w:r>
    </w:p>
    <w:p w:rsidR="00A04930" w:rsidRPr="00A04930" w:rsidRDefault="00A04930" w:rsidP="00A04930">
      <w:pPr>
        <w:spacing w:line="440" w:lineRule="exact"/>
        <w:ind w:firstLine="420"/>
        <w:rPr>
          <w:rFonts w:ascii="宋体" w:hAnsi="宋体"/>
          <w:szCs w:val="21"/>
        </w:rPr>
      </w:pPr>
      <w:r w:rsidRPr="00A04930">
        <w:rPr>
          <w:rFonts w:ascii="宋体" w:hAnsi="宋体"/>
          <w:szCs w:val="21"/>
        </w:rPr>
        <w:t>8</w:t>
      </w:r>
      <w:r w:rsidRPr="00A04930">
        <w:rPr>
          <w:rFonts w:ascii="宋体" w:hAnsi="宋体" w:hint="eastAsia"/>
          <w:szCs w:val="21"/>
        </w:rPr>
        <w:t xml:space="preserve">、建信易盛郑商所能源化工期货交易型开放式指数证券投资基金（159981）： </w:t>
      </w:r>
    </w:p>
    <w:p w:rsidR="00A0470E" w:rsidRDefault="00A04930" w:rsidP="00A04930">
      <w:pPr>
        <w:spacing w:line="440" w:lineRule="exact"/>
        <w:ind w:firstLine="420"/>
        <w:rPr>
          <w:rFonts w:ascii="宋体" w:hAnsi="宋体"/>
          <w:szCs w:val="21"/>
        </w:rPr>
      </w:pPr>
      <w:r w:rsidRPr="00A04930">
        <w:rPr>
          <w:rFonts w:ascii="宋体" w:hAnsi="宋体" w:hint="eastAsia"/>
          <w:szCs w:val="21"/>
        </w:rPr>
        <w:t>方正证券股份有限公司</w:t>
      </w:r>
    </w:p>
    <w:p w:rsidR="00A04930" w:rsidRDefault="00A04930" w:rsidP="00A04930">
      <w:pPr>
        <w:spacing w:line="440" w:lineRule="exact"/>
        <w:ind w:firstLine="420"/>
        <w:rPr>
          <w:rFonts w:ascii="宋体" w:hAnsi="宋体"/>
          <w:szCs w:val="21"/>
        </w:rPr>
      </w:pPr>
    </w:p>
    <w:p w:rsidR="00A0470E" w:rsidRDefault="00A04930">
      <w:pPr>
        <w:spacing w:line="440" w:lineRule="exact"/>
        <w:ind w:firstLine="420"/>
        <w:jc w:val="left"/>
        <w:rPr>
          <w:rFonts w:ascii="宋体" w:hAnsi="宋体"/>
          <w:szCs w:val="21"/>
        </w:rPr>
      </w:pPr>
      <w:r>
        <w:rPr>
          <w:rFonts w:ascii="宋体" w:hAnsi="宋体" w:hint="eastAsia"/>
          <w:szCs w:val="21"/>
        </w:rPr>
        <w:t>特此公告。</w:t>
      </w:r>
    </w:p>
    <w:p w:rsidR="00A0470E" w:rsidRDefault="00A04930">
      <w:pPr>
        <w:spacing w:line="440" w:lineRule="exact"/>
        <w:ind w:firstLine="420"/>
        <w:jc w:val="right"/>
        <w:rPr>
          <w:rFonts w:ascii="宋体" w:hAnsi="宋体"/>
          <w:szCs w:val="21"/>
        </w:rPr>
      </w:pPr>
      <w:r>
        <w:rPr>
          <w:rFonts w:ascii="宋体" w:hAnsi="宋体" w:hint="eastAsia"/>
          <w:szCs w:val="21"/>
        </w:rPr>
        <w:t xml:space="preserve"> </w:t>
      </w:r>
    </w:p>
    <w:p w:rsidR="00A0470E" w:rsidRDefault="00A04930">
      <w:pPr>
        <w:spacing w:line="440" w:lineRule="exact"/>
        <w:ind w:firstLine="420"/>
        <w:jc w:val="right"/>
        <w:rPr>
          <w:rFonts w:ascii="宋体" w:hAnsi="宋体"/>
          <w:szCs w:val="21"/>
        </w:rPr>
      </w:pPr>
      <w:r w:rsidRPr="00A04930">
        <w:rPr>
          <w:rFonts w:ascii="宋体" w:hAnsi="宋体" w:hint="eastAsia"/>
          <w:szCs w:val="21"/>
        </w:rPr>
        <w:t>建信基金管理有限责任公司</w:t>
      </w:r>
    </w:p>
    <w:p w:rsidR="00A0470E" w:rsidRDefault="00A04930">
      <w:pPr>
        <w:spacing w:line="440" w:lineRule="exact"/>
        <w:ind w:firstLine="420"/>
        <w:jc w:val="right"/>
        <w:rPr>
          <w:rFonts w:ascii="宋体" w:hAnsi="宋体"/>
          <w:szCs w:val="21"/>
        </w:rPr>
      </w:pPr>
      <w:r>
        <w:rPr>
          <w:rFonts w:ascii="宋体" w:hAnsi="宋体" w:hint="eastAsia"/>
          <w:szCs w:val="21"/>
        </w:rPr>
        <w:t>2024年1月16日</w:t>
      </w:r>
    </w:p>
    <w:p w:rsidR="00A0470E" w:rsidRDefault="00A0470E"/>
    <w:sectPr w:rsidR="00A0470E" w:rsidSect="004932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470E"/>
    <w:rsid w:val="002B4235"/>
    <w:rsid w:val="00301347"/>
    <w:rsid w:val="00493256"/>
    <w:rsid w:val="00A0470E"/>
    <w:rsid w:val="00A04930"/>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256"/>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493256"/>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493256"/>
    <w:pPr>
      <w:numPr>
        <w:numId w:val="1"/>
      </w:numPr>
    </w:pPr>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pPr>
      <w:numPr>
        <w:numId w:val="1"/>
      </w:numPr>
    </w:pPr>
    <w:rPr>
      <w:rFonts w:asciiTheme="minorHAnsi" w:hAnsiTheme="minorHAnsi"/>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4</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2024-01-15T16:02:00Z</dcterms:created>
  <dcterms:modified xsi:type="dcterms:W3CDTF">2024-01-15T16:02:00Z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