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5A" w:rsidRDefault="00C43280">
      <w:pPr>
        <w:jc w:val="center"/>
        <w:rPr>
          <w:rFonts w:ascii="Times New Roman" w:eastAsia="楷体_GB2312" w:hAnsi="Times New Roman" w:cs="Times New Roman"/>
          <w:b/>
          <w:sz w:val="30"/>
          <w:szCs w:val="30"/>
        </w:rPr>
      </w:pPr>
      <w:r>
        <w:rPr>
          <w:rFonts w:ascii="Times New Roman" w:eastAsia="楷体_GB2312" w:hAnsi="Times New Roman" w:cs="Times New Roman"/>
          <w:b/>
          <w:sz w:val="30"/>
          <w:szCs w:val="30"/>
        </w:rPr>
        <w:t>关于</w:t>
      </w:r>
      <w:r>
        <w:rPr>
          <w:rFonts w:ascii="Times New Roman" w:eastAsia="楷体_GB2312" w:hAnsi="Times New Roman" w:cs="Times New Roman" w:hint="eastAsia"/>
          <w:b/>
          <w:sz w:val="30"/>
          <w:szCs w:val="30"/>
        </w:rPr>
        <w:t>中金兴元</w:t>
      </w:r>
      <w:r>
        <w:rPr>
          <w:rFonts w:ascii="Times New Roman" w:eastAsia="楷体_GB2312" w:hAnsi="Times New Roman" w:cs="Times New Roman" w:hint="eastAsia"/>
          <w:b/>
          <w:sz w:val="30"/>
          <w:szCs w:val="30"/>
        </w:rPr>
        <w:t>6</w:t>
      </w:r>
      <w:r>
        <w:rPr>
          <w:rFonts w:ascii="Times New Roman" w:eastAsia="楷体_GB2312" w:hAnsi="Times New Roman" w:cs="Times New Roman" w:hint="eastAsia"/>
          <w:b/>
          <w:sz w:val="30"/>
          <w:szCs w:val="30"/>
        </w:rPr>
        <w:t>个月持有期混合型证券投资基金</w:t>
      </w:r>
    </w:p>
    <w:p w:rsidR="003C055A" w:rsidRDefault="00C43280">
      <w:pPr>
        <w:jc w:val="center"/>
        <w:rPr>
          <w:rFonts w:ascii="Times New Roman" w:eastAsia="楷体_GB2312" w:hAnsi="Times New Roman" w:cs="Times New Roman"/>
          <w:b/>
          <w:sz w:val="30"/>
          <w:szCs w:val="30"/>
        </w:rPr>
      </w:pPr>
      <w:r>
        <w:rPr>
          <w:rFonts w:ascii="Times New Roman" w:eastAsia="楷体_GB2312" w:hAnsi="Times New Roman" w:cs="Times New Roman"/>
          <w:b/>
          <w:sz w:val="30"/>
          <w:szCs w:val="30"/>
        </w:rPr>
        <w:t>开放赎回及转换转出业务的公告</w:t>
      </w:r>
    </w:p>
    <w:p w:rsidR="003C055A" w:rsidRDefault="003C055A">
      <w:pPr>
        <w:jc w:val="center"/>
        <w:rPr>
          <w:rFonts w:ascii="Times New Roman" w:eastAsia="楷体_GB2312" w:hAnsi="Times New Roman" w:cs="Times New Roman"/>
          <w:sz w:val="24"/>
          <w:szCs w:val="24"/>
        </w:rPr>
      </w:pPr>
    </w:p>
    <w:p w:rsidR="003C055A" w:rsidRDefault="00C43280">
      <w:pPr>
        <w:jc w:val="center"/>
        <w:rPr>
          <w:rFonts w:ascii="Times New Roman" w:eastAsia="楷体_GB2312" w:hAnsi="Times New Roman" w:cs="Times New Roman"/>
          <w:sz w:val="24"/>
          <w:szCs w:val="24"/>
        </w:rPr>
      </w:pPr>
      <w:r>
        <w:rPr>
          <w:rFonts w:ascii="Times New Roman" w:eastAsia="楷体_GB2312" w:hAnsi="Times New Roman" w:cs="Times New Roman"/>
          <w:sz w:val="24"/>
          <w:szCs w:val="24"/>
        </w:rPr>
        <w:t>公告送出日期：</w:t>
      </w:r>
      <w:r>
        <w:rPr>
          <w:rFonts w:ascii="Times New Roman" w:eastAsia="楷体_GB2312" w:hAnsi="Times New Roman" w:cs="Times New Roman"/>
          <w:sz w:val="24"/>
          <w:szCs w:val="24"/>
        </w:rPr>
        <w:t>202</w:t>
      </w:r>
      <w:r>
        <w:rPr>
          <w:rFonts w:ascii="Times New Roman" w:eastAsia="楷体_GB2312" w:hAnsi="Times New Roman" w:cs="Times New Roman" w:hint="eastAsia"/>
          <w:sz w:val="24"/>
          <w:szCs w:val="24"/>
        </w:rPr>
        <w:t>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1</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15</w:t>
      </w:r>
      <w:r>
        <w:rPr>
          <w:rFonts w:ascii="Times New Roman" w:eastAsia="楷体_GB2312" w:hAnsi="Times New Roman" w:cs="Times New Roman"/>
          <w:sz w:val="24"/>
          <w:szCs w:val="24"/>
        </w:rPr>
        <w:t>日</w:t>
      </w:r>
    </w:p>
    <w:p w:rsidR="003C055A" w:rsidRDefault="003C055A">
      <w:pPr>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rPr>
        <w:t>1</w:t>
      </w:r>
      <w:r>
        <w:rPr>
          <w:rFonts w:cs="Times New Roman"/>
        </w:rPr>
        <w:t>、公告基本信息</w:t>
      </w:r>
    </w:p>
    <w:tbl>
      <w:tblPr>
        <w:tblW w:w="8447" w:type="dxa"/>
        <w:jc w:val="center"/>
        <w:tblLayout w:type="fixed"/>
        <w:tblCellMar>
          <w:left w:w="57" w:type="dxa"/>
          <w:right w:w="0" w:type="dxa"/>
        </w:tblCellMar>
        <w:tblLook w:val="04A0"/>
      </w:tblPr>
      <w:tblGrid>
        <w:gridCol w:w="2891"/>
        <w:gridCol w:w="2850"/>
        <w:gridCol w:w="2706"/>
      </w:tblGrid>
      <w:tr w:rsidR="003C055A">
        <w:trPr>
          <w:jc w:val="center"/>
        </w:trPr>
        <w:tc>
          <w:tcPr>
            <w:tcW w:w="2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基金名称</w:t>
            </w:r>
          </w:p>
        </w:tc>
        <w:tc>
          <w:tcPr>
            <w:tcW w:w="55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个月持有期混合型证券投资基金</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基金简称</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个月持有混合</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基金主代码</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018628</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基金运作方式</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契约型开放式</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基金合同生效日</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2023</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18</w:t>
            </w:r>
            <w:r>
              <w:rPr>
                <w:rFonts w:ascii="Times New Roman" w:eastAsia="楷体_GB2312" w:hAnsi="Times New Roman" w:cs="Times New Roman" w:hint="eastAsia"/>
                <w:sz w:val="24"/>
                <w:szCs w:val="24"/>
              </w:rPr>
              <w:t>日</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基金管理人名称</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中金基金管理有限公司</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基金托管人名称</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兴业银行股份有限公司</w:t>
            </w:r>
          </w:p>
        </w:tc>
      </w:tr>
      <w:tr w:rsidR="003C055A">
        <w:trPr>
          <w:jc w:val="center"/>
        </w:trPr>
        <w:tc>
          <w:tcPr>
            <w:tcW w:w="2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基金注册登记机构名称</w:t>
            </w:r>
          </w:p>
        </w:tc>
        <w:tc>
          <w:tcPr>
            <w:tcW w:w="5556" w:type="dxa"/>
            <w:gridSpan w:val="2"/>
            <w:tcBorders>
              <w:top w:val="nil"/>
              <w:left w:val="nil"/>
              <w:bottom w:val="single" w:sz="8"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中金基金管理有限公司</w:t>
            </w:r>
          </w:p>
        </w:tc>
      </w:tr>
      <w:tr w:rsidR="003C055A">
        <w:trPr>
          <w:jc w:val="center"/>
        </w:trPr>
        <w:tc>
          <w:tcPr>
            <w:tcW w:w="289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公告依据</w:t>
            </w:r>
          </w:p>
        </w:tc>
        <w:tc>
          <w:tcPr>
            <w:tcW w:w="5556" w:type="dxa"/>
            <w:gridSpan w:val="2"/>
            <w:tcBorders>
              <w:top w:val="nil"/>
              <w:left w:val="nil"/>
              <w:bottom w:val="single" w:sz="4" w:space="0" w:color="auto"/>
              <w:right w:val="single" w:sz="8"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《中华人民共和国证券投资基金法》、《公开募集证券投资基金运作管理办法》、《公开募集证券投资基金信息披露管理办法》等法律法规以及《中金兴元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个月持有期混合型证券投资基金基金合同》、《中金兴元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个月持有期混合型证券投资基金招募说明书》</w:t>
            </w:r>
          </w:p>
        </w:tc>
      </w:tr>
      <w:tr w:rsidR="003C055A">
        <w:trPr>
          <w:jc w:val="center"/>
        </w:trPr>
        <w:tc>
          <w:tcPr>
            <w:tcW w:w="2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赎回起始日</w:t>
            </w:r>
          </w:p>
        </w:tc>
        <w:tc>
          <w:tcPr>
            <w:tcW w:w="55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1</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18</w:t>
            </w:r>
            <w:r>
              <w:rPr>
                <w:rFonts w:ascii="Times New Roman" w:eastAsia="楷体_GB2312" w:hAnsi="Times New Roman" w:cs="Times New Roman"/>
                <w:sz w:val="24"/>
                <w:szCs w:val="24"/>
              </w:rPr>
              <w:t>日</w:t>
            </w:r>
          </w:p>
        </w:tc>
      </w:tr>
      <w:tr w:rsidR="003C055A">
        <w:trPr>
          <w:jc w:val="center"/>
        </w:trPr>
        <w:tc>
          <w:tcPr>
            <w:tcW w:w="2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转换转出起始日</w:t>
            </w:r>
          </w:p>
        </w:tc>
        <w:tc>
          <w:tcPr>
            <w:tcW w:w="55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055A" w:rsidRDefault="00C43280">
            <w:pPr>
              <w:spacing w:line="276"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1</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18</w:t>
            </w:r>
            <w:r>
              <w:rPr>
                <w:rFonts w:ascii="Times New Roman" w:eastAsia="楷体_GB2312" w:hAnsi="Times New Roman" w:cs="Times New Roman"/>
                <w:sz w:val="24"/>
                <w:szCs w:val="24"/>
              </w:rPr>
              <w:t>日</w:t>
            </w:r>
          </w:p>
        </w:tc>
      </w:tr>
      <w:tr w:rsidR="003C055A">
        <w:trPr>
          <w:jc w:val="center"/>
        </w:trPr>
        <w:tc>
          <w:tcPr>
            <w:tcW w:w="2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下属基金份额的基金简称</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个月持有混合</w:t>
            </w:r>
            <w:r>
              <w:rPr>
                <w:rFonts w:ascii="Times New Roman" w:eastAsia="楷体_GB2312" w:hAnsi="Times New Roman" w:cs="Times New Roman" w:hint="eastAsia"/>
                <w:sz w:val="24"/>
                <w:szCs w:val="24"/>
              </w:rPr>
              <w:t>A</w:t>
            </w:r>
          </w:p>
        </w:tc>
        <w:tc>
          <w:tcPr>
            <w:tcW w:w="2706" w:type="dxa"/>
            <w:tcBorders>
              <w:top w:val="single" w:sz="4" w:space="0" w:color="auto"/>
              <w:left w:val="single" w:sz="4" w:space="0" w:color="auto"/>
              <w:bottom w:val="single" w:sz="4" w:space="0" w:color="auto"/>
              <w:right w:val="single" w:sz="4" w:space="0" w:color="auto"/>
            </w:tcBorders>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个月持有混合</w:t>
            </w:r>
            <w:r>
              <w:rPr>
                <w:rFonts w:ascii="Times New Roman" w:eastAsia="楷体_GB2312" w:hAnsi="Times New Roman" w:cs="Times New Roman" w:hint="eastAsia"/>
                <w:sz w:val="24"/>
                <w:szCs w:val="24"/>
              </w:rPr>
              <w:t>C</w:t>
            </w:r>
          </w:p>
        </w:tc>
      </w:tr>
      <w:tr w:rsidR="003C055A">
        <w:trPr>
          <w:jc w:val="center"/>
        </w:trPr>
        <w:tc>
          <w:tcPr>
            <w:tcW w:w="2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下属基金份额的交易代码</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018628</w:t>
            </w:r>
          </w:p>
        </w:tc>
        <w:tc>
          <w:tcPr>
            <w:tcW w:w="2706" w:type="dxa"/>
            <w:tcBorders>
              <w:top w:val="single" w:sz="4" w:space="0" w:color="auto"/>
              <w:left w:val="single" w:sz="4" w:space="0" w:color="auto"/>
              <w:bottom w:val="single" w:sz="4" w:space="0" w:color="auto"/>
              <w:right w:val="single" w:sz="4" w:space="0" w:color="auto"/>
            </w:tcBorders>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018629</w:t>
            </w:r>
          </w:p>
        </w:tc>
      </w:tr>
      <w:tr w:rsidR="003C055A">
        <w:trPr>
          <w:jc w:val="center"/>
        </w:trPr>
        <w:tc>
          <w:tcPr>
            <w:tcW w:w="2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该基金份额是否开放上述业务</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是</w:t>
            </w:r>
          </w:p>
        </w:tc>
        <w:tc>
          <w:tcPr>
            <w:tcW w:w="2706" w:type="dxa"/>
            <w:tcBorders>
              <w:top w:val="single" w:sz="4" w:space="0" w:color="auto"/>
              <w:left w:val="single" w:sz="4" w:space="0" w:color="auto"/>
              <w:bottom w:val="single" w:sz="4" w:space="0" w:color="auto"/>
              <w:right w:val="single" w:sz="4" w:space="0" w:color="auto"/>
            </w:tcBorders>
            <w:vAlign w:val="center"/>
          </w:tcPr>
          <w:p w:rsidR="003C055A" w:rsidRDefault="00C43280">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是</w:t>
            </w:r>
          </w:p>
        </w:tc>
      </w:tr>
    </w:tbl>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注：（</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）投资者范围为</w:t>
      </w:r>
      <w:r>
        <w:rPr>
          <w:rFonts w:ascii="Times New Roman" w:eastAsia="楷体_GB2312" w:hAnsi="Times New Roman" w:cs="Times New Roman" w:hint="eastAsia"/>
          <w:sz w:val="24"/>
          <w:szCs w:val="24"/>
        </w:rPr>
        <w:t>符合法律法规规定的可投资于证券投资基金的个人投资者、机构投资者、合格境外投资者以及法律法规或中国证监会允许购买证券投资基金的其他投资人。</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）中金兴元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个月持有期混合型证券投资基金（以下简称</w:t>
      </w:r>
      <w:r>
        <w:rPr>
          <w:rFonts w:ascii="Times New Roman" w:eastAsia="楷体_GB2312" w:hAnsi="Times New Roman" w:cs="Times New Roman"/>
          <w:sz w:val="24"/>
          <w:szCs w:val="24"/>
        </w:rPr>
        <w:t>“</w:t>
      </w:r>
      <w:r>
        <w:rPr>
          <w:rFonts w:ascii="Times New Roman" w:eastAsia="楷体_GB2312" w:hAnsi="Times New Roman" w:cs="Times New Roman"/>
          <w:sz w:val="24"/>
          <w:szCs w:val="24"/>
        </w:rPr>
        <w:t>本基金</w:t>
      </w:r>
      <w:r>
        <w:rPr>
          <w:rFonts w:ascii="Times New Roman" w:eastAsia="楷体_GB2312" w:hAnsi="Times New Roman" w:cs="Times New Roman"/>
          <w:sz w:val="24"/>
          <w:szCs w:val="24"/>
        </w:rPr>
        <w:t>”</w:t>
      </w:r>
      <w:r>
        <w:rPr>
          <w:rFonts w:ascii="Times New Roman" w:eastAsia="楷体_GB2312" w:hAnsi="Times New Roman" w:cs="Times New Roman"/>
          <w:sz w:val="24"/>
          <w:szCs w:val="24"/>
        </w:rPr>
        <w:t>）已于</w:t>
      </w:r>
      <w:r>
        <w:rPr>
          <w:rFonts w:ascii="Times New Roman" w:eastAsia="楷体_GB2312" w:hAnsi="Times New Roman" w:cs="Times New Roman" w:hint="eastAsia"/>
          <w:sz w:val="24"/>
          <w:szCs w:val="24"/>
        </w:rPr>
        <w:t>2023</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8</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22</w:t>
      </w:r>
      <w:r>
        <w:rPr>
          <w:rFonts w:ascii="Times New Roman" w:eastAsia="楷体_GB2312" w:hAnsi="Times New Roman" w:cs="Times New Roman"/>
          <w:sz w:val="24"/>
          <w:szCs w:val="24"/>
        </w:rPr>
        <w:t>日开放</w:t>
      </w:r>
      <w:r>
        <w:rPr>
          <w:rFonts w:ascii="Times New Roman" w:eastAsia="楷体_GB2312" w:hAnsi="Times New Roman" w:cs="Times New Roman" w:hint="eastAsia"/>
          <w:sz w:val="24"/>
          <w:szCs w:val="24"/>
        </w:rPr>
        <w:t>申购、转换转入、定期定额投资业务</w:t>
      </w:r>
      <w:r>
        <w:rPr>
          <w:rFonts w:ascii="Times New Roman" w:eastAsia="楷体_GB2312" w:hAnsi="Times New Roman" w:cs="Times New Roman"/>
          <w:sz w:val="24"/>
          <w:szCs w:val="24"/>
        </w:rPr>
        <w:t>，有关本基金办理</w:t>
      </w:r>
      <w:r>
        <w:rPr>
          <w:rFonts w:ascii="Times New Roman" w:eastAsia="楷体_GB2312" w:hAnsi="Times New Roman" w:cs="Times New Roman" w:hint="eastAsia"/>
          <w:sz w:val="24"/>
          <w:szCs w:val="24"/>
        </w:rPr>
        <w:t>申购、转换转入、定期定额投资业务</w:t>
      </w:r>
      <w:r>
        <w:rPr>
          <w:rFonts w:ascii="Times New Roman" w:eastAsia="楷体_GB2312" w:hAnsi="Times New Roman" w:cs="Times New Roman"/>
          <w:sz w:val="24"/>
          <w:szCs w:val="24"/>
        </w:rPr>
        <w:t>的详细信息，请见本公司于</w:t>
      </w:r>
      <w:r>
        <w:rPr>
          <w:rFonts w:ascii="Times New Roman" w:eastAsia="楷体_GB2312" w:hAnsi="Times New Roman" w:cs="Times New Roman" w:hint="eastAsia"/>
          <w:sz w:val="24"/>
          <w:szCs w:val="24"/>
        </w:rPr>
        <w:t>2023</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8</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17</w:t>
      </w:r>
      <w:r>
        <w:rPr>
          <w:rFonts w:ascii="Times New Roman" w:eastAsia="楷体_GB2312" w:hAnsi="Times New Roman" w:cs="Times New Roman"/>
          <w:sz w:val="24"/>
          <w:szCs w:val="24"/>
        </w:rPr>
        <w:t>日发布的《</w:t>
      </w:r>
      <w:r>
        <w:rPr>
          <w:rFonts w:ascii="Times New Roman" w:eastAsia="楷体_GB2312" w:hAnsi="Times New Roman" w:cs="Times New Roman" w:hint="eastAsia"/>
          <w:sz w:val="24"/>
          <w:szCs w:val="24"/>
        </w:rPr>
        <w:t>关于中金兴元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个月持有期混合型证券投资基金开放申购、转换转入、定期定额投资业务的公告</w:t>
      </w:r>
      <w:r>
        <w:rPr>
          <w:rFonts w:ascii="Times New Roman" w:eastAsia="楷体_GB2312" w:hAnsi="Times New Roman" w:cs="Times New Roman"/>
          <w:sz w:val="24"/>
          <w:szCs w:val="24"/>
        </w:rPr>
        <w:t>》。</w:t>
      </w:r>
    </w:p>
    <w:p w:rsidR="003C055A" w:rsidRDefault="003C055A">
      <w:pPr>
        <w:spacing w:line="360" w:lineRule="auto"/>
        <w:ind w:firstLineChars="200" w:firstLine="480"/>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rPr>
        <w:lastRenderedPageBreak/>
        <w:t>2</w:t>
      </w:r>
      <w:r>
        <w:rPr>
          <w:rFonts w:cs="Times New Roman"/>
        </w:rPr>
        <w:t>、赎回业务的办理时间</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本基金按照基金合同约定，</w:t>
      </w:r>
      <w:r>
        <w:rPr>
          <w:rFonts w:ascii="Times New Roman" w:eastAsia="楷体_GB2312" w:hAnsi="Times New Roman" w:cs="Times New Roman" w:hint="eastAsia"/>
          <w:sz w:val="24"/>
          <w:szCs w:val="24"/>
        </w:rPr>
        <w:t>对每份基金份额设置</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的最短持有期限。在每份基金份额的最短持有期限内，投资者不能就该基金份额提出赎回申请或转换转出申请；每份基金份额的最短持有期限届满后的下一个工作日（含）起，基金份额持有人可就该份额提出赎回申请及转换转出申请。对于每份基金份额，最短持有期限指自基金合同生效日（含）（对于认购份额而言）、基金份额申购确认日（含）（对于申购份额而言）或基金份额转换转入确认日（含）（对于转换转入份额而言）起至</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个月后对应日（不含）（如该对应日为非工作日或无该对应日，则顺延至下一个工作日）的期间。</w:t>
      </w:r>
    </w:p>
    <w:p w:rsidR="003C055A" w:rsidRDefault="00BF2966" w:rsidP="00BF2966">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本基金自</w:t>
      </w:r>
      <w:r>
        <w:rPr>
          <w:rFonts w:ascii="Times New Roman" w:eastAsia="楷体_GB2312" w:hAnsi="Times New Roman" w:cs="Times New Roman" w:hint="eastAsia"/>
          <w:sz w:val="24"/>
          <w:szCs w:val="24"/>
        </w:rPr>
        <w:t>2024</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18</w:t>
      </w:r>
      <w:r>
        <w:rPr>
          <w:rFonts w:ascii="Times New Roman" w:eastAsia="楷体_GB2312" w:hAnsi="Times New Roman" w:cs="Times New Roman" w:hint="eastAsia"/>
          <w:sz w:val="24"/>
          <w:szCs w:val="24"/>
        </w:rPr>
        <w:t>日起开放赎回及转换转出业务。</w:t>
      </w:r>
      <w:r w:rsidR="00E63DC9" w:rsidRPr="00E63DC9">
        <w:rPr>
          <w:rFonts w:ascii="Times New Roman" w:eastAsia="楷体_GB2312" w:hAnsi="Times New Roman" w:cs="Times New Roman" w:hint="eastAsia"/>
          <w:sz w:val="24"/>
          <w:szCs w:val="24"/>
        </w:rPr>
        <w:t>对于每份基金份额，自其最短持有期限届满后的下一工作日（含）起才能办理该基金</w:t>
      </w:r>
      <w:bookmarkStart w:id="0" w:name="_GoBack"/>
      <w:bookmarkEnd w:id="0"/>
      <w:r w:rsidR="00E63DC9" w:rsidRPr="00E63DC9">
        <w:rPr>
          <w:rFonts w:ascii="Times New Roman" w:eastAsia="楷体_GB2312" w:hAnsi="Times New Roman" w:cs="Times New Roman" w:hint="eastAsia"/>
          <w:sz w:val="24"/>
          <w:szCs w:val="24"/>
        </w:rPr>
        <w:t>份额的赎回及转换转出业务</w:t>
      </w:r>
      <w:r w:rsidRPr="00BF2966">
        <w:rPr>
          <w:rFonts w:ascii="Times New Roman" w:eastAsia="楷体_GB2312" w:hAnsi="Times New Roman" w:cs="Times New Roman" w:hint="eastAsia"/>
          <w:sz w:val="24"/>
          <w:szCs w:val="24"/>
        </w:rPr>
        <w:t>。</w:t>
      </w:r>
      <w:r w:rsidR="00C43280">
        <w:rPr>
          <w:rFonts w:ascii="Times New Roman" w:eastAsia="楷体_GB2312" w:hAnsi="Times New Roman" w:cs="Times New Roman"/>
          <w:sz w:val="24"/>
          <w:szCs w:val="24"/>
        </w:rPr>
        <w:t>具体办理时间为上海证券交易所、深圳证券交易所的正常交易日的交易时间</w:t>
      </w:r>
      <w:r w:rsidR="00C43280">
        <w:rPr>
          <w:rFonts w:ascii="Times New Roman" w:eastAsia="楷体_GB2312" w:hAnsi="Times New Roman" w:cs="Times New Roman" w:hint="eastAsia"/>
          <w:sz w:val="24"/>
          <w:szCs w:val="24"/>
        </w:rPr>
        <w:t>（若本基金投资港股通标的股票且该工作日为非港股通交易日，则基金管理人可根据实际情况决定本基金是否开放赎回或其他业务，具体以届时发布的公告为准），但基金管理人根据法律法规、中国证监会的要求或本基金合同的规定公告暂停赎回、转换转出时除外</w:t>
      </w:r>
      <w:r w:rsidR="00C43280">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本公告发出后，若出现新的证券</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期货</w:t>
      </w:r>
      <w:r>
        <w:rPr>
          <w:rFonts w:ascii="Times New Roman" w:eastAsia="楷体_GB2312" w:hAnsi="Times New Roman" w:cs="Times New Roman"/>
          <w:sz w:val="24"/>
          <w:szCs w:val="24"/>
        </w:rPr>
        <w:t>交易市场、证券</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期货</w:t>
      </w:r>
      <w:r>
        <w:rPr>
          <w:rFonts w:ascii="Times New Roman" w:eastAsia="楷体_GB2312" w:hAnsi="Times New Roman" w:cs="Times New Roman"/>
          <w:sz w:val="24"/>
          <w:szCs w:val="24"/>
        </w:rPr>
        <w:t>交易所交易时间变更或其他特殊情况，基金管理人将视情况对前述开放日及开放时间进行相应的调整，但应在实施日前依照《公开募集证券投资基金信息披露管理办法》（以下简称</w:t>
      </w:r>
      <w:r>
        <w:rPr>
          <w:rFonts w:ascii="Times New Roman" w:eastAsia="楷体_GB2312" w:hAnsi="Times New Roman" w:cs="Times New Roman"/>
          <w:sz w:val="24"/>
          <w:szCs w:val="24"/>
        </w:rPr>
        <w:t>“</w:t>
      </w:r>
      <w:r>
        <w:rPr>
          <w:rFonts w:ascii="Times New Roman" w:eastAsia="楷体_GB2312" w:hAnsi="Times New Roman" w:cs="Times New Roman"/>
          <w:sz w:val="24"/>
          <w:szCs w:val="24"/>
        </w:rPr>
        <w:t>《信息披露办法》</w:t>
      </w:r>
      <w:r>
        <w:rPr>
          <w:rFonts w:ascii="Times New Roman" w:eastAsia="楷体_GB2312" w:hAnsi="Times New Roman" w:cs="Times New Roman"/>
          <w:sz w:val="24"/>
          <w:szCs w:val="24"/>
        </w:rPr>
        <w:t>”</w:t>
      </w:r>
      <w:r>
        <w:rPr>
          <w:rFonts w:ascii="Times New Roman" w:eastAsia="楷体_GB2312" w:hAnsi="Times New Roman" w:cs="Times New Roman"/>
          <w:sz w:val="24"/>
          <w:szCs w:val="24"/>
        </w:rPr>
        <w:t>）的有关规定在规定媒介上公告。</w:t>
      </w:r>
    </w:p>
    <w:p w:rsidR="003C055A" w:rsidRDefault="003C055A">
      <w:pPr>
        <w:spacing w:line="360" w:lineRule="auto"/>
        <w:ind w:firstLineChars="200" w:firstLine="480"/>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rPr>
        <w:t>3</w:t>
      </w:r>
      <w:r>
        <w:rPr>
          <w:rFonts w:cs="Times New Roman"/>
        </w:rPr>
        <w:t>、日常赎回业务</w:t>
      </w:r>
    </w:p>
    <w:p w:rsidR="003C055A" w:rsidRDefault="00C43280">
      <w:pPr>
        <w:pStyle w:val="2"/>
        <w:ind w:firstLine="482"/>
      </w:pPr>
      <w:r>
        <w:t xml:space="preserve">3.1 </w:t>
      </w:r>
      <w:r>
        <w:t>赎回份额限制</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基金份额持有人在销售机构赎回基金份额时，每笔赎回申请不得低于</w:t>
      </w:r>
      <w:r>
        <w:rPr>
          <w:rFonts w:ascii="Times New Roman" w:eastAsia="楷体_GB2312" w:hAnsi="Times New Roman" w:cs="Times New Roman" w:hint="eastAsia"/>
          <w:sz w:val="24"/>
          <w:szCs w:val="24"/>
        </w:rPr>
        <w:t>10</w:t>
      </w:r>
      <w:r>
        <w:rPr>
          <w:rFonts w:ascii="Times New Roman" w:eastAsia="楷体_GB2312" w:hAnsi="Times New Roman" w:cs="Times New Roman" w:hint="eastAsia"/>
          <w:sz w:val="24"/>
          <w:szCs w:val="24"/>
        </w:rPr>
        <w:t>份基金份额。若基金份额持有人某笔交易类业务（如赎回、基金转换、转托管等）导致在销售机构单个基金交易账户保留的基金份额余额少于</w:t>
      </w:r>
      <w:r>
        <w:rPr>
          <w:rFonts w:ascii="Times New Roman" w:eastAsia="楷体_GB2312" w:hAnsi="Times New Roman" w:cs="Times New Roman" w:hint="eastAsia"/>
          <w:sz w:val="24"/>
          <w:szCs w:val="24"/>
        </w:rPr>
        <w:t>10</w:t>
      </w:r>
      <w:r>
        <w:rPr>
          <w:rFonts w:ascii="Times New Roman" w:eastAsia="楷体_GB2312" w:hAnsi="Times New Roman" w:cs="Times New Roman" w:hint="eastAsia"/>
          <w:sz w:val="24"/>
          <w:szCs w:val="24"/>
        </w:rPr>
        <w:t>份时，则基金管理人有权将投资人在该账户保留的本基金份额一次性全部赎回。</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w:t>
      </w:r>
      <w:r>
        <w:rPr>
          <w:rFonts w:ascii="Times New Roman" w:eastAsia="楷体_GB2312" w:hAnsi="Times New Roman" w:cs="Times New Roman"/>
          <w:bCs/>
          <w:sz w:val="24"/>
          <w:szCs w:val="24"/>
        </w:rPr>
        <w:t>基金管理人可在法律法规允许的情况下，调整上述</w:t>
      </w:r>
      <w:r>
        <w:rPr>
          <w:rFonts w:ascii="Times New Roman" w:eastAsia="楷体_GB2312" w:hAnsi="Times New Roman" w:cs="Times New Roman"/>
          <w:sz w:val="24"/>
          <w:szCs w:val="24"/>
        </w:rPr>
        <w:t>规定</w:t>
      </w:r>
      <w:r>
        <w:rPr>
          <w:rFonts w:ascii="Times New Roman" w:eastAsia="楷体_GB2312" w:hAnsi="Times New Roman" w:cs="Times New Roman"/>
          <w:bCs/>
          <w:sz w:val="24"/>
          <w:szCs w:val="24"/>
        </w:rPr>
        <w:t>赎回份额等数量限制。基金管理人必须在调整实施前依照《信息披露办法》的有关规定在规定</w:t>
      </w:r>
      <w:r>
        <w:rPr>
          <w:rFonts w:ascii="Times New Roman" w:eastAsia="楷体_GB2312" w:hAnsi="Times New Roman" w:cs="Times New Roman"/>
          <w:bCs/>
          <w:sz w:val="24"/>
          <w:szCs w:val="24"/>
        </w:rPr>
        <w:lastRenderedPageBreak/>
        <w:t>媒介上公告。</w:t>
      </w:r>
    </w:p>
    <w:p w:rsidR="003C055A" w:rsidRDefault="00C43280">
      <w:pPr>
        <w:pStyle w:val="2"/>
        <w:ind w:firstLine="482"/>
      </w:pPr>
      <w:r>
        <w:t xml:space="preserve">3.2 </w:t>
      </w:r>
      <w:r>
        <w:t>赎回费率</w:t>
      </w:r>
    </w:p>
    <w:p w:rsidR="003C055A" w:rsidRDefault="00C43280">
      <w:pPr>
        <w:snapToGrid w:val="0"/>
        <w:spacing w:line="360" w:lineRule="auto"/>
        <w:ind w:firstLineChars="200" w:firstLine="480"/>
        <w:rPr>
          <w:rFonts w:ascii="Times New Roman" w:eastAsia="楷体_GB2312" w:hAnsi="Times New Roman" w:cs="Times New Roman"/>
          <w:bCs/>
          <w:color w:val="000000"/>
          <w:sz w:val="24"/>
        </w:rPr>
      </w:pPr>
      <w:r>
        <w:rPr>
          <w:rFonts w:ascii="Times New Roman" w:eastAsia="楷体_GB2312" w:hAnsi="Times New Roman" w:cs="Times New Roman"/>
          <w:bCs/>
          <w:color w:val="000000"/>
          <w:sz w:val="24"/>
        </w:rPr>
        <w:t>本基金不收取赎回费。</w:t>
      </w:r>
    </w:p>
    <w:p w:rsidR="003C055A" w:rsidRDefault="00C43280">
      <w:pPr>
        <w:pStyle w:val="2"/>
        <w:ind w:firstLine="482"/>
      </w:pPr>
      <w:r>
        <w:t xml:space="preserve">3.3 </w:t>
      </w:r>
      <w:r>
        <w:t>其他与赎回相关的事项</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）基金管理人可以在基金合同约定的范围内调整费率或收费方式，并最迟应于新的费率或收费方式实施日前依照《信息披露办法》的有关规定在规定媒介上公告。</w:t>
      </w:r>
    </w:p>
    <w:p w:rsidR="003C055A" w:rsidRDefault="00C43280">
      <w:pPr>
        <w:spacing w:line="360" w:lineRule="auto"/>
        <w:ind w:firstLineChars="200" w:firstLine="480"/>
        <w:rPr>
          <w:rFonts w:ascii="Times New Roman" w:eastAsia="楷体_GB2312" w:hAnsi="Times New Roman" w:cs="Times New Roman"/>
          <w:sz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当本基金各类基金份额发生大额赎回情形时，基金管理人可以采用摆动定价机制，以确保基金估值的公平性。具体处理原则与操作规范遵循相关法律法规以及监管部门、自律规则的规定。</w:t>
      </w:r>
    </w:p>
    <w:p w:rsidR="003C055A" w:rsidRDefault="003C055A">
      <w:pPr>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hint="eastAsia"/>
        </w:rPr>
        <w:t>4</w:t>
      </w:r>
      <w:r>
        <w:rPr>
          <w:rFonts w:cs="Times New Roman"/>
        </w:rPr>
        <w:t>、转换业务</w:t>
      </w:r>
      <w:r>
        <w:rPr>
          <w:rFonts w:cs="Times New Roman"/>
        </w:rPr>
        <w:t xml:space="preserve"> </w:t>
      </w:r>
    </w:p>
    <w:p w:rsidR="003C055A" w:rsidRDefault="00C43280">
      <w:pPr>
        <w:pStyle w:val="2"/>
        <w:ind w:firstLine="482"/>
      </w:pPr>
      <w:r>
        <w:rPr>
          <w:rFonts w:hint="eastAsia"/>
        </w:rPr>
        <w:t>4</w:t>
      </w:r>
      <w:r>
        <w:t xml:space="preserve">.1 </w:t>
      </w:r>
      <w:r>
        <w:t>转换费率</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）本基金在本公司直销机构（包括直销中心和网上直销交易系统）开通本基金与以下基金之间的转换：</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）中金纯债债券型证券投资基金（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000801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000802</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Pr>
          <w:rFonts w:ascii="Times New Roman" w:eastAsia="楷体_GB2312" w:hAnsi="Times New Roman" w:cs="Times New Roman" w:hint="eastAsia"/>
          <w:sz w:val="24"/>
          <w:szCs w:val="24"/>
        </w:rPr>
        <w:t>）中金现金管家货币市场基金（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000882</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B</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000883</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）中金消费升级股票型证券投资基金（</w:t>
      </w:r>
      <w:r>
        <w:rPr>
          <w:rFonts w:ascii="Times New Roman" w:eastAsia="楷体_GB2312" w:hAnsi="Times New Roman" w:cs="Times New Roman" w:hint="eastAsia"/>
          <w:sz w:val="24"/>
          <w:szCs w:val="24"/>
        </w:rPr>
        <w:t>001193</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4</w:t>
      </w: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003015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003579</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5</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003016</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003578</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）中金金利债券型证券投资基金（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003811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003812</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）中金瑞安量化精选混合型发起式证券投资基金</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005005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005006</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）中金衡优灵活配置混合型证券投资基金（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005489</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005490</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9</w:t>
      </w:r>
      <w:r>
        <w:rPr>
          <w:rFonts w:ascii="Times New Roman" w:eastAsia="楷体_GB2312" w:hAnsi="Times New Roman" w:cs="Times New Roman" w:hint="eastAsia"/>
          <w:sz w:val="24"/>
          <w:szCs w:val="24"/>
        </w:rPr>
        <w:t>）中金金元债券型证券投资基金（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006570</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006571</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10</w:t>
      </w:r>
      <w:r>
        <w:rPr>
          <w:rFonts w:ascii="Times New Roman" w:eastAsia="楷体_GB2312" w:hAnsi="Times New Roman" w:cs="Times New Roman" w:hint="eastAsia"/>
          <w:sz w:val="24"/>
          <w:szCs w:val="24"/>
        </w:rPr>
        <w:t>）中金瑞和灵活配置混合型证券投资基金（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006277</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006278</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11</w:t>
      </w:r>
      <w:r>
        <w:rPr>
          <w:rFonts w:ascii="Times New Roman" w:eastAsia="楷体_GB2312" w:hAnsi="Times New Roman" w:cs="Times New Roman" w:hint="eastAsia"/>
          <w:sz w:val="24"/>
          <w:szCs w:val="24"/>
        </w:rPr>
        <w:t>）中金</w:t>
      </w:r>
      <w:r>
        <w:rPr>
          <w:rFonts w:ascii="Times New Roman" w:eastAsia="楷体_GB2312" w:hAnsi="Times New Roman" w:cs="Times New Roman" w:hint="eastAsia"/>
          <w:sz w:val="24"/>
          <w:szCs w:val="24"/>
        </w:rPr>
        <w:t>MSCI</w:t>
      </w:r>
      <w:r>
        <w:rPr>
          <w:rFonts w:ascii="Times New Roman" w:eastAsia="楷体_GB2312" w:hAnsi="Times New Roman" w:cs="Times New Roman" w:hint="eastAsia"/>
          <w:sz w:val="24"/>
          <w:szCs w:val="24"/>
        </w:rPr>
        <w:t>中国</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股国际质量指数发起式证券投资基金（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006341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006342</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12</w:t>
      </w:r>
      <w:r>
        <w:rPr>
          <w:rFonts w:ascii="Times New Roman" w:eastAsia="楷体_GB2312" w:hAnsi="Times New Roman" w:cs="Times New Roman" w:hint="eastAsia"/>
          <w:sz w:val="24"/>
          <w:szCs w:val="24"/>
        </w:rPr>
        <w:t>）中金新医药股票型证券投资基金（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006981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007005</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13</w:t>
      </w:r>
      <w:r>
        <w:rPr>
          <w:rFonts w:ascii="Times New Roman" w:eastAsia="楷体_GB2312" w:hAnsi="Times New Roman" w:cs="Times New Roman" w:hint="eastAsia"/>
          <w:sz w:val="24"/>
          <w:szCs w:val="24"/>
        </w:rPr>
        <w:t>）中金成长精选混合型证券投资基金（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010951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010952</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14</w:t>
      </w:r>
      <w:r>
        <w:rPr>
          <w:rFonts w:ascii="Times New Roman" w:eastAsia="楷体_GB2312" w:hAnsi="Times New Roman" w:cs="Times New Roman" w:hint="eastAsia"/>
          <w:sz w:val="24"/>
          <w:szCs w:val="24"/>
        </w:rPr>
        <w:t>）中金恒远一年持有期混合型证券投资基金（</w:t>
      </w:r>
      <w:r>
        <w:rPr>
          <w:rFonts w:ascii="Times New Roman" w:eastAsia="楷体_GB2312" w:hAnsi="Times New Roman" w:cs="Times New Roman" w:hint="eastAsia"/>
          <w:sz w:val="24"/>
          <w:szCs w:val="24"/>
        </w:rPr>
        <w:t>011293</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15</w:t>
      </w:r>
      <w:r>
        <w:rPr>
          <w:rFonts w:ascii="Times New Roman" w:eastAsia="楷体_GB2312" w:hAnsi="Times New Roman" w:cs="Times New Roman" w:hint="eastAsia"/>
          <w:sz w:val="24"/>
          <w:szCs w:val="24"/>
        </w:rPr>
        <w:t>）中金鑫瑞优选一年持有期灵活配置混合型证券投资基金（</w:t>
      </w:r>
      <w:r>
        <w:rPr>
          <w:rFonts w:ascii="Times New Roman" w:eastAsia="楷体_GB2312" w:hAnsi="Times New Roman" w:cs="Times New Roman" w:hint="eastAsia"/>
          <w:sz w:val="24"/>
          <w:szCs w:val="24"/>
        </w:rPr>
        <w:t>011703</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16</w:t>
      </w:r>
      <w:r>
        <w:rPr>
          <w:rFonts w:ascii="Times New Roman" w:eastAsia="楷体_GB2312" w:hAnsi="Times New Roman" w:cs="Times New Roman" w:hint="eastAsia"/>
          <w:sz w:val="24"/>
          <w:szCs w:val="24"/>
        </w:rPr>
        <w:t>）中金安益</w:t>
      </w:r>
      <w:r>
        <w:rPr>
          <w:rFonts w:ascii="Times New Roman" w:eastAsia="楷体_GB2312" w:hAnsi="Times New Roman" w:cs="Times New Roman" w:hint="eastAsia"/>
          <w:sz w:val="24"/>
          <w:szCs w:val="24"/>
        </w:rPr>
        <w:t>30</w:t>
      </w:r>
      <w:r>
        <w:rPr>
          <w:rFonts w:ascii="Times New Roman" w:eastAsia="楷体_GB2312" w:hAnsi="Times New Roman" w:cs="Times New Roman" w:hint="eastAsia"/>
          <w:sz w:val="24"/>
          <w:szCs w:val="24"/>
        </w:rPr>
        <w:t>天滚动持有短债债券型发起式证券投资基金（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013111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013112</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17</w:t>
      </w:r>
      <w:r>
        <w:rPr>
          <w:rFonts w:ascii="Times New Roman" w:eastAsia="楷体_GB2312" w:hAnsi="Times New Roman" w:cs="Times New Roman" w:hint="eastAsia"/>
          <w:sz w:val="24"/>
          <w:szCs w:val="24"/>
        </w:rPr>
        <w:t>）中金金信债券型证券投资基金（</w:t>
      </w:r>
      <w:r>
        <w:rPr>
          <w:rFonts w:ascii="Times New Roman" w:eastAsia="楷体_GB2312" w:hAnsi="Times New Roman" w:cs="Times New Roman" w:hint="eastAsia"/>
          <w:sz w:val="24"/>
          <w:szCs w:val="24"/>
        </w:rPr>
        <w:t>013140</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18</w:t>
      </w:r>
      <w:r>
        <w:rPr>
          <w:rFonts w:ascii="Times New Roman" w:eastAsia="楷体_GB2312" w:hAnsi="Times New Roman" w:cs="Times New Roman" w:hint="eastAsia"/>
          <w:sz w:val="24"/>
          <w:szCs w:val="24"/>
        </w:rPr>
        <w:t>）中金稳健增长混合型证券投资基金（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013983</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013984</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19</w:t>
      </w:r>
      <w:r>
        <w:rPr>
          <w:rFonts w:ascii="Times New Roman" w:eastAsia="楷体_GB2312" w:hAnsi="Times New Roman" w:cs="Times New Roman"/>
          <w:sz w:val="24"/>
          <w:szCs w:val="24"/>
        </w:rPr>
        <w:t>）中金景气驱动混合型发起式证券投资基金（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015633</w:t>
      </w:r>
      <w:r>
        <w:rPr>
          <w:rFonts w:ascii="Times New Roman" w:eastAsia="楷体_GB2312" w:hAnsi="Times New Roman" w:cs="Times New Roman"/>
          <w:sz w:val="24"/>
          <w:szCs w:val="24"/>
        </w:rPr>
        <w:t>，</w:t>
      </w:r>
      <w:r>
        <w:rPr>
          <w:rFonts w:ascii="Times New Roman" w:eastAsia="楷体_GB2312" w:hAnsi="Times New Roman" w:cs="Times New Roman"/>
          <w:sz w:val="24"/>
          <w:szCs w:val="24"/>
        </w:rPr>
        <w:t>C</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015634</w:t>
      </w:r>
      <w:r>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w:t>
      </w:r>
      <w:r>
        <w:rPr>
          <w:rFonts w:ascii="Times New Roman" w:eastAsia="楷体_GB2312" w:hAnsi="Times New Roman" w:cs="Times New Roman" w:hint="eastAsia"/>
          <w:sz w:val="24"/>
          <w:szCs w:val="24"/>
        </w:rPr>
        <w:t>）中金中证同业存单</w:t>
      </w:r>
      <w:r>
        <w:rPr>
          <w:rFonts w:ascii="Times New Roman" w:eastAsia="楷体_GB2312" w:hAnsi="Times New Roman" w:cs="Times New Roman" w:hint="eastAsia"/>
          <w:sz w:val="24"/>
          <w:szCs w:val="24"/>
        </w:rPr>
        <w:t>AAA</w:t>
      </w:r>
      <w:r>
        <w:rPr>
          <w:rFonts w:ascii="Times New Roman" w:eastAsia="楷体_GB2312" w:hAnsi="Times New Roman" w:cs="Times New Roman" w:hint="eastAsia"/>
          <w:sz w:val="24"/>
          <w:szCs w:val="24"/>
        </w:rPr>
        <w:t>指数</w:t>
      </w: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天持有期发起式证券投资基金（</w:t>
      </w:r>
      <w:r>
        <w:rPr>
          <w:rFonts w:ascii="Times New Roman" w:eastAsia="楷体_GB2312" w:hAnsi="Times New Roman" w:cs="Times New Roman" w:hint="eastAsia"/>
          <w:sz w:val="24"/>
          <w:szCs w:val="24"/>
        </w:rPr>
        <w:t>015646</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21</w:t>
      </w:r>
      <w:r>
        <w:rPr>
          <w:rFonts w:ascii="Times New Roman" w:eastAsia="楷体_GB2312" w:hAnsi="Times New Roman" w:cs="Times New Roman" w:hint="eastAsia"/>
          <w:sz w:val="24"/>
          <w:szCs w:val="24"/>
        </w:rPr>
        <w:t>）中金金誉债券型证券投资基金（</w:t>
      </w:r>
      <w:r>
        <w:rPr>
          <w:rFonts w:ascii="Times New Roman" w:eastAsia="楷体_GB2312" w:hAnsi="Times New Roman" w:cs="Times New Roman" w:hint="eastAsia"/>
          <w:sz w:val="24"/>
          <w:szCs w:val="24"/>
        </w:rPr>
        <w:t>015580</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22</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500ESG</w:t>
      </w:r>
      <w:r>
        <w:rPr>
          <w:rFonts w:ascii="Times New Roman" w:eastAsia="楷体_GB2312" w:hAnsi="Times New Roman" w:cs="Times New Roman" w:hint="eastAsia"/>
          <w:sz w:val="24"/>
          <w:szCs w:val="24"/>
        </w:rPr>
        <w:t>基准指数增强型证券投资基金（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016680</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016681</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23</w:t>
      </w:r>
      <w:r>
        <w:rPr>
          <w:rFonts w:ascii="Times New Roman" w:eastAsia="楷体_GB2312" w:hAnsi="Times New Roman" w:cs="Times New Roman" w:hint="eastAsia"/>
          <w:sz w:val="24"/>
          <w:szCs w:val="24"/>
        </w:rPr>
        <w:t>）中金华证清洁能源主题指数发起式证券投资基金（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016915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016916</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24</w:t>
      </w:r>
      <w:r>
        <w:rPr>
          <w:rFonts w:ascii="Times New Roman" w:eastAsia="楷体_GB2312" w:hAnsi="Times New Roman" w:cs="Times New Roman"/>
          <w:sz w:val="24"/>
          <w:szCs w:val="24"/>
        </w:rPr>
        <w:t>）中金安盈</w:t>
      </w:r>
      <w:r>
        <w:rPr>
          <w:rFonts w:ascii="Times New Roman" w:eastAsia="楷体_GB2312" w:hAnsi="Times New Roman" w:cs="Times New Roman"/>
          <w:sz w:val="24"/>
          <w:szCs w:val="24"/>
        </w:rPr>
        <w:t>90</w:t>
      </w:r>
      <w:r>
        <w:rPr>
          <w:rFonts w:ascii="Times New Roman" w:eastAsia="楷体_GB2312" w:hAnsi="Times New Roman" w:cs="Times New Roman"/>
          <w:sz w:val="24"/>
          <w:szCs w:val="24"/>
        </w:rPr>
        <w:t>天持有期中短债债券型证券投资基金（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016607</w:t>
      </w:r>
      <w:r>
        <w:rPr>
          <w:rFonts w:ascii="Times New Roman" w:eastAsia="楷体_GB2312" w:hAnsi="Times New Roman" w:cs="Times New Roman"/>
          <w:sz w:val="24"/>
          <w:szCs w:val="24"/>
        </w:rPr>
        <w:t>，</w:t>
      </w:r>
      <w:r>
        <w:rPr>
          <w:rFonts w:ascii="Times New Roman" w:eastAsia="楷体_GB2312" w:hAnsi="Times New Roman" w:cs="Times New Roman"/>
          <w:sz w:val="24"/>
          <w:szCs w:val="24"/>
        </w:rPr>
        <w:t>C</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016608</w:t>
      </w:r>
      <w:r>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25</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1000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017733</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017734</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26</w:t>
      </w:r>
      <w:r>
        <w:rPr>
          <w:rFonts w:ascii="Times New Roman" w:eastAsia="楷体_GB2312" w:hAnsi="Times New Roman" w:cs="Times New Roman" w:hint="eastAsia"/>
          <w:sz w:val="24"/>
          <w:szCs w:val="24"/>
        </w:rPr>
        <w:t>）中金恒新</w:t>
      </w:r>
      <w:r>
        <w:rPr>
          <w:rFonts w:ascii="Times New Roman" w:eastAsia="楷体_GB2312" w:hAnsi="Times New Roman" w:cs="Times New Roman" w:hint="eastAsia"/>
          <w:sz w:val="24"/>
          <w:szCs w:val="24"/>
        </w:rPr>
        <w:t>90</w:t>
      </w:r>
      <w:r>
        <w:rPr>
          <w:rFonts w:ascii="Times New Roman" w:eastAsia="楷体_GB2312" w:hAnsi="Times New Roman" w:cs="Times New Roman" w:hint="eastAsia"/>
          <w:sz w:val="24"/>
          <w:szCs w:val="24"/>
        </w:rPr>
        <w:t>天持有期债券型发起式证券投资基金（</w:t>
      </w:r>
      <w:r>
        <w:rPr>
          <w:rFonts w:ascii="Times New Roman" w:eastAsia="楷体_GB2312" w:hAnsi="Times New Roman" w:cs="Times New Roman" w:hint="eastAsia"/>
          <w:sz w:val="24"/>
          <w:szCs w:val="24"/>
        </w:rPr>
        <w:t>018481</w:t>
      </w:r>
      <w:r>
        <w:rPr>
          <w:rFonts w:ascii="Times New Roman" w:eastAsia="楷体_GB2312" w:hAnsi="Times New Roman" w:cs="Times New Roman" w:hint="eastAsia"/>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27</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中金先进制造混合型证券投资基金（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018139</w:t>
      </w:r>
      <w:r>
        <w:rPr>
          <w:rFonts w:ascii="Times New Roman" w:eastAsia="楷体_GB2312" w:hAnsi="Times New Roman" w:cs="Times New Roman"/>
          <w:sz w:val="24"/>
          <w:szCs w:val="24"/>
        </w:rPr>
        <w:t>，</w:t>
      </w:r>
      <w:r>
        <w:rPr>
          <w:rFonts w:ascii="Times New Roman" w:eastAsia="楷体_GB2312" w:hAnsi="Times New Roman" w:cs="Times New Roman"/>
          <w:sz w:val="24"/>
          <w:szCs w:val="24"/>
        </w:rPr>
        <w:t>C</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018140</w:t>
      </w:r>
      <w:r>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28</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中金金安债券型证券投资基金（</w:t>
      </w:r>
      <w:r>
        <w:rPr>
          <w:rFonts w:ascii="Times New Roman" w:eastAsia="楷体_GB2312" w:hAnsi="Times New Roman" w:cs="Times New Roman"/>
          <w:sz w:val="24"/>
          <w:szCs w:val="24"/>
        </w:rPr>
        <w:t>018814</w:t>
      </w:r>
      <w:r>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本基金管理人今后新发行的其他开放式证券投资基金将视具体情况决定是否开展基金转换业务，届时将另行公告。</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）投资者办理本基金转换业务时，基金转换费用的计算将按照本公司于</w:t>
      </w:r>
      <w:r>
        <w:rPr>
          <w:rFonts w:ascii="Times New Roman" w:eastAsia="楷体_GB2312" w:hAnsi="Times New Roman" w:cs="Times New Roman"/>
          <w:sz w:val="24"/>
          <w:szCs w:val="24"/>
        </w:rPr>
        <w:t>2014</w:t>
      </w:r>
      <w:r>
        <w:rPr>
          <w:rFonts w:ascii="Times New Roman" w:eastAsia="楷体_GB2312" w:hAnsi="Times New Roman" w:cs="Times New Roman"/>
          <w:sz w:val="24"/>
          <w:szCs w:val="24"/>
        </w:rPr>
        <w:t>年</w:t>
      </w:r>
      <w:r>
        <w:rPr>
          <w:rFonts w:ascii="Times New Roman" w:eastAsia="楷体_GB2312" w:hAnsi="Times New Roman" w:cs="Times New Roman"/>
          <w:sz w:val="24"/>
          <w:szCs w:val="24"/>
        </w:rPr>
        <w:t>12</w:t>
      </w:r>
      <w:r>
        <w:rPr>
          <w:rFonts w:ascii="Times New Roman" w:eastAsia="楷体_GB2312" w:hAnsi="Times New Roman" w:cs="Times New Roman"/>
          <w:sz w:val="24"/>
          <w:szCs w:val="24"/>
        </w:rPr>
        <w:t>月</w:t>
      </w:r>
      <w:r>
        <w:rPr>
          <w:rFonts w:ascii="Times New Roman" w:eastAsia="楷体_GB2312" w:hAnsi="Times New Roman" w:cs="Times New Roman"/>
          <w:sz w:val="24"/>
          <w:szCs w:val="24"/>
        </w:rPr>
        <w:t>25</w:t>
      </w:r>
      <w:r>
        <w:rPr>
          <w:rFonts w:ascii="Times New Roman" w:eastAsia="楷体_GB2312" w:hAnsi="Times New Roman" w:cs="Times New Roman"/>
          <w:sz w:val="24"/>
          <w:szCs w:val="24"/>
        </w:rPr>
        <w:t>日刊登的《中金基金管理有限公司关于直销</w:t>
      </w:r>
      <w:r>
        <w:rPr>
          <w:rFonts w:ascii="Times New Roman" w:eastAsia="楷体_GB2312" w:hAnsi="Times New Roman" w:cs="Times New Roman" w:hint="eastAsia"/>
          <w:sz w:val="24"/>
          <w:szCs w:val="24"/>
        </w:rPr>
        <w:t>中心</w:t>
      </w:r>
      <w:r>
        <w:rPr>
          <w:rFonts w:ascii="Times New Roman" w:eastAsia="楷体_GB2312" w:hAnsi="Times New Roman" w:cs="Times New Roman"/>
          <w:sz w:val="24"/>
          <w:szCs w:val="24"/>
        </w:rPr>
        <w:t>开通旗下部分基金转换业务的公告》及相关公告执行。</w:t>
      </w:r>
    </w:p>
    <w:p w:rsidR="003C055A" w:rsidRDefault="00C43280">
      <w:pPr>
        <w:pStyle w:val="2"/>
        <w:ind w:firstLine="482"/>
      </w:pPr>
      <w:r>
        <w:rPr>
          <w:rFonts w:hint="eastAsia"/>
        </w:rPr>
        <w:t>4</w:t>
      </w:r>
      <w:r>
        <w:t xml:space="preserve">.2 </w:t>
      </w:r>
      <w:r>
        <w:t>其他与转换相关的事项</w:t>
      </w:r>
      <w:r>
        <w:t xml:space="preserve"> </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）基金转换业务涉及的两只基金必须都是由同一销售机构销售、同一基金管理人管理、并在同一注册登记机构处注册登记的基金。</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）投资者提出的基金转换申请，在当日交易时间结束之前可以撤销，交易时间结束后不得撤销。</w:t>
      </w:r>
    </w:p>
    <w:p w:rsidR="003C055A" w:rsidRDefault="00C43280" w:rsidP="008D3544">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）基金转换的业务规则将按照本基金管理人于</w:t>
      </w:r>
      <w:r>
        <w:rPr>
          <w:rFonts w:ascii="Times New Roman" w:eastAsia="楷体_GB2312" w:hAnsi="Times New Roman" w:cs="Times New Roman"/>
          <w:sz w:val="24"/>
          <w:szCs w:val="24"/>
        </w:rPr>
        <w:t>2014</w:t>
      </w:r>
      <w:r>
        <w:rPr>
          <w:rFonts w:ascii="Times New Roman" w:eastAsia="楷体_GB2312" w:hAnsi="Times New Roman" w:cs="Times New Roman"/>
          <w:sz w:val="24"/>
          <w:szCs w:val="24"/>
        </w:rPr>
        <w:t>年</w:t>
      </w:r>
      <w:r>
        <w:rPr>
          <w:rFonts w:ascii="Times New Roman" w:eastAsia="楷体_GB2312" w:hAnsi="Times New Roman" w:cs="Times New Roman"/>
          <w:sz w:val="24"/>
          <w:szCs w:val="24"/>
        </w:rPr>
        <w:t>12</w:t>
      </w:r>
      <w:r>
        <w:rPr>
          <w:rFonts w:ascii="Times New Roman" w:eastAsia="楷体_GB2312" w:hAnsi="Times New Roman" w:cs="Times New Roman"/>
          <w:sz w:val="24"/>
          <w:szCs w:val="24"/>
        </w:rPr>
        <w:t>月</w:t>
      </w:r>
      <w:r>
        <w:rPr>
          <w:rFonts w:ascii="Times New Roman" w:eastAsia="楷体_GB2312" w:hAnsi="Times New Roman" w:cs="Times New Roman"/>
          <w:sz w:val="24"/>
          <w:szCs w:val="24"/>
        </w:rPr>
        <w:t>25</w:t>
      </w:r>
      <w:r>
        <w:rPr>
          <w:rFonts w:ascii="Times New Roman" w:eastAsia="楷体_GB2312" w:hAnsi="Times New Roman" w:cs="Times New Roman"/>
          <w:sz w:val="24"/>
          <w:szCs w:val="24"/>
        </w:rPr>
        <w:t>日在规定媒介刊登的《中金基金管理有限公司关于直销</w:t>
      </w:r>
      <w:r>
        <w:rPr>
          <w:rFonts w:ascii="Times New Roman" w:eastAsia="楷体_GB2312" w:hAnsi="Times New Roman" w:cs="Times New Roman" w:hint="eastAsia"/>
          <w:sz w:val="24"/>
          <w:szCs w:val="24"/>
        </w:rPr>
        <w:t>中心</w:t>
      </w:r>
      <w:r>
        <w:rPr>
          <w:rFonts w:ascii="Times New Roman" w:eastAsia="楷体_GB2312" w:hAnsi="Times New Roman" w:cs="Times New Roman"/>
          <w:sz w:val="24"/>
          <w:szCs w:val="24"/>
        </w:rPr>
        <w:t>开通旗下部分基金转换业务的公告》执行，其他未尽规则详见公司官网披露的相关公告或规则。</w:t>
      </w:r>
    </w:p>
    <w:p w:rsidR="003C055A" w:rsidRDefault="00C43280" w:rsidP="008D3544">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）本基金管理人所管理基金转换业务的解释权归本基金管理人。</w:t>
      </w:r>
    </w:p>
    <w:p w:rsidR="003C055A" w:rsidRDefault="003C055A" w:rsidP="008D3544">
      <w:pPr>
        <w:spacing w:line="360" w:lineRule="auto"/>
        <w:ind w:firstLineChars="200" w:firstLine="480"/>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hint="eastAsia"/>
        </w:rPr>
        <w:t>5</w:t>
      </w:r>
      <w:r>
        <w:rPr>
          <w:rFonts w:cs="Times New Roman"/>
        </w:rPr>
        <w:t>、基金销售机构</w:t>
      </w:r>
    </w:p>
    <w:p w:rsidR="003C055A" w:rsidRDefault="00C43280">
      <w:pPr>
        <w:pStyle w:val="2"/>
        <w:ind w:firstLine="482"/>
      </w:pPr>
      <w:r>
        <w:rPr>
          <w:rFonts w:hint="eastAsia"/>
        </w:rPr>
        <w:t>5</w:t>
      </w:r>
      <w:r>
        <w:t>.1</w:t>
      </w:r>
      <w:r>
        <w:t>直销机构</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）中金基金管理有限公司直销柜台</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住所：北京市朝阳区建国门外大街</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号国贸写字楼</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座</w:t>
      </w:r>
      <w:r>
        <w:rPr>
          <w:rFonts w:ascii="Times New Roman" w:eastAsia="楷体_GB2312" w:hAnsi="Times New Roman" w:cs="Times New Roman"/>
          <w:sz w:val="24"/>
          <w:szCs w:val="24"/>
        </w:rPr>
        <w:t>26</w:t>
      </w:r>
      <w:r>
        <w:rPr>
          <w:rFonts w:ascii="Times New Roman" w:eastAsia="楷体_GB2312" w:hAnsi="Times New Roman" w:cs="Times New Roman"/>
          <w:sz w:val="24"/>
          <w:szCs w:val="24"/>
        </w:rPr>
        <w:t>层</w:t>
      </w:r>
      <w:r>
        <w:rPr>
          <w:rFonts w:ascii="Times New Roman" w:eastAsia="楷体_GB2312" w:hAnsi="Times New Roman" w:cs="Times New Roman"/>
          <w:sz w:val="24"/>
          <w:szCs w:val="24"/>
        </w:rPr>
        <w:t>05</w:t>
      </w:r>
      <w:r>
        <w:rPr>
          <w:rFonts w:ascii="Times New Roman" w:eastAsia="楷体_GB2312" w:hAnsi="Times New Roman" w:cs="Times New Roman"/>
          <w:sz w:val="24"/>
          <w:szCs w:val="24"/>
        </w:rPr>
        <w:t>室</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办公地址：北京市朝阳区建国门外大街</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号国贸大厦</w:t>
      </w:r>
      <w:r>
        <w:rPr>
          <w:rFonts w:ascii="Times New Roman" w:eastAsia="楷体_GB2312" w:hAnsi="Times New Roman" w:cs="Times New Roman"/>
          <w:sz w:val="24"/>
          <w:szCs w:val="24"/>
        </w:rPr>
        <w:t>B</w:t>
      </w:r>
      <w:r>
        <w:rPr>
          <w:rFonts w:ascii="Times New Roman" w:eastAsia="楷体_GB2312" w:hAnsi="Times New Roman" w:cs="Times New Roman"/>
          <w:sz w:val="24"/>
          <w:szCs w:val="24"/>
        </w:rPr>
        <w:t>座</w:t>
      </w:r>
      <w:r>
        <w:rPr>
          <w:rFonts w:ascii="Times New Roman" w:eastAsia="楷体_GB2312" w:hAnsi="Times New Roman" w:cs="Times New Roman"/>
          <w:sz w:val="24"/>
          <w:szCs w:val="24"/>
        </w:rPr>
        <w:t>43</w:t>
      </w:r>
      <w:r>
        <w:rPr>
          <w:rFonts w:ascii="Times New Roman" w:eastAsia="楷体_GB2312" w:hAnsi="Times New Roman" w:cs="Times New Roman"/>
          <w:sz w:val="24"/>
          <w:szCs w:val="24"/>
        </w:rPr>
        <w:t>层</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法定代表人：胡长生</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联系人：中金基金客服组</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客户服务电话：</w:t>
      </w:r>
      <w:r>
        <w:rPr>
          <w:rFonts w:ascii="Times New Roman" w:eastAsia="楷体_GB2312" w:hAnsi="Times New Roman" w:cs="Times New Roman"/>
          <w:sz w:val="24"/>
          <w:szCs w:val="24"/>
        </w:rPr>
        <w:t>400-868-1166</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传真：</w:t>
      </w:r>
      <w:r>
        <w:rPr>
          <w:rFonts w:ascii="Times New Roman" w:eastAsia="楷体_GB2312" w:hAnsi="Times New Roman" w:cs="Times New Roman"/>
          <w:sz w:val="24"/>
          <w:szCs w:val="24"/>
        </w:rPr>
        <w:t>010-66159121</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公司网站：</w:t>
      </w:r>
      <w:r>
        <w:rPr>
          <w:rFonts w:ascii="Times New Roman" w:eastAsia="楷体_GB2312" w:hAnsi="Times New Roman" w:cs="Times New Roman"/>
          <w:sz w:val="24"/>
          <w:szCs w:val="24"/>
        </w:rPr>
        <w:t>http://www.ciccfund.com</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）中金基金管理有限公司网上直销</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微信公众号：中金基金</w:t>
      </w:r>
    </w:p>
    <w:p w:rsidR="003C055A" w:rsidRDefault="00C43280">
      <w:pPr>
        <w:pStyle w:val="2"/>
        <w:ind w:firstLine="482"/>
      </w:pPr>
      <w:r>
        <w:rPr>
          <w:rFonts w:hint="eastAsia"/>
        </w:rPr>
        <w:t>5</w:t>
      </w:r>
      <w:r>
        <w:t>.2</w:t>
      </w:r>
      <w:r>
        <w:t>其他销售机构</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w:t>
      </w:r>
      <w:r w:rsidRPr="008D3544">
        <w:rPr>
          <w:rFonts w:ascii="Times New Roman" w:eastAsia="楷体_GB2312" w:hAnsi="Times New Roman" w:cs="Times New Roman"/>
          <w:sz w:val="24"/>
          <w:szCs w:val="24"/>
          <w:lang/>
        </w:rPr>
        <w:t>）招商银行股份有限公司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http://www.cmbchina.com/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95555</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w:t>
      </w:r>
      <w:r w:rsidRPr="008D3544">
        <w:rPr>
          <w:rFonts w:ascii="Times New Roman" w:eastAsia="楷体_GB2312" w:hAnsi="Times New Roman" w:cs="Times New Roman"/>
          <w:sz w:val="24"/>
          <w:szCs w:val="24"/>
          <w:lang/>
        </w:rPr>
        <w:t>）兴业银行股份有限公司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http://www.cib.com.cn/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95561</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w:t>
      </w:r>
      <w:r w:rsidRPr="008D3544">
        <w:rPr>
          <w:rFonts w:ascii="Times New Roman" w:eastAsia="楷体_GB2312" w:hAnsi="Times New Roman" w:cs="Times New Roman"/>
          <w:sz w:val="24"/>
          <w:szCs w:val="24"/>
          <w:lang/>
        </w:rPr>
        <w:t>）中信期货有限公司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http://www.citicsf.com/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400-990-8826</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4</w:t>
      </w:r>
      <w:r w:rsidRPr="008D3544">
        <w:rPr>
          <w:rFonts w:ascii="Times New Roman" w:eastAsia="楷体_GB2312" w:hAnsi="Times New Roman" w:cs="Times New Roman"/>
          <w:sz w:val="24"/>
          <w:szCs w:val="24"/>
          <w:lang/>
        </w:rPr>
        <w:t>）国泰君安证券股份有限公司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http://www.gtja.com/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95521</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5</w:t>
      </w:r>
      <w:r w:rsidRPr="008D3544">
        <w:rPr>
          <w:rFonts w:ascii="Times New Roman" w:eastAsia="楷体_GB2312" w:hAnsi="Times New Roman" w:cs="Times New Roman"/>
          <w:sz w:val="24"/>
          <w:szCs w:val="24"/>
          <w:lang/>
        </w:rPr>
        <w:t>）中信建投证券股份有限公司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http://www.csc108.com/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400-888-8108</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6</w:t>
      </w:r>
      <w:r w:rsidRPr="008D3544">
        <w:rPr>
          <w:rFonts w:ascii="Times New Roman" w:eastAsia="楷体_GB2312" w:hAnsi="Times New Roman" w:cs="Times New Roman"/>
          <w:sz w:val="24"/>
          <w:szCs w:val="24"/>
          <w:lang/>
        </w:rPr>
        <w:t>）招商证券股份有限公司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http://www.cmschina.com/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95565</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7</w:t>
      </w:r>
      <w:r w:rsidRPr="008D3544">
        <w:rPr>
          <w:rFonts w:ascii="Times New Roman" w:eastAsia="楷体_GB2312" w:hAnsi="Times New Roman" w:cs="Times New Roman"/>
          <w:sz w:val="24"/>
          <w:szCs w:val="24"/>
          <w:lang/>
        </w:rPr>
        <w:t>）中信证券股份有限公司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http://www.cs.ecitic.com/newsite/</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95548</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8</w:t>
      </w:r>
      <w:r w:rsidRPr="008D3544">
        <w:rPr>
          <w:rFonts w:ascii="Times New Roman" w:eastAsia="楷体_GB2312" w:hAnsi="Times New Roman" w:cs="Times New Roman"/>
          <w:sz w:val="24"/>
          <w:szCs w:val="24"/>
          <w:lang/>
        </w:rPr>
        <w:t>）中国银河证券股份有限公司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http://www.chinastock.com.cn/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95551</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9</w:t>
      </w:r>
      <w:r w:rsidRPr="008D3544">
        <w:rPr>
          <w:rFonts w:ascii="Times New Roman" w:eastAsia="楷体_GB2312" w:hAnsi="Times New Roman" w:cs="Times New Roman"/>
          <w:sz w:val="24"/>
          <w:szCs w:val="24"/>
          <w:lang/>
        </w:rPr>
        <w:t>）海通证券股份有限公司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http://www.htsec.com/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95553</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10</w:t>
      </w:r>
      <w:r w:rsidRPr="008D3544">
        <w:rPr>
          <w:rFonts w:ascii="Times New Roman" w:eastAsia="楷体_GB2312" w:hAnsi="Times New Roman" w:cs="Times New Roman"/>
          <w:sz w:val="24"/>
          <w:szCs w:val="24"/>
          <w:lang/>
        </w:rPr>
        <w:t>）申万宏源证券有限公司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https://www.swhysc.com/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95523</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11</w:t>
      </w:r>
      <w:r w:rsidRPr="008D3544">
        <w:rPr>
          <w:rFonts w:ascii="Times New Roman" w:eastAsia="楷体_GB2312" w:hAnsi="Times New Roman" w:cs="Times New Roman"/>
          <w:sz w:val="24"/>
          <w:szCs w:val="24"/>
          <w:lang/>
        </w:rPr>
        <w:t>）兴业证券股份有限公司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https://www.xyzq.com.cn/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95562</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12</w:t>
      </w:r>
      <w:r w:rsidRPr="008D3544">
        <w:rPr>
          <w:rFonts w:ascii="Times New Roman" w:eastAsia="楷体_GB2312" w:hAnsi="Times New Roman" w:cs="Times New Roman"/>
          <w:sz w:val="24"/>
          <w:szCs w:val="24"/>
          <w:lang/>
        </w:rPr>
        <w:t>）长江证券股份有限公司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https://www.95579.com/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95579</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13</w:t>
      </w:r>
      <w:r w:rsidRPr="008D3544">
        <w:rPr>
          <w:rFonts w:ascii="Times New Roman" w:eastAsia="楷体_GB2312" w:hAnsi="Times New Roman" w:cs="Times New Roman"/>
          <w:sz w:val="24"/>
          <w:szCs w:val="24"/>
          <w:lang/>
        </w:rPr>
        <w:t>）安信证券股份有限公司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http://www.essence.com.cn/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95517</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14</w:t>
      </w:r>
      <w:r w:rsidRPr="008D3544">
        <w:rPr>
          <w:rFonts w:ascii="Times New Roman" w:eastAsia="楷体_GB2312" w:hAnsi="Times New Roman" w:cs="Times New Roman"/>
          <w:sz w:val="24"/>
          <w:szCs w:val="24"/>
          <w:lang/>
        </w:rPr>
        <w:t>）湘财证券股份有限公司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https://www.xcsc.com/main/index/index.shtml</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95351</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15</w:t>
      </w:r>
      <w:r w:rsidRPr="008D3544">
        <w:rPr>
          <w:rFonts w:ascii="Times New Roman" w:eastAsia="楷体_GB2312" w:hAnsi="Times New Roman" w:cs="Times New Roman"/>
          <w:sz w:val="24"/>
          <w:szCs w:val="24"/>
          <w:lang/>
        </w:rPr>
        <w:t>）华泰证券股份有限公司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https://www.htsc.com.cn/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95597</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16</w:t>
      </w:r>
      <w:r w:rsidRPr="008D3544">
        <w:rPr>
          <w:rFonts w:ascii="Times New Roman" w:eastAsia="楷体_GB2312" w:hAnsi="Times New Roman" w:cs="Times New Roman"/>
          <w:sz w:val="24"/>
          <w:szCs w:val="24"/>
          <w:lang/>
        </w:rPr>
        <w:t>）中信证券（山东）有限责任公司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http://sd.citics.com/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95548</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17</w:t>
      </w:r>
      <w:r w:rsidRPr="008D3544">
        <w:rPr>
          <w:rFonts w:ascii="Times New Roman" w:eastAsia="楷体_GB2312" w:hAnsi="Times New Roman" w:cs="Times New Roman"/>
          <w:sz w:val="24"/>
          <w:szCs w:val="24"/>
          <w:lang/>
        </w:rPr>
        <w:t>）光大证券股份有限公司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http://www.ebscn.com/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95525</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18</w:t>
      </w:r>
      <w:r w:rsidRPr="008D3544">
        <w:rPr>
          <w:rFonts w:ascii="Times New Roman" w:eastAsia="楷体_GB2312" w:hAnsi="Times New Roman" w:cs="Times New Roman"/>
          <w:sz w:val="24"/>
          <w:szCs w:val="24"/>
          <w:lang/>
        </w:rPr>
        <w:t>）中信证券华南股份有限公司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http://www.gzs.com.cn/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95548</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19</w:t>
      </w:r>
      <w:r w:rsidRPr="008D3544">
        <w:rPr>
          <w:rFonts w:ascii="Times New Roman" w:eastAsia="楷体_GB2312" w:hAnsi="Times New Roman" w:cs="Times New Roman"/>
          <w:sz w:val="24"/>
          <w:szCs w:val="24"/>
          <w:lang/>
        </w:rPr>
        <w:t>）东北证券股份有限公司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https://www.nesc.cn/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95360</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20</w:t>
      </w:r>
      <w:r w:rsidRPr="008D3544">
        <w:rPr>
          <w:rFonts w:ascii="Times New Roman" w:eastAsia="楷体_GB2312" w:hAnsi="Times New Roman" w:cs="Times New Roman"/>
          <w:sz w:val="24"/>
          <w:szCs w:val="24"/>
          <w:lang/>
        </w:rPr>
        <w:t>）大同证券有限责任公司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http://www.dtsbc.com.cn/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4007-121212</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21</w:t>
      </w:r>
      <w:r w:rsidRPr="008D3544">
        <w:rPr>
          <w:rFonts w:ascii="Times New Roman" w:eastAsia="楷体_GB2312" w:hAnsi="Times New Roman" w:cs="Times New Roman"/>
          <w:sz w:val="24"/>
          <w:szCs w:val="24"/>
          <w:lang/>
        </w:rPr>
        <w:t>）国联证券股份有限公司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http://www.glsc.com.cn/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95570</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22</w:t>
      </w:r>
      <w:r w:rsidRPr="008D3544">
        <w:rPr>
          <w:rFonts w:ascii="Times New Roman" w:eastAsia="楷体_GB2312" w:hAnsi="Times New Roman" w:cs="Times New Roman"/>
          <w:sz w:val="24"/>
          <w:szCs w:val="24"/>
          <w:lang/>
        </w:rPr>
        <w:t>）华安证券股份有限公司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http://www.hazq.com/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95318</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23</w:t>
      </w:r>
      <w:r w:rsidRPr="008D3544">
        <w:rPr>
          <w:rFonts w:ascii="Times New Roman" w:eastAsia="楷体_GB2312" w:hAnsi="Times New Roman" w:cs="Times New Roman"/>
          <w:sz w:val="24"/>
          <w:szCs w:val="24"/>
          <w:lang/>
        </w:rPr>
        <w:t>）东海证券股份有限公司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https://www.longone.com.cn/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95531</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24</w:t>
      </w:r>
      <w:r w:rsidRPr="008D3544">
        <w:rPr>
          <w:rFonts w:ascii="Times New Roman" w:eastAsia="楷体_GB2312" w:hAnsi="Times New Roman" w:cs="Times New Roman"/>
          <w:sz w:val="24"/>
          <w:szCs w:val="24"/>
          <w:lang/>
        </w:rPr>
        <w:t>）申万宏源西部证券有限公司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https://www.swhysc.com/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400-889-5523</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25</w:t>
      </w:r>
      <w:r w:rsidRPr="008D3544">
        <w:rPr>
          <w:rFonts w:ascii="Times New Roman" w:eastAsia="楷体_GB2312" w:hAnsi="Times New Roman" w:cs="Times New Roman"/>
          <w:sz w:val="24"/>
          <w:szCs w:val="24"/>
          <w:lang/>
        </w:rPr>
        <w:t>）西部证券股份有限公司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https://www.west95582.com/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95582</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26</w:t>
      </w:r>
      <w:r w:rsidRPr="008D3544">
        <w:rPr>
          <w:rFonts w:ascii="Times New Roman" w:eastAsia="楷体_GB2312" w:hAnsi="Times New Roman" w:cs="Times New Roman"/>
          <w:sz w:val="24"/>
          <w:szCs w:val="24"/>
          <w:lang/>
        </w:rPr>
        <w:t>）中国中金财富证券有限公司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http://www.ciccwm.com/</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95532</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27</w:t>
      </w:r>
      <w:r w:rsidRPr="008D3544">
        <w:rPr>
          <w:rFonts w:ascii="Times New Roman" w:eastAsia="楷体_GB2312" w:hAnsi="Times New Roman" w:cs="Times New Roman"/>
          <w:sz w:val="24"/>
          <w:szCs w:val="24"/>
          <w:lang/>
        </w:rPr>
        <w:t>）国金证券股份有限公司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http://www.gjzq.com.cn/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95310</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28</w:t>
      </w:r>
      <w:r w:rsidRPr="008D3544">
        <w:rPr>
          <w:rFonts w:ascii="Times New Roman" w:eastAsia="楷体_GB2312" w:hAnsi="Times New Roman" w:cs="Times New Roman"/>
          <w:sz w:val="24"/>
          <w:szCs w:val="24"/>
          <w:lang/>
        </w:rPr>
        <w:t>）中泰证券股份有限公司</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https://www.zts.com.cn/</w:t>
      </w:r>
    </w:p>
    <w:p w:rsidR="003C055A" w:rsidRPr="008D3544" w:rsidRDefault="00C43280" w:rsidP="008D3544">
      <w:pPr>
        <w:widowControl/>
        <w:spacing w:line="360" w:lineRule="auto"/>
        <w:ind w:firstLineChars="200" w:firstLine="480"/>
        <w:jc w:val="left"/>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 xml:space="preserve">95538 </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29</w:t>
      </w:r>
      <w:r w:rsidRPr="008D3544">
        <w:rPr>
          <w:rFonts w:ascii="Times New Roman" w:eastAsia="楷体_GB2312" w:hAnsi="Times New Roman" w:cs="Times New Roman" w:hint="eastAsia"/>
          <w:sz w:val="24"/>
          <w:szCs w:val="24"/>
          <w:lang/>
        </w:rPr>
        <w:t>）腾安基金销售（深圳）有限公司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www.txfund.com</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95017</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30</w:t>
      </w:r>
      <w:r w:rsidRPr="008D3544">
        <w:rPr>
          <w:rFonts w:ascii="Times New Roman" w:eastAsia="楷体_GB2312" w:hAnsi="Times New Roman" w:cs="Times New Roman" w:hint="eastAsia"/>
          <w:sz w:val="24"/>
          <w:szCs w:val="24"/>
          <w:lang/>
        </w:rPr>
        <w:t>）上海天天基金销售有限公司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fund.eastmoney.com</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95021</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32</w:t>
      </w:r>
      <w:r w:rsidRPr="008D3544">
        <w:rPr>
          <w:rFonts w:ascii="Times New Roman" w:eastAsia="楷体_GB2312" w:hAnsi="Times New Roman" w:cs="Times New Roman" w:hint="eastAsia"/>
          <w:sz w:val="24"/>
          <w:szCs w:val="24"/>
          <w:lang/>
        </w:rPr>
        <w:t>）上海好买基金销售有限公司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www.howbuy.com</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400-700-9665</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32</w:t>
      </w:r>
      <w:r w:rsidRPr="008D3544">
        <w:rPr>
          <w:rFonts w:ascii="Times New Roman" w:eastAsia="楷体_GB2312" w:hAnsi="Times New Roman" w:cs="Times New Roman" w:hint="eastAsia"/>
          <w:sz w:val="24"/>
          <w:szCs w:val="24"/>
          <w:lang/>
        </w:rPr>
        <w:t>）蚂蚁（杭州）基金销售有限公司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www.fund123.cn</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95188-8</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33</w:t>
      </w:r>
      <w:r w:rsidRPr="008D3544">
        <w:rPr>
          <w:rFonts w:ascii="Times New Roman" w:eastAsia="楷体_GB2312" w:hAnsi="Times New Roman" w:cs="Times New Roman" w:hint="eastAsia"/>
          <w:sz w:val="24"/>
          <w:szCs w:val="24"/>
          <w:lang/>
        </w:rPr>
        <w:t>）上海利得基金销售有限公司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 xml:space="preserve">www.leadfund.com.cn  </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400-032-5885</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34</w:t>
      </w:r>
      <w:r w:rsidRPr="008D3544">
        <w:rPr>
          <w:rFonts w:ascii="Times New Roman" w:eastAsia="楷体_GB2312" w:hAnsi="Times New Roman" w:cs="Times New Roman" w:hint="eastAsia"/>
          <w:sz w:val="24"/>
          <w:szCs w:val="24"/>
          <w:lang/>
        </w:rPr>
        <w:t>）京东肯特瑞基金销售有限公司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kenterui.jd.com</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95118</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w:t>
      </w:r>
      <w:r w:rsidRPr="008D3544">
        <w:rPr>
          <w:rFonts w:ascii="Times New Roman" w:eastAsia="楷体_GB2312" w:hAnsi="Times New Roman" w:cs="Times New Roman"/>
          <w:sz w:val="24"/>
          <w:szCs w:val="24"/>
          <w:lang/>
        </w:rPr>
        <w:t>35</w:t>
      </w:r>
      <w:r w:rsidRPr="008D3544">
        <w:rPr>
          <w:rFonts w:ascii="Times New Roman" w:eastAsia="楷体_GB2312" w:hAnsi="Times New Roman" w:cs="Times New Roman" w:hint="eastAsia"/>
          <w:sz w:val="24"/>
          <w:szCs w:val="24"/>
          <w:lang/>
        </w:rPr>
        <w:t>）珠海盈米基金销售有限公司</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网址：</w:t>
      </w:r>
      <w:r w:rsidRPr="008D3544">
        <w:rPr>
          <w:rFonts w:ascii="Times New Roman" w:eastAsia="楷体_GB2312" w:hAnsi="Times New Roman" w:cs="Times New Roman"/>
          <w:sz w:val="24"/>
          <w:szCs w:val="24"/>
          <w:lang/>
        </w:rPr>
        <w:t>www.yingmi.cn</w:t>
      </w:r>
    </w:p>
    <w:p w:rsidR="003C055A" w:rsidRPr="008D3544" w:rsidRDefault="00C43280" w:rsidP="00C43280">
      <w:pPr>
        <w:spacing w:line="360" w:lineRule="auto"/>
        <w:ind w:firstLine="482"/>
        <w:rPr>
          <w:rFonts w:ascii="Times New Roman" w:eastAsia="楷体_GB2312" w:hAnsi="Times New Roman" w:cs="Times New Roman"/>
          <w:sz w:val="24"/>
          <w:szCs w:val="24"/>
        </w:rPr>
      </w:pPr>
      <w:r w:rsidRPr="008D3544">
        <w:rPr>
          <w:rFonts w:ascii="Times New Roman" w:eastAsia="楷体_GB2312" w:hAnsi="Times New Roman" w:cs="Times New Roman" w:hint="eastAsia"/>
          <w:sz w:val="24"/>
          <w:szCs w:val="24"/>
          <w:lang/>
        </w:rPr>
        <w:t>电话：</w:t>
      </w:r>
      <w:r w:rsidRPr="008D3544">
        <w:rPr>
          <w:rFonts w:ascii="Times New Roman" w:eastAsia="楷体_GB2312" w:hAnsi="Times New Roman" w:cs="Times New Roman"/>
          <w:sz w:val="24"/>
          <w:szCs w:val="24"/>
          <w:lang/>
        </w:rPr>
        <w:t>020-89629066</w:t>
      </w:r>
    </w:p>
    <w:p w:rsidR="003C055A" w:rsidRDefault="00C43280">
      <w:pPr>
        <w:pStyle w:val="2"/>
        <w:ind w:firstLine="482"/>
      </w:pPr>
      <w:r>
        <w:rPr>
          <w:rFonts w:hint="eastAsia"/>
        </w:rPr>
        <w:t>5</w:t>
      </w:r>
      <w:r>
        <w:t>.3</w:t>
      </w:r>
      <w:r>
        <w:t>其他与基金销售机构相关的事项</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）本基金销售机构的转换业务开通情况以基金管理人或销售机构相关公告为准。</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2</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各销售机构网点的地址、营业时间等信息，请参照各销售机构的规定。</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3</w:t>
      </w:r>
      <w:r>
        <w:rPr>
          <w:rFonts w:ascii="Times New Roman" w:eastAsia="楷体_GB2312" w:hAnsi="Times New Roman" w:cs="Times New Roman"/>
          <w:sz w:val="24"/>
          <w:szCs w:val="24"/>
        </w:rPr>
        <w:t>）基金管理人可以根据情况增加或者减少销售机构</w:t>
      </w:r>
      <w:r>
        <w:rPr>
          <w:rFonts w:ascii="Times New Roman" w:eastAsia="楷体_GB2312" w:hAnsi="Times New Roman" w:cs="Times New Roman" w:hint="eastAsia"/>
          <w:sz w:val="24"/>
          <w:szCs w:val="24"/>
        </w:rPr>
        <w:t>，并在基金管理人网站公示。销售机构可以根据情况增加或者减少其销售城市、网点，并另行披露。敬请投资者留意。</w:t>
      </w:r>
    </w:p>
    <w:p w:rsidR="003C055A" w:rsidRDefault="003C055A">
      <w:pPr>
        <w:spacing w:line="360" w:lineRule="auto"/>
        <w:ind w:firstLineChars="200" w:firstLine="480"/>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hint="eastAsia"/>
        </w:rPr>
        <w:t>6</w:t>
      </w:r>
      <w:r>
        <w:rPr>
          <w:rFonts w:cs="Times New Roman"/>
        </w:rPr>
        <w:t>、基金份额净值公告的披露安排</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在开始办理基金份额申购或者赎回后，基金管理人应当在不晚于每个开放日的次日，通过规定网站、基金销售机构网站或者营业网点披露开放日的各类基金份额的基金份额净值和各类基金份额的基金份额累计净值。</w:t>
      </w:r>
    </w:p>
    <w:p w:rsidR="003C055A" w:rsidRDefault="00C43280">
      <w:pPr>
        <w:spacing w:line="360" w:lineRule="auto"/>
        <w:ind w:firstLineChars="200" w:firstLine="480"/>
        <w:rPr>
          <w:rFonts w:ascii="Times New Roman" w:eastAsia="楷体_GB2312" w:hAnsi="Times New Roman" w:cs="Times New Roman"/>
          <w:b/>
          <w:sz w:val="28"/>
          <w:szCs w:val="28"/>
        </w:rPr>
      </w:pPr>
      <w:r>
        <w:rPr>
          <w:rFonts w:ascii="Times New Roman" w:eastAsia="楷体_GB2312" w:hAnsi="Times New Roman" w:cs="Times New Roman" w:hint="eastAsia"/>
          <w:sz w:val="24"/>
          <w:szCs w:val="24"/>
        </w:rPr>
        <w:t>基金管理人应当在不晚于半年度和年度最后一日的次日，在规定网站披露半年度和年度最后一日的各类基金份额的基金份额净值和各类基金份额的基金份额累计净值。</w:t>
      </w:r>
    </w:p>
    <w:p w:rsidR="003C055A" w:rsidRDefault="003C055A">
      <w:pPr>
        <w:spacing w:line="360" w:lineRule="auto"/>
        <w:ind w:firstLineChars="200" w:firstLine="480"/>
        <w:rPr>
          <w:rFonts w:ascii="Times New Roman" w:eastAsia="楷体_GB2312" w:hAnsi="Times New Roman" w:cs="Times New Roman"/>
          <w:sz w:val="24"/>
          <w:szCs w:val="24"/>
        </w:rPr>
      </w:pPr>
    </w:p>
    <w:p w:rsidR="003C055A" w:rsidRDefault="00C43280">
      <w:pPr>
        <w:pStyle w:val="1"/>
        <w:ind w:firstLine="482"/>
        <w:rPr>
          <w:rFonts w:cs="Times New Roman"/>
        </w:rPr>
      </w:pPr>
      <w:r>
        <w:rPr>
          <w:rFonts w:cs="Times New Roman"/>
        </w:rPr>
        <w:t>7</w:t>
      </w:r>
      <w:r>
        <w:rPr>
          <w:rFonts w:cs="Times New Roman"/>
        </w:rPr>
        <w:t>、其他需要提示的事项</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）本基金为契约型开放式运作的证券投资基金，基金管理人为中金基金管理有限公司，注册登记机构为中金基金管理有限公司，基金托管人为</w:t>
      </w:r>
      <w:r>
        <w:rPr>
          <w:rFonts w:ascii="Times New Roman" w:eastAsia="楷体_GB2312" w:hAnsi="Times New Roman" w:cs="Times New Roman" w:hint="eastAsia"/>
          <w:sz w:val="24"/>
          <w:szCs w:val="24"/>
        </w:rPr>
        <w:t>兴业银行股份有限公司</w:t>
      </w:r>
      <w:r>
        <w:rPr>
          <w:rFonts w:ascii="Times New Roman" w:eastAsia="楷体_GB2312" w:hAnsi="Times New Roman" w:cs="Times New Roman"/>
          <w:sz w:val="24"/>
          <w:szCs w:val="24"/>
        </w:rPr>
        <w:t>。</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）本公告仅对本基金开放赎回及转换转出业务的有关事项予以说明。投资者欲了解本基金相关业务规则的详细情况，请阅读《中金兴元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个月持有期混合型证券投资基金招募说明书》、《中金兴元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个月持有期混合型证券投资基金基金合同》等相关法律文件，或拨打本基金管理人客户服务电话</w:t>
      </w:r>
      <w:r>
        <w:rPr>
          <w:rFonts w:ascii="Times New Roman" w:eastAsia="楷体_GB2312" w:hAnsi="Times New Roman" w:cs="Times New Roman"/>
          <w:sz w:val="24"/>
          <w:szCs w:val="24"/>
        </w:rPr>
        <w:t>400-868-1166</w:t>
      </w:r>
      <w:r>
        <w:rPr>
          <w:rFonts w:ascii="Times New Roman" w:eastAsia="楷体_GB2312" w:hAnsi="Times New Roman" w:cs="Times New Roman"/>
          <w:sz w:val="24"/>
          <w:szCs w:val="24"/>
        </w:rPr>
        <w:t>咨询。</w:t>
      </w:r>
    </w:p>
    <w:p w:rsidR="003C055A" w:rsidRDefault="00C43280">
      <w:pPr>
        <w:spacing w:line="360" w:lineRule="auto"/>
        <w:ind w:firstLineChars="200" w:firstLine="480"/>
        <w:rPr>
          <w:bCs/>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w:t>
      </w:r>
      <w:r>
        <w:rPr>
          <w:rFonts w:ascii="Times New Roman" w:eastAsia="楷体_GB2312" w:hAnsi="Times New Roman" w:cs="楷体_GB2312" w:hint="eastAsia"/>
          <w:bCs/>
          <w:kern w:val="0"/>
          <w:sz w:val="24"/>
          <w:szCs w:val="20"/>
          <w:lang/>
        </w:rPr>
        <w:t>基金管理人应以交易时间结束前受理有效申购和赎回申请的当天作为申购或赎回申请日（</w:t>
      </w:r>
      <w:r>
        <w:rPr>
          <w:rFonts w:ascii="Times New Roman" w:eastAsia="楷体_GB2312" w:hAnsi="Times New Roman" w:cs="楷体_GB2312" w:hint="eastAsia"/>
          <w:bCs/>
          <w:kern w:val="0"/>
          <w:sz w:val="24"/>
          <w:szCs w:val="20"/>
          <w:lang/>
        </w:rPr>
        <w:t>T</w:t>
      </w:r>
      <w:r>
        <w:rPr>
          <w:rFonts w:ascii="Times New Roman" w:eastAsia="楷体_GB2312" w:hAnsi="Times New Roman" w:cs="楷体_GB2312" w:hint="eastAsia"/>
          <w:bCs/>
          <w:kern w:val="0"/>
          <w:sz w:val="24"/>
          <w:szCs w:val="20"/>
          <w:lang/>
        </w:rPr>
        <w:t>日），在正常情况下，本基金登记机构在</w:t>
      </w:r>
      <w:r>
        <w:rPr>
          <w:rFonts w:ascii="Times New Roman" w:eastAsia="楷体_GB2312" w:hAnsi="Times New Roman" w:cs="楷体_GB2312" w:hint="eastAsia"/>
          <w:bCs/>
          <w:kern w:val="0"/>
          <w:sz w:val="24"/>
          <w:szCs w:val="20"/>
          <w:lang/>
        </w:rPr>
        <w:t>T+1</w:t>
      </w:r>
      <w:r>
        <w:rPr>
          <w:rFonts w:ascii="Times New Roman" w:eastAsia="楷体_GB2312" w:hAnsi="Times New Roman" w:cs="楷体_GB2312" w:hint="eastAsia"/>
          <w:bCs/>
          <w:kern w:val="0"/>
          <w:sz w:val="24"/>
          <w:szCs w:val="20"/>
          <w:lang/>
        </w:rPr>
        <w:t>日内对该交易的有效性进行确认。</w:t>
      </w:r>
      <w:r>
        <w:rPr>
          <w:rFonts w:ascii="Times New Roman" w:eastAsia="楷体_GB2312" w:hAnsi="Times New Roman" w:cs="楷体_GB2312" w:hint="eastAsia"/>
          <w:bCs/>
          <w:kern w:val="0"/>
          <w:sz w:val="24"/>
          <w:szCs w:val="20"/>
          <w:lang/>
        </w:rPr>
        <w:t>T</w:t>
      </w:r>
      <w:r>
        <w:rPr>
          <w:rFonts w:ascii="Times New Roman" w:eastAsia="楷体_GB2312" w:hAnsi="Times New Roman" w:cs="楷体_GB2312" w:hint="eastAsia"/>
          <w:bCs/>
          <w:kern w:val="0"/>
          <w:sz w:val="24"/>
          <w:szCs w:val="20"/>
          <w:lang/>
        </w:rPr>
        <w:t>日提交的有效申请，投资人应在</w:t>
      </w:r>
      <w:r>
        <w:rPr>
          <w:rFonts w:ascii="Times New Roman" w:eastAsia="楷体_GB2312" w:hAnsi="Times New Roman" w:cs="楷体_GB2312" w:hint="eastAsia"/>
          <w:bCs/>
          <w:kern w:val="0"/>
          <w:sz w:val="24"/>
          <w:szCs w:val="20"/>
          <w:lang/>
        </w:rPr>
        <w:t>T+2</w:t>
      </w:r>
      <w:r>
        <w:rPr>
          <w:rFonts w:ascii="Times New Roman" w:eastAsia="楷体_GB2312" w:hAnsi="Times New Roman" w:cs="楷体_GB2312" w:hint="eastAsia"/>
          <w:bCs/>
          <w:kern w:val="0"/>
          <w:sz w:val="24"/>
          <w:szCs w:val="20"/>
          <w:lang/>
        </w:rPr>
        <w:t>日后（包括该日）及时到销售网点柜台或以销售机构规定的其他方式查询申请的确认情况。若申购不成功，则申购款项退还给投资人。</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lang/>
        </w:rPr>
        <w:t>基金销售机构对申购或赎回申请的受理并不代表申请一定成功，而仅代表销售机构确实接收到申请。申购或赎回申请的确认以登记机构的确认结果为准。对于申请的确认情况，投资人应及时查询。</w:t>
      </w:r>
    </w:p>
    <w:p w:rsidR="003C055A" w:rsidRDefault="00C43280">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风险提示：基金管理人承诺以诚实信用、勤勉尽责的原则管理和运用基金资产，但不保证基金一定盈利，也不保证最低收益。基金的过往业绩并不预示其未来表现，基金管理人管理的其他基金的业绩并不构成基金业绩表现的保证。请投资者投资本基金前认真阅读本基金的基金合同和招募说明书，并根据自身风险承受能力选择适合自己的基金产品。敬请投资者注意投资风险。</w:t>
      </w:r>
    </w:p>
    <w:p w:rsidR="003C055A" w:rsidRDefault="003C055A">
      <w:pPr>
        <w:rPr>
          <w:rFonts w:ascii="Times New Roman" w:eastAsia="楷体_GB2312" w:hAnsi="Times New Roman" w:cs="Times New Roman"/>
          <w:sz w:val="24"/>
          <w:szCs w:val="24"/>
        </w:rPr>
      </w:pPr>
    </w:p>
    <w:p w:rsidR="003C055A" w:rsidRDefault="003C055A">
      <w:pPr>
        <w:spacing w:line="360" w:lineRule="auto"/>
        <w:rPr>
          <w:rFonts w:ascii="Times New Roman" w:eastAsia="楷体_GB2312" w:hAnsi="Times New Roman" w:cs="Times New Roman"/>
          <w:sz w:val="24"/>
          <w:szCs w:val="24"/>
        </w:rPr>
      </w:pPr>
    </w:p>
    <w:p w:rsidR="003C055A" w:rsidRDefault="00C43280">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中金基金管理有限公司</w:t>
      </w:r>
    </w:p>
    <w:p w:rsidR="003C055A" w:rsidRDefault="00C43280">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1</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15</w:t>
      </w:r>
      <w:r>
        <w:rPr>
          <w:rFonts w:ascii="Times New Roman" w:eastAsia="楷体_GB2312" w:hAnsi="Times New Roman" w:cs="Times New Roman"/>
          <w:sz w:val="24"/>
          <w:szCs w:val="24"/>
        </w:rPr>
        <w:t>日</w:t>
      </w:r>
    </w:p>
    <w:sectPr w:rsidR="003C055A" w:rsidSect="00884881">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794797" w15:done="0"/>
  <w15:commentEx w15:paraId="BAB7CD7F" w15:done="0"/>
  <w15:commentEx w15:paraId="BBF57EF3" w15:done="0"/>
  <w15:commentEx w15:paraId="9FACCA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AE" w:rsidRDefault="003E21AE">
      <w:r>
        <w:separator/>
      </w:r>
    </w:p>
  </w:endnote>
  <w:endnote w:type="continuationSeparator" w:id="0">
    <w:p w:rsidR="003E21AE" w:rsidRDefault="003E21A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
    </w:sdtPr>
    <w:sdtContent>
      <w:p w:rsidR="003E21AE" w:rsidRDefault="00884881">
        <w:pPr>
          <w:pStyle w:val="a5"/>
          <w:jc w:val="center"/>
        </w:pPr>
        <w:r>
          <w:fldChar w:fldCharType="begin"/>
        </w:r>
        <w:r w:rsidR="003E21AE">
          <w:instrText>PAGE   \* MERGEFORMAT</w:instrText>
        </w:r>
        <w:r>
          <w:fldChar w:fldCharType="separate"/>
        </w:r>
        <w:r w:rsidR="00F90274" w:rsidRPr="00F90274">
          <w:rPr>
            <w:noProof/>
            <w:lang w:val="zh-CN"/>
          </w:rPr>
          <w:t>1</w:t>
        </w:r>
        <w:r>
          <w:fldChar w:fldCharType="end"/>
        </w:r>
      </w:p>
    </w:sdtContent>
  </w:sdt>
  <w:p w:rsidR="003E21AE" w:rsidRDefault="003E21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AE" w:rsidRDefault="003E21AE">
      <w:r>
        <w:separator/>
      </w:r>
    </w:p>
  </w:footnote>
  <w:footnote w:type="continuationSeparator" w:id="0">
    <w:p w:rsidR="003E21AE" w:rsidRDefault="003E21A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 Jiang">
    <w15:presenceInfo w15:providerId="None" w15:userId="Shan Jiang"/>
  </w15:person>
  <w15:person w15:author="冯宪龙">
    <w15:presenceInfo w15:providerId="WPS Office" w15:userId="6249348531479826000"/>
  </w15:person>
  <w15:person w15:author="徐嘉青">
    <w15:presenceInfo w15:providerId="WPS Office" w15:userId="6761798139185152000"/>
  </w15:person>
  <w15:person w15:author="张聪">
    <w15:presenceInfo w15:providerId="WPS Office" w15:userId="5425164562445435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87DFC"/>
    <w:rsid w:val="9BBBEA83"/>
    <w:rsid w:val="CEF7AF7E"/>
    <w:rsid w:val="D3EC0C9A"/>
    <w:rsid w:val="DFFA4ED7"/>
    <w:rsid w:val="EF6F76E5"/>
    <w:rsid w:val="EFFEC2AE"/>
    <w:rsid w:val="FDFE820C"/>
    <w:rsid w:val="FEF6EA04"/>
    <w:rsid w:val="00003CB3"/>
    <w:rsid w:val="00026500"/>
    <w:rsid w:val="00031203"/>
    <w:rsid w:val="000354AA"/>
    <w:rsid w:val="000526BC"/>
    <w:rsid w:val="000533A6"/>
    <w:rsid w:val="00063098"/>
    <w:rsid w:val="0006448F"/>
    <w:rsid w:val="00082C9E"/>
    <w:rsid w:val="00087DFC"/>
    <w:rsid w:val="0009071F"/>
    <w:rsid w:val="000912BB"/>
    <w:rsid w:val="000A7030"/>
    <w:rsid w:val="000A7410"/>
    <w:rsid w:val="000B27F8"/>
    <w:rsid w:val="000B5E2F"/>
    <w:rsid w:val="000C4208"/>
    <w:rsid w:val="000C708D"/>
    <w:rsid w:val="000D13BE"/>
    <w:rsid w:val="000D4C80"/>
    <w:rsid w:val="000D55C2"/>
    <w:rsid w:val="000D6FB5"/>
    <w:rsid w:val="000D7902"/>
    <w:rsid w:val="000E0AE1"/>
    <w:rsid w:val="000E1297"/>
    <w:rsid w:val="000F0911"/>
    <w:rsid w:val="000F2DB8"/>
    <w:rsid w:val="000F6803"/>
    <w:rsid w:val="00100243"/>
    <w:rsid w:val="00110499"/>
    <w:rsid w:val="00117AF7"/>
    <w:rsid w:val="0012110B"/>
    <w:rsid w:val="001246C7"/>
    <w:rsid w:val="00124ACA"/>
    <w:rsid w:val="00133D1F"/>
    <w:rsid w:val="001348DE"/>
    <w:rsid w:val="00135111"/>
    <w:rsid w:val="00144707"/>
    <w:rsid w:val="0014699A"/>
    <w:rsid w:val="00151AA6"/>
    <w:rsid w:val="00161075"/>
    <w:rsid w:val="001633E1"/>
    <w:rsid w:val="00166124"/>
    <w:rsid w:val="00181B44"/>
    <w:rsid w:val="001830C1"/>
    <w:rsid w:val="0019114E"/>
    <w:rsid w:val="0019323F"/>
    <w:rsid w:val="001A0E3F"/>
    <w:rsid w:val="001A14B4"/>
    <w:rsid w:val="001A23F4"/>
    <w:rsid w:val="001A264C"/>
    <w:rsid w:val="001A362A"/>
    <w:rsid w:val="001A4869"/>
    <w:rsid w:val="001B2146"/>
    <w:rsid w:val="001B26B5"/>
    <w:rsid w:val="001B2809"/>
    <w:rsid w:val="001F174D"/>
    <w:rsid w:val="001F62A7"/>
    <w:rsid w:val="002000CB"/>
    <w:rsid w:val="0022337C"/>
    <w:rsid w:val="00234A5D"/>
    <w:rsid w:val="00237C48"/>
    <w:rsid w:val="00243F54"/>
    <w:rsid w:val="002541FA"/>
    <w:rsid w:val="002566C5"/>
    <w:rsid w:val="0026253F"/>
    <w:rsid w:val="00272088"/>
    <w:rsid w:val="00282398"/>
    <w:rsid w:val="002858E2"/>
    <w:rsid w:val="00294D97"/>
    <w:rsid w:val="002B7BB1"/>
    <w:rsid w:val="002C1DD1"/>
    <w:rsid w:val="002C3CE5"/>
    <w:rsid w:val="002C4E66"/>
    <w:rsid w:val="002D3962"/>
    <w:rsid w:val="002D3DBD"/>
    <w:rsid w:val="002E7D1D"/>
    <w:rsid w:val="002F02D7"/>
    <w:rsid w:val="002F1CDD"/>
    <w:rsid w:val="002F452F"/>
    <w:rsid w:val="00300419"/>
    <w:rsid w:val="00302FEA"/>
    <w:rsid w:val="00304D5C"/>
    <w:rsid w:val="00313BEB"/>
    <w:rsid w:val="00314BBF"/>
    <w:rsid w:val="00315511"/>
    <w:rsid w:val="00325400"/>
    <w:rsid w:val="00346EB0"/>
    <w:rsid w:val="00350336"/>
    <w:rsid w:val="003518F8"/>
    <w:rsid w:val="00354A90"/>
    <w:rsid w:val="00355577"/>
    <w:rsid w:val="00360DCE"/>
    <w:rsid w:val="003660BC"/>
    <w:rsid w:val="00370AF8"/>
    <w:rsid w:val="00372CE9"/>
    <w:rsid w:val="00373201"/>
    <w:rsid w:val="00377DFB"/>
    <w:rsid w:val="00386B1F"/>
    <w:rsid w:val="00390075"/>
    <w:rsid w:val="00393DCA"/>
    <w:rsid w:val="003A370C"/>
    <w:rsid w:val="003A41C1"/>
    <w:rsid w:val="003A68A8"/>
    <w:rsid w:val="003C055A"/>
    <w:rsid w:val="003C6B7B"/>
    <w:rsid w:val="003D60D5"/>
    <w:rsid w:val="003E21AE"/>
    <w:rsid w:val="003E2996"/>
    <w:rsid w:val="003E3767"/>
    <w:rsid w:val="003F0BA3"/>
    <w:rsid w:val="003F2DE2"/>
    <w:rsid w:val="003F519D"/>
    <w:rsid w:val="00430567"/>
    <w:rsid w:val="00431105"/>
    <w:rsid w:val="00433660"/>
    <w:rsid w:val="00436688"/>
    <w:rsid w:val="00436E60"/>
    <w:rsid w:val="00436FE0"/>
    <w:rsid w:val="004424A2"/>
    <w:rsid w:val="00445575"/>
    <w:rsid w:val="0045315A"/>
    <w:rsid w:val="00453703"/>
    <w:rsid w:val="00454620"/>
    <w:rsid w:val="00456E06"/>
    <w:rsid w:val="004618E1"/>
    <w:rsid w:val="00462804"/>
    <w:rsid w:val="00467AD2"/>
    <w:rsid w:val="00471013"/>
    <w:rsid w:val="00474A91"/>
    <w:rsid w:val="004752A1"/>
    <w:rsid w:val="004817FF"/>
    <w:rsid w:val="00490289"/>
    <w:rsid w:val="0049199C"/>
    <w:rsid w:val="0049462C"/>
    <w:rsid w:val="004A072D"/>
    <w:rsid w:val="004A2F11"/>
    <w:rsid w:val="004A4FED"/>
    <w:rsid w:val="004A51DE"/>
    <w:rsid w:val="004B03B5"/>
    <w:rsid w:val="004B5C8D"/>
    <w:rsid w:val="004C31E4"/>
    <w:rsid w:val="004C5333"/>
    <w:rsid w:val="004D0732"/>
    <w:rsid w:val="004D5939"/>
    <w:rsid w:val="004D6BDD"/>
    <w:rsid w:val="004D7E04"/>
    <w:rsid w:val="004E1A70"/>
    <w:rsid w:val="004E24BB"/>
    <w:rsid w:val="004E50F8"/>
    <w:rsid w:val="004F277F"/>
    <w:rsid w:val="004F5E2A"/>
    <w:rsid w:val="004F6858"/>
    <w:rsid w:val="005041DF"/>
    <w:rsid w:val="005137E3"/>
    <w:rsid w:val="00513CF4"/>
    <w:rsid w:val="005152D2"/>
    <w:rsid w:val="00523946"/>
    <w:rsid w:val="00524DCC"/>
    <w:rsid w:val="0053438E"/>
    <w:rsid w:val="005376F3"/>
    <w:rsid w:val="005406B5"/>
    <w:rsid w:val="00541219"/>
    <w:rsid w:val="005471C0"/>
    <w:rsid w:val="00550E18"/>
    <w:rsid w:val="0055352D"/>
    <w:rsid w:val="0056555E"/>
    <w:rsid w:val="00571EED"/>
    <w:rsid w:val="00574EB0"/>
    <w:rsid w:val="00576C55"/>
    <w:rsid w:val="005878AE"/>
    <w:rsid w:val="00590A50"/>
    <w:rsid w:val="005919CE"/>
    <w:rsid w:val="00593F52"/>
    <w:rsid w:val="005B3FC7"/>
    <w:rsid w:val="005B5D1C"/>
    <w:rsid w:val="005B63A0"/>
    <w:rsid w:val="005C3C8A"/>
    <w:rsid w:val="005C499A"/>
    <w:rsid w:val="005C4B00"/>
    <w:rsid w:val="005C7929"/>
    <w:rsid w:val="005E55B2"/>
    <w:rsid w:val="005E621D"/>
    <w:rsid w:val="005E6436"/>
    <w:rsid w:val="005F2ADB"/>
    <w:rsid w:val="00604EB5"/>
    <w:rsid w:val="00615877"/>
    <w:rsid w:val="006241F9"/>
    <w:rsid w:val="0062591A"/>
    <w:rsid w:val="00626519"/>
    <w:rsid w:val="00634797"/>
    <w:rsid w:val="006353DC"/>
    <w:rsid w:val="00637E4D"/>
    <w:rsid w:val="00641D39"/>
    <w:rsid w:val="00644971"/>
    <w:rsid w:val="00650286"/>
    <w:rsid w:val="006525F3"/>
    <w:rsid w:val="00653D0E"/>
    <w:rsid w:val="00655ACE"/>
    <w:rsid w:val="00656D0C"/>
    <w:rsid w:val="006600C8"/>
    <w:rsid w:val="0067262D"/>
    <w:rsid w:val="0068116A"/>
    <w:rsid w:val="00684D8A"/>
    <w:rsid w:val="0068515F"/>
    <w:rsid w:val="006865DC"/>
    <w:rsid w:val="00696517"/>
    <w:rsid w:val="006A1D6C"/>
    <w:rsid w:val="006A38DE"/>
    <w:rsid w:val="006B3977"/>
    <w:rsid w:val="006B50C1"/>
    <w:rsid w:val="006C1BC2"/>
    <w:rsid w:val="006C1DEE"/>
    <w:rsid w:val="006C43B6"/>
    <w:rsid w:val="006C6658"/>
    <w:rsid w:val="006D3167"/>
    <w:rsid w:val="006D71F2"/>
    <w:rsid w:val="00711485"/>
    <w:rsid w:val="00726489"/>
    <w:rsid w:val="00733B4F"/>
    <w:rsid w:val="00737A3A"/>
    <w:rsid w:val="0074159D"/>
    <w:rsid w:val="00742D7E"/>
    <w:rsid w:val="00743990"/>
    <w:rsid w:val="007627A5"/>
    <w:rsid w:val="007700F5"/>
    <w:rsid w:val="00773BA0"/>
    <w:rsid w:val="007820CB"/>
    <w:rsid w:val="00786B6F"/>
    <w:rsid w:val="00787B30"/>
    <w:rsid w:val="00796982"/>
    <w:rsid w:val="00797616"/>
    <w:rsid w:val="007A34E2"/>
    <w:rsid w:val="007A4D0A"/>
    <w:rsid w:val="007A6F2E"/>
    <w:rsid w:val="007B12B6"/>
    <w:rsid w:val="007B1F65"/>
    <w:rsid w:val="007B718F"/>
    <w:rsid w:val="007C30C4"/>
    <w:rsid w:val="007C491F"/>
    <w:rsid w:val="007D1CE0"/>
    <w:rsid w:val="007E1712"/>
    <w:rsid w:val="007E2119"/>
    <w:rsid w:val="007E45D4"/>
    <w:rsid w:val="007E76DC"/>
    <w:rsid w:val="007F3521"/>
    <w:rsid w:val="007F3BA5"/>
    <w:rsid w:val="0080251A"/>
    <w:rsid w:val="00802A38"/>
    <w:rsid w:val="00813C2B"/>
    <w:rsid w:val="00822496"/>
    <w:rsid w:val="00827897"/>
    <w:rsid w:val="00833A0C"/>
    <w:rsid w:val="008441A8"/>
    <w:rsid w:val="0084449B"/>
    <w:rsid w:val="00846051"/>
    <w:rsid w:val="00846E9A"/>
    <w:rsid w:val="00851069"/>
    <w:rsid w:val="00854147"/>
    <w:rsid w:val="0085509A"/>
    <w:rsid w:val="008573F4"/>
    <w:rsid w:val="00865278"/>
    <w:rsid w:val="008665F4"/>
    <w:rsid w:val="008717D6"/>
    <w:rsid w:val="00871AF5"/>
    <w:rsid w:val="00881C2A"/>
    <w:rsid w:val="00884881"/>
    <w:rsid w:val="00884D10"/>
    <w:rsid w:val="0088639A"/>
    <w:rsid w:val="00890BD3"/>
    <w:rsid w:val="008951A7"/>
    <w:rsid w:val="00896D09"/>
    <w:rsid w:val="008971CD"/>
    <w:rsid w:val="00897E97"/>
    <w:rsid w:val="008A6D8D"/>
    <w:rsid w:val="008B2697"/>
    <w:rsid w:val="008C1DC1"/>
    <w:rsid w:val="008C3B8D"/>
    <w:rsid w:val="008C463F"/>
    <w:rsid w:val="008C5095"/>
    <w:rsid w:val="008D3544"/>
    <w:rsid w:val="008D5B72"/>
    <w:rsid w:val="008E4F3B"/>
    <w:rsid w:val="008F5E7E"/>
    <w:rsid w:val="008F6E95"/>
    <w:rsid w:val="00912923"/>
    <w:rsid w:val="0092130A"/>
    <w:rsid w:val="00932ED6"/>
    <w:rsid w:val="0094475C"/>
    <w:rsid w:val="00947E73"/>
    <w:rsid w:val="00956095"/>
    <w:rsid w:val="00956651"/>
    <w:rsid w:val="0096206C"/>
    <w:rsid w:val="0096518D"/>
    <w:rsid w:val="00965E3E"/>
    <w:rsid w:val="00967005"/>
    <w:rsid w:val="00970E84"/>
    <w:rsid w:val="00975692"/>
    <w:rsid w:val="00981D64"/>
    <w:rsid w:val="00983FE5"/>
    <w:rsid w:val="0098769A"/>
    <w:rsid w:val="009901FB"/>
    <w:rsid w:val="00995836"/>
    <w:rsid w:val="009B71F0"/>
    <w:rsid w:val="009B7687"/>
    <w:rsid w:val="009C5BC7"/>
    <w:rsid w:val="009C5C2F"/>
    <w:rsid w:val="009C7012"/>
    <w:rsid w:val="009E1C6F"/>
    <w:rsid w:val="009E7FC2"/>
    <w:rsid w:val="009F05E8"/>
    <w:rsid w:val="009F0F1D"/>
    <w:rsid w:val="009F2641"/>
    <w:rsid w:val="009F341A"/>
    <w:rsid w:val="00A03AF1"/>
    <w:rsid w:val="00A04576"/>
    <w:rsid w:val="00A221DC"/>
    <w:rsid w:val="00A25C73"/>
    <w:rsid w:val="00A25DE4"/>
    <w:rsid w:val="00A26991"/>
    <w:rsid w:val="00A3337E"/>
    <w:rsid w:val="00A341F0"/>
    <w:rsid w:val="00A428C1"/>
    <w:rsid w:val="00A437D8"/>
    <w:rsid w:val="00A43D4C"/>
    <w:rsid w:val="00A4500C"/>
    <w:rsid w:val="00A4637E"/>
    <w:rsid w:val="00A51960"/>
    <w:rsid w:val="00A53FDB"/>
    <w:rsid w:val="00A603C9"/>
    <w:rsid w:val="00A61768"/>
    <w:rsid w:val="00A62265"/>
    <w:rsid w:val="00A80580"/>
    <w:rsid w:val="00A83830"/>
    <w:rsid w:val="00A8412A"/>
    <w:rsid w:val="00A9172A"/>
    <w:rsid w:val="00A92FBF"/>
    <w:rsid w:val="00AA258C"/>
    <w:rsid w:val="00AB3342"/>
    <w:rsid w:val="00AB3367"/>
    <w:rsid w:val="00AC2523"/>
    <w:rsid w:val="00AC3C80"/>
    <w:rsid w:val="00AC5C98"/>
    <w:rsid w:val="00AC75DB"/>
    <w:rsid w:val="00AD06E9"/>
    <w:rsid w:val="00AD095F"/>
    <w:rsid w:val="00AE359A"/>
    <w:rsid w:val="00AE3760"/>
    <w:rsid w:val="00AF4B30"/>
    <w:rsid w:val="00AF6212"/>
    <w:rsid w:val="00B034F8"/>
    <w:rsid w:val="00B11807"/>
    <w:rsid w:val="00B27D16"/>
    <w:rsid w:val="00B30B95"/>
    <w:rsid w:val="00B52160"/>
    <w:rsid w:val="00B54FFD"/>
    <w:rsid w:val="00B70D0D"/>
    <w:rsid w:val="00B74702"/>
    <w:rsid w:val="00B750C7"/>
    <w:rsid w:val="00B838C6"/>
    <w:rsid w:val="00B932DE"/>
    <w:rsid w:val="00B94153"/>
    <w:rsid w:val="00B956FE"/>
    <w:rsid w:val="00BA3000"/>
    <w:rsid w:val="00BA60F7"/>
    <w:rsid w:val="00BA6CAA"/>
    <w:rsid w:val="00BB7B81"/>
    <w:rsid w:val="00BC476F"/>
    <w:rsid w:val="00BD185F"/>
    <w:rsid w:val="00BD4952"/>
    <w:rsid w:val="00BE239D"/>
    <w:rsid w:val="00BE798E"/>
    <w:rsid w:val="00BF150B"/>
    <w:rsid w:val="00BF2966"/>
    <w:rsid w:val="00BF4CF2"/>
    <w:rsid w:val="00C040B3"/>
    <w:rsid w:val="00C103E0"/>
    <w:rsid w:val="00C10D54"/>
    <w:rsid w:val="00C11158"/>
    <w:rsid w:val="00C16783"/>
    <w:rsid w:val="00C175FD"/>
    <w:rsid w:val="00C17F98"/>
    <w:rsid w:val="00C2168A"/>
    <w:rsid w:val="00C308DE"/>
    <w:rsid w:val="00C32A76"/>
    <w:rsid w:val="00C36A29"/>
    <w:rsid w:val="00C40268"/>
    <w:rsid w:val="00C40B40"/>
    <w:rsid w:val="00C40C00"/>
    <w:rsid w:val="00C4162D"/>
    <w:rsid w:val="00C43280"/>
    <w:rsid w:val="00C43624"/>
    <w:rsid w:val="00C5454A"/>
    <w:rsid w:val="00C555B1"/>
    <w:rsid w:val="00C5605F"/>
    <w:rsid w:val="00C5610F"/>
    <w:rsid w:val="00C5737E"/>
    <w:rsid w:val="00C63F05"/>
    <w:rsid w:val="00C66369"/>
    <w:rsid w:val="00C70A94"/>
    <w:rsid w:val="00C718E6"/>
    <w:rsid w:val="00C825A5"/>
    <w:rsid w:val="00C906D8"/>
    <w:rsid w:val="00C941F5"/>
    <w:rsid w:val="00C94A64"/>
    <w:rsid w:val="00C96A89"/>
    <w:rsid w:val="00C9706B"/>
    <w:rsid w:val="00CA694F"/>
    <w:rsid w:val="00CA78F3"/>
    <w:rsid w:val="00CB3728"/>
    <w:rsid w:val="00CB705F"/>
    <w:rsid w:val="00CC0A23"/>
    <w:rsid w:val="00CC323C"/>
    <w:rsid w:val="00CC73D5"/>
    <w:rsid w:val="00CD31C7"/>
    <w:rsid w:val="00CD54A3"/>
    <w:rsid w:val="00CE41EC"/>
    <w:rsid w:val="00CF2F40"/>
    <w:rsid w:val="00CF46AE"/>
    <w:rsid w:val="00D0033A"/>
    <w:rsid w:val="00D0324C"/>
    <w:rsid w:val="00D14D67"/>
    <w:rsid w:val="00D21FB2"/>
    <w:rsid w:val="00D228A5"/>
    <w:rsid w:val="00D34E40"/>
    <w:rsid w:val="00D37652"/>
    <w:rsid w:val="00D447D1"/>
    <w:rsid w:val="00D5457B"/>
    <w:rsid w:val="00D62F9A"/>
    <w:rsid w:val="00D72810"/>
    <w:rsid w:val="00D76B66"/>
    <w:rsid w:val="00D772B6"/>
    <w:rsid w:val="00D84E41"/>
    <w:rsid w:val="00D87B06"/>
    <w:rsid w:val="00D9559E"/>
    <w:rsid w:val="00DA220E"/>
    <w:rsid w:val="00DA4023"/>
    <w:rsid w:val="00DB163E"/>
    <w:rsid w:val="00DB26D1"/>
    <w:rsid w:val="00DB3D3A"/>
    <w:rsid w:val="00DB4D25"/>
    <w:rsid w:val="00DB783C"/>
    <w:rsid w:val="00DC6A46"/>
    <w:rsid w:val="00DD433C"/>
    <w:rsid w:val="00DE16A1"/>
    <w:rsid w:val="00DE357A"/>
    <w:rsid w:val="00DF116C"/>
    <w:rsid w:val="00E04B8B"/>
    <w:rsid w:val="00E06C44"/>
    <w:rsid w:val="00E07404"/>
    <w:rsid w:val="00E07BE5"/>
    <w:rsid w:val="00E1227C"/>
    <w:rsid w:val="00E15CB8"/>
    <w:rsid w:val="00E25CF3"/>
    <w:rsid w:val="00E3305A"/>
    <w:rsid w:val="00E33106"/>
    <w:rsid w:val="00E348C1"/>
    <w:rsid w:val="00E4184F"/>
    <w:rsid w:val="00E4408E"/>
    <w:rsid w:val="00E45A17"/>
    <w:rsid w:val="00E509AF"/>
    <w:rsid w:val="00E55667"/>
    <w:rsid w:val="00E57608"/>
    <w:rsid w:val="00E63DC9"/>
    <w:rsid w:val="00E71AF3"/>
    <w:rsid w:val="00E75939"/>
    <w:rsid w:val="00E822B7"/>
    <w:rsid w:val="00E85542"/>
    <w:rsid w:val="00E862F2"/>
    <w:rsid w:val="00E905FA"/>
    <w:rsid w:val="00E97197"/>
    <w:rsid w:val="00EA487F"/>
    <w:rsid w:val="00EA5B77"/>
    <w:rsid w:val="00EA5D97"/>
    <w:rsid w:val="00EA7BF9"/>
    <w:rsid w:val="00EB142E"/>
    <w:rsid w:val="00EB2926"/>
    <w:rsid w:val="00EB2D15"/>
    <w:rsid w:val="00EC3128"/>
    <w:rsid w:val="00EC5C09"/>
    <w:rsid w:val="00EC74F5"/>
    <w:rsid w:val="00EE093A"/>
    <w:rsid w:val="00EE0CA0"/>
    <w:rsid w:val="00EE4319"/>
    <w:rsid w:val="00EE7C97"/>
    <w:rsid w:val="00EF6473"/>
    <w:rsid w:val="00F0061E"/>
    <w:rsid w:val="00F0454A"/>
    <w:rsid w:val="00F06F60"/>
    <w:rsid w:val="00F10F70"/>
    <w:rsid w:val="00F2122B"/>
    <w:rsid w:val="00F22188"/>
    <w:rsid w:val="00F36E68"/>
    <w:rsid w:val="00F40CED"/>
    <w:rsid w:val="00F42AE8"/>
    <w:rsid w:val="00F517E2"/>
    <w:rsid w:val="00F51DF0"/>
    <w:rsid w:val="00F52B51"/>
    <w:rsid w:val="00F52E5A"/>
    <w:rsid w:val="00F621E5"/>
    <w:rsid w:val="00F630B0"/>
    <w:rsid w:val="00F65196"/>
    <w:rsid w:val="00F70D1C"/>
    <w:rsid w:val="00F77FFC"/>
    <w:rsid w:val="00F90274"/>
    <w:rsid w:val="00F903B0"/>
    <w:rsid w:val="00FA32AA"/>
    <w:rsid w:val="00FA61E3"/>
    <w:rsid w:val="00FB7454"/>
    <w:rsid w:val="00FC2337"/>
    <w:rsid w:val="00FC4DA9"/>
    <w:rsid w:val="00FD4A67"/>
    <w:rsid w:val="00FF0B02"/>
    <w:rsid w:val="17BDA871"/>
    <w:rsid w:val="46FF4C3C"/>
    <w:rsid w:val="4D786643"/>
    <w:rsid w:val="5A9F5D71"/>
    <w:rsid w:val="5EA4F241"/>
    <w:rsid w:val="7D67FC0B"/>
    <w:rsid w:val="7E1FD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84881"/>
    <w:pPr>
      <w:keepNext/>
      <w:keepLines/>
      <w:spacing w:line="360" w:lineRule="auto"/>
      <w:ind w:firstLineChars="200" w:firstLine="200"/>
      <w:outlineLvl w:val="0"/>
    </w:pPr>
    <w:rPr>
      <w:rFonts w:ascii="Times New Roman" w:eastAsia="楷体_GB2312" w:hAnsi="Times New Roman"/>
      <w:b/>
      <w:bCs/>
      <w:kern w:val="44"/>
      <w:sz w:val="24"/>
      <w:szCs w:val="44"/>
    </w:rPr>
  </w:style>
  <w:style w:type="paragraph" w:styleId="2">
    <w:name w:val="heading 2"/>
    <w:basedOn w:val="a"/>
    <w:next w:val="a"/>
    <w:link w:val="2Char"/>
    <w:qFormat/>
    <w:rsid w:val="00884881"/>
    <w:pPr>
      <w:keepNext/>
      <w:keepLines/>
      <w:spacing w:line="360" w:lineRule="auto"/>
      <w:ind w:firstLineChars="200" w:firstLine="200"/>
      <w:outlineLvl w:val="1"/>
    </w:pPr>
    <w:rPr>
      <w:rFonts w:ascii="Times New Roman" w:eastAsia="楷体_GB2312" w:hAnsi="Times New Roman" w:cs="Times New Roman"/>
      <w:b/>
      <w:sz w:val="24"/>
    </w:rPr>
  </w:style>
  <w:style w:type="paragraph" w:styleId="3">
    <w:name w:val="heading 3"/>
    <w:basedOn w:val="a"/>
    <w:next w:val="a"/>
    <w:link w:val="3Char"/>
    <w:uiPriority w:val="9"/>
    <w:unhideWhenUsed/>
    <w:qFormat/>
    <w:rsid w:val="00884881"/>
    <w:pPr>
      <w:keepNext/>
      <w:keepLines/>
      <w:spacing w:line="360" w:lineRule="auto"/>
      <w:ind w:firstLineChars="200" w:firstLine="200"/>
      <w:outlineLvl w:val="2"/>
    </w:pPr>
    <w:rPr>
      <w:rFonts w:ascii="Times New Roman" w:eastAsia="楷体_GB2312"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84881"/>
    <w:pPr>
      <w:jc w:val="left"/>
    </w:pPr>
  </w:style>
  <w:style w:type="paragraph" w:styleId="a4">
    <w:name w:val="Balloon Text"/>
    <w:basedOn w:val="a"/>
    <w:link w:val="Char0"/>
    <w:uiPriority w:val="99"/>
    <w:semiHidden/>
    <w:unhideWhenUsed/>
    <w:qFormat/>
    <w:rsid w:val="00884881"/>
    <w:rPr>
      <w:sz w:val="18"/>
      <w:szCs w:val="18"/>
    </w:rPr>
  </w:style>
  <w:style w:type="paragraph" w:styleId="a5">
    <w:name w:val="footer"/>
    <w:basedOn w:val="a"/>
    <w:link w:val="Char1"/>
    <w:uiPriority w:val="99"/>
    <w:unhideWhenUsed/>
    <w:qFormat/>
    <w:rsid w:val="0088488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8488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84881"/>
    <w:rPr>
      <w:b/>
      <w:bCs/>
    </w:rPr>
  </w:style>
  <w:style w:type="table" w:styleId="a8">
    <w:name w:val="Table Grid"/>
    <w:basedOn w:val="a1"/>
    <w:uiPriority w:val="59"/>
    <w:rsid w:val="008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84881"/>
    <w:rPr>
      <w:color w:val="0000FF" w:themeColor="hyperlink"/>
      <w:u w:val="single"/>
    </w:rPr>
  </w:style>
  <w:style w:type="character" w:styleId="aa">
    <w:name w:val="annotation reference"/>
    <w:basedOn w:val="a0"/>
    <w:uiPriority w:val="99"/>
    <w:semiHidden/>
    <w:unhideWhenUsed/>
    <w:qFormat/>
    <w:rsid w:val="00884881"/>
    <w:rPr>
      <w:sz w:val="21"/>
      <w:szCs w:val="21"/>
    </w:rPr>
  </w:style>
  <w:style w:type="character" w:customStyle="1" w:styleId="apple-converted-space">
    <w:name w:val="apple-converted-space"/>
    <w:basedOn w:val="a0"/>
    <w:qFormat/>
    <w:rsid w:val="00884881"/>
  </w:style>
  <w:style w:type="character" w:customStyle="1" w:styleId="2Char">
    <w:name w:val="标题 2 Char"/>
    <w:basedOn w:val="a0"/>
    <w:link w:val="2"/>
    <w:rsid w:val="00884881"/>
    <w:rPr>
      <w:rFonts w:ascii="Times New Roman" w:eastAsia="楷体_GB2312" w:hAnsi="Times New Roman" w:cs="Times New Roman"/>
      <w:b/>
      <w:sz w:val="24"/>
    </w:rPr>
  </w:style>
  <w:style w:type="paragraph" w:styleId="ab">
    <w:name w:val="List Paragraph"/>
    <w:basedOn w:val="a"/>
    <w:uiPriority w:val="34"/>
    <w:qFormat/>
    <w:rsid w:val="00884881"/>
    <w:pPr>
      <w:ind w:firstLineChars="200" w:firstLine="420"/>
    </w:pPr>
  </w:style>
  <w:style w:type="paragraph" w:customStyle="1" w:styleId="Default">
    <w:name w:val="Default"/>
    <w:rsid w:val="00884881"/>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qFormat/>
    <w:rsid w:val="00884881"/>
  </w:style>
  <w:style w:type="character" w:customStyle="1" w:styleId="Char3">
    <w:name w:val="批注主题 Char"/>
    <w:basedOn w:val="Char"/>
    <w:link w:val="a7"/>
    <w:uiPriority w:val="99"/>
    <w:semiHidden/>
    <w:qFormat/>
    <w:rsid w:val="00884881"/>
    <w:rPr>
      <w:b/>
      <w:bCs/>
    </w:rPr>
  </w:style>
  <w:style w:type="character" w:customStyle="1" w:styleId="Char0">
    <w:name w:val="批注框文本 Char"/>
    <w:basedOn w:val="a0"/>
    <w:link w:val="a4"/>
    <w:uiPriority w:val="99"/>
    <w:semiHidden/>
    <w:qFormat/>
    <w:rsid w:val="00884881"/>
    <w:rPr>
      <w:sz w:val="18"/>
      <w:szCs w:val="18"/>
    </w:rPr>
  </w:style>
  <w:style w:type="character" w:customStyle="1" w:styleId="Char2">
    <w:name w:val="页眉 Char"/>
    <w:basedOn w:val="a0"/>
    <w:link w:val="a6"/>
    <w:uiPriority w:val="99"/>
    <w:qFormat/>
    <w:rsid w:val="00884881"/>
    <w:rPr>
      <w:sz w:val="18"/>
      <w:szCs w:val="18"/>
    </w:rPr>
  </w:style>
  <w:style w:type="character" w:customStyle="1" w:styleId="Char1">
    <w:name w:val="页脚 Char"/>
    <w:basedOn w:val="a0"/>
    <w:link w:val="a5"/>
    <w:uiPriority w:val="99"/>
    <w:qFormat/>
    <w:rsid w:val="00884881"/>
    <w:rPr>
      <w:sz w:val="18"/>
      <w:szCs w:val="18"/>
    </w:rPr>
  </w:style>
  <w:style w:type="paragraph" w:customStyle="1" w:styleId="10">
    <w:name w:val="修订1"/>
    <w:hidden/>
    <w:uiPriority w:val="99"/>
    <w:semiHidden/>
    <w:rsid w:val="00884881"/>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sid w:val="00884881"/>
    <w:rPr>
      <w:rFonts w:ascii="Times New Roman" w:eastAsia="楷体_GB2312" w:hAnsi="Times New Roman"/>
      <w:b/>
      <w:bCs/>
      <w:kern w:val="44"/>
      <w:sz w:val="24"/>
      <w:szCs w:val="44"/>
    </w:rPr>
  </w:style>
  <w:style w:type="character" w:customStyle="1" w:styleId="3Char">
    <w:name w:val="标题 3 Char"/>
    <w:basedOn w:val="a0"/>
    <w:link w:val="3"/>
    <w:uiPriority w:val="9"/>
    <w:rsid w:val="00884881"/>
    <w:rPr>
      <w:rFonts w:ascii="Times New Roman" w:eastAsia="楷体_GB2312" w:hAnsi="Times New Roman"/>
      <w:b/>
      <w:bCs/>
      <w:sz w:val="24"/>
      <w:szCs w:val="32"/>
    </w:rPr>
  </w:style>
  <w:style w:type="table" w:customStyle="1" w:styleId="11">
    <w:name w:val="网格型1"/>
    <w:basedOn w:val="a1"/>
    <w:uiPriority w:val="59"/>
    <w:qFormat/>
    <w:rsid w:val="008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qFormat/>
    <w:rsid w:val="00884881"/>
    <w:rPr>
      <w:rFonts w:eastAsia="楷体_GB231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884881"/>
    <w:rPr>
      <w:rFonts w:eastAsia="楷体_GB231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rsid w:val="0088488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360" w:lineRule="auto"/>
      <w:ind w:firstLineChars="200" w:firstLine="200"/>
      <w:outlineLvl w:val="0"/>
    </w:pPr>
    <w:rPr>
      <w:rFonts w:ascii="Times New Roman" w:eastAsia="楷体_GB2312" w:hAnsi="Times New Roman"/>
      <w:b/>
      <w:bCs/>
      <w:kern w:val="44"/>
      <w:sz w:val="24"/>
      <w:szCs w:val="44"/>
    </w:rPr>
  </w:style>
  <w:style w:type="paragraph" w:styleId="2">
    <w:name w:val="heading 2"/>
    <w:basedOn w:val="a"/>
    <w:next w:val="a"/>
    <w:link w:val="2Char"/>
    <w:qFormat/>
    <w:pPr>
      <w:keepNext/>
      <w:keepLines/>
      <w:spacing w:line="360" w:lineRule="auto"/>
      <w:ind w:firstLineChars="200" w:firstLine="200"/>
      <w:outlineLvl w:val="1"/>
    </w:pPr>
    <w:rPr>
      <w:rFonts w:ascii="Times New Roman" w:eastAsia="楷体_GB2312" w:hAnsi="Times New Roman" w:cs="Times New Roman"/>
      <w:b/>
      <w:sz w:val="24"/>
    </w:rPr>
  </w:style>
  <w:style w:type="paragraph" w:styleId="3">
    <w:name w:val="heading 3"/>
    <w:basedOn w:val="a"/>
    <w:next w:val="a"/>
    <w:link w:val="3Char"/>
    <w:uiPriority w:val="9"/>
    <w:unhideWhenUsed/>
    <w:qFormat/>
    <w:pPr>
      <w:keepNext/>
      <w:keepLines/>
      <w:spacing w:line="360" w:lineRule="auto"/>
      <w:ind w:firstLineChars="200" w:firstLine="200"/>
      <w:outlineLvl w:val="2"/>
    </w:pPr>
    <w:rPr>
      <w:rFonts w:ascii="Times New Roman" w:eastAsia="楷体_GB2312"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apple-converted-space">
    <w:name w:val="apple-converted-space"/>
    <w:basedOn w:val="a0"/>
    <w:qFormat/>
  </w:style>
  <w:style w:type="character" w:customStyle="1" w:styleId="2Char">
    <w:name w:val="标题 2 Char"/>
    <w:basedOn w:val="a0"/>
    <w:link w:val="2"/>
    <w:rPr>
      <w:rFonts w:ascii="Times New Roman" w:eastAsia="楷体_GB2312" w:hAnsi="Times New Roman" w:cs="Times New Roman"/>
      <w:b/>
      <w:sz w:val="24"/>
    </w:rPr>
  </w:style>
  <w:style w:type="paragraph" w:styleId="ab">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rFonts w:ascii="Times New Roman" w:eastAsia="楷体_GB2312" w:hAnsi="Times New Roman"/>
      <w:b/>
      <w:bCs/>
      <w:kern w:val="44"/>
      <w:sz w:val="24"/>
      <w:szCs w:val="44"/>
    </w:rPr>
  </w:style>
  <w:style w:type="character" w:customStyle="1" w:styleId="3Char">
    <w:name w:val="标题 3 Char"/>
    <w:basedOn w:val="a0"/>
    <w:link w:val="3"/>
    <w:uiPriority w:val="9"/>
    <w:rPr>
      <w:rFonts w:ascii="Times New Roman" w:eastAsia="楷体_GB2312" w:hAnsi="Times New Roman"/>
      <w:b/>
      <w:bCs/>
      <w:sz w:val="24"/>
      <w:szCs w:val="32"/>
    </w:rPr>
  </w:style>
  <w:style w:type="table" w:customStyle="1" w:styleId="11">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qFormat/>
    <w:rPr>
      <w:rFonts w:eastAsia="楷体_GB231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Pr>
      <w:rFonts w:eastAsia="楷体_GB231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4</DocSecurity>
  <Lines>45</Lines>
  <Paragraphs>12</Paragraphs>
  <ScaleCrop>false</ScaleCrop>
  <Company>Hewlett-Packard Company</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Weijun Wang</dc:creator>
  <cp:lastModifiedBy>ZHONGM</cp:lastModifiedBy>
  <cp:revision>2</cp:revision>
  <cp:lastPrinted>2021-04-18T10:52:00Z</cp:lastPrinted>
  <dcterms:created xsi:type="dcterms:W3CDTF">2024-01-14T16:01:00Z</dcterms:created>
  <dcterms:modified xsi:type="dcterms:W3CDTF">2024-01-14T16:01:00Z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