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4" w:rsidRPr="00EC6148" w:rsidRDefault="00614CA4" w:rsidP="005E3BE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C6148">
        <w:rPr>
          <w:rFonts w:ascii="Times New Roman" w:eastAsia="黑体" w:hAnsi="Times New Roman" w:cs="Times New Roman"/>
          <w:kern w:val="0"/>
          <w:sz w:val="32"/>
          <w:szCs w:val="32"/>
        </w:rPr>
        <w:t>关于</w:t>
      </w:r>
      <w:r w:rsidR="009C0C20" w:rsidRPr="00EC6148">
        <w:rPr>
          <w:rFonts w:ascii="Times New Roman" w:eastAsia="黑体" w:hAnsi="Times New Roman" w:cs="Times New Roman"/>
          <w:kern w:val="0"/>
          <w:sz w:val="32"/>
          <w:szCs w:val="32"/>
        </w:rPr>
        <w:t>宝盈中证沪港深科技龙头指数型发起式证券投资基金</w:t>
      </w:r>
    </w:p>
    <w:p w:rsidR="005E3BE7" w:rsidRDefault="00253154" w:rsidP="005E3BE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C6148">
        <w:rPr>
          <w:rFonts w:ascii="Times New Roman" w:eastAsia="黑体" w:hAnsi="Times New Roman" w:cs="Times New Roman"/>
          <w:kern w:val="0"/>
          <w:sz w:val="32"/>
          <w:szCs w:val="32"/>
        </w:rPr>
        <w:t>202</w:t>
      </w:r>
      <w:r w:rsidR="00ED68F8" w:rsidRPr="00EC6148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="00614CA4" w:rsidRPr="00EC6148">
        <w:rPr>
          <w:rFonts w:ascii="Times New Roman" w:eastAsia="黑体" w:hAnsi="Times New Roman" w:cs="Times New Roman"/>
          <w:kern w:val="0"/>
          <w:sz w:val="32"/>
          <w:szCs w:val="32"/>
        </w:rPr>
        <w:t>年非港股通交易日</w:t>
      </w:r>
      <w:r w:rsidR="00600E0A" w:rsidRPr="00600E0A">
        <w:rPr>
          <w:rFonts w:ascii="Times New Roman" w:eastAsia="黑体" w:hAnsi="Times New Roman" w:cs="Times New Roman" w:hint="eastAsia"/>
          <w:kern w:val="0"/>
          <w:sz w:val="32"/>
          <w:szCs w:val="32"/>
        </w:rPr>
        <w:t>暂停申购、赎回等业务安排的</w:t>
      </w:r>
    </w:p>
    <w:p w:rsidR="00614CA4" w:rsidRPr="00EC6148" w:rsidRDefault="00600E0A" w:rsidP="005E3BE7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00E0A">
        <w:rPr>
          <w:rFonts w:ascii="Times New Roman" w:eastAsia="黑体" w:hAnsi="Times New Roman" w:cs="Times New Roman" w:hint="eastAsia"/>
          <w:kern w:val="0"/>
          <w:sz w:val="32"/>
          <w:szCs w:val="32"/>
        </w:rPr>
        <w:t>提示性公告</w:t>
      </w:r>
    </w:p>
    <w:p w:rsidR="00614CA4" w:rsidRPr="00EC6148" w:rsidRDefault="00614CA4" w:rsidP="00AD51C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C6148">
        <w:rPr>
          <w:rFonts w:ascii="Times New Roman" w:hAnsi="Times New Roman" w:cs="Times New Roman"/>
          <w:kern w:val="0"/>
          <w:sz w:val="24"/>
          <w:szCs w:val="24"/>
        </w:rPr>
        <w:t>根据《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宝盈中证沪港深科技龙头指数型发起式证券投资基金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基金合同》、《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宝盈中证沪港深科技龙头指数型发起式证券投资基金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招募说明书》的有关规定，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宝盈中证沪港深科技龙头指数型发起式证券投资基金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（以下简称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本基金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A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类基金份额代码：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015820</w:t>
      </w:r>
      <w:r w:rsidR="00DB0FFD" w:rsidRPr="00EC6148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C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类基金份额代码：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015821</w:t>
      </w:r>
      <w:r w:rsidR="00657A3B" w:rsidRPr="00EC6148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的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申购和赎回的开放日为上海证券交易所、深圳证券交易所的正常交易日</w:t>
      </w:r>
      <w:r w:rsidR="008F7718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若该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工作日为非港股通交易日，则本基金不开放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。</w:t>
      </w:r>
      <w:r w:rsidR="009C0C20" w:rsidRPr="00EC6148">
        <w:rPr>
          <w:rFonts w:ascii="Times New Roman" w:hAnsi="Times New Roman" w:cs="Times New Roman"/>
          <w:kern w:val="0"/>
          <w:sz w:val="24"/>
          <w:szCs w:val="24"/>
        </w:rPr>
        <w:t>本基金投资所涉及的证券交易所、期货交易所或外汇市场交易时间非正常停市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，导致基金管理人无法计算当日基金资产净值等情况下，基金管理人可以暂停接受投资人的申购和赎回申请。</w:t>
      </w:r>
    </w:p>
    <w:p w:rsidR="00614CA4" w:rsidRPr="00EC6148" w:rsidRDefault="00ED68F8" w:rsidP="00F503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C6148">
        <w:rPr>
          <w:rFonts w:ascii="Times New Roman" w:hAnsi="Times New Roman" w:cs="Times New Roman"/>
          <w:kern w:val="0"/>
          <w:sz w:val="24"/>
          <w:szCs w:val="24"/>
        </w:rPr>
        <w:t>根据上海证券交易所《关于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2023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年岁末及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2024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年沪港通下港股通交易日安排的通知》、深圳证券交易所《关于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2023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年底及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2024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年深港通下的港股通交易日有关安排的通知》</w:t>
      </w:r>
      <w:r w:rsidR="00614CA4" w:rsidRPr="00EC6148">
        <w:rPr>
          <w:rFonts w:ascii="Times New Roman" w:hAnsi="Times New Roman" w:cs="Times New Roman"/>
          <w:kern w:val="0"/>
          <w:sz w:val="24"/>
          <w:szCs w:val="24"/>
        </w:rPr>
        <w:t>，本基金将于非港股通交易日暂停办理申购、赎回、转换</w:t>
      </w:r>
      <w:bookmarkStart w:id="0" w:name="_GoBack"/>
      <w:bookmarkEnd w:id="0"/>
      <w:r w:rsidR="00614CA4" w:rsidRPr="00EC6148">
        <w:rPr>
          <w:rFonts w:ascii="Times New Roman" w:hAnsi="Times New Roman" w:cs="Times New Roman"/>
          <w:kern w:val="0"/>
          <w:sz w:val="24"/>
          <w:szCs w:val="24"/>
        </w:rPr>
        <w:t>和定投等业务，并自该非港股通交易日的下一开放日恢复办理本基金的上</w:t>
      </w:r>
      <w:r w:rsidR="00E937AD" w:rsidRPr="00EC6148">
        <w:rPr>
          <w:rFonts w:ascii="Times New Roman" w:hAnsi="Times New Roman" w:cs="Times New Roman"/>
          <w:kern w:val="0"/>
          <w:sz w:val="24"/>
          <w:szCs w:val="24"/>
        </w:rPr>
        <w:t>述业务，</w:t>
      </w:r>
      <w:r w:rsidR="00614CA4" w:rsidRPr="00EC6148">
        <w:rPr>
          <w:rFonts w:ascii="Times New Roman" w:hAnsi="Times New Roman" w:cs="Times New Roman"/>
          <w:kern w:val="0"/>
          <w:sz w:val="24"/>
          <w:szCs w:val="24"/>
        </w:rPr>
        <w:t>届时不再另行公告。</w:t>
      </w:r>
    </w:p>
    <w:p w:rsidR="00614CA4" w:rsidRPr="00EC6148" w:rsidRDefault="00614CA4" w:rsidP="007B6E4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C6148">
        <w:rPr>
          <w:rFonts w:ascii="Times New Roman" w:hAnsi="Times New Roman" w:cs="Times New Roman"/>
          <w:kern w:val="0"/>
          <w:sz w:val="24"/>
          <w:szCs w:val="24"/>
        </w:rPr>
        <w:t>本基金</w:t>
      </w:r>
      <w:r w:rsidR="00507B04" w:rsidRPr="00EC6148">
        <w:rPr>
          <w:rFonts w:ascii="Times New Roman" w:hAnsi="Times New Roman" w:cs="Times New Roman"/>
          <w:kern w:val="0"/>
          <w:sz w:val="24"/>
          <w:szCs w:val="24"/>
        </w:rPr>
        <w:t>202</w:t>
      </w:r>
      <w:r w:rsidR="003613F1" w:rsidRPr="00EC6148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C6148">
        <w:rPr>
          <w:rFonts w:ascii="Times New Roman" w:hAnsi="Times New Roman" w:cs="Times New Roman"/>
          <w:kern w:val="0"/>
          <w:sz w:val="24"/>
          <w:szCs w:val="24"/>
        </w:rPr>
        <w:t>年非港股通交易日提示如下：</w:t>
      </w:r>
    </w:p>
    <w:tbl>
      <w:tblPr>
        <w:tblW w:w="4747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4941"/>
      </w:tblGrid>
      <w:tr w:rsidR="005E3BE7" w:rsidRPr="00EC6148" w:rsidTr="005E3BE7">
        <w:trPr>
          <w:trHeight w:val="401"/>
        </w:trPr>
        <w:tc>
          <w:tcPr>
            <w:tcW w:w="189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B04" w:rsidRPr="00EC6148" w:rsidRDefault="000272C0" w:rsidP="005E3BE7">
            <w:pPr>
              <w:widowControl/>
              <w:spacing w:line="330" w:lineRule="atLeast"/>
              <w:ind w:firstLineChars="200" w:firstLine="482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节假日</w:t>
            </w:r>
          </w:p>
        </w:tc>
        <w:tc>
          <w:tcPr>
            <w:tcW w:w="311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B04" w:rsidRPr="00EC6148" w:rsidRDefault="000272C0" w:rsidP="005E3BE7">
            <w:pPr>
              <w:widowControl/>
              <w:spacing w:line="330" w:lineRule="atLeast"/>
              <w:ind w:firstLineChars="200" w:firstLine="482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非港股通</w:t>
            </w:r>
            <w:r>
              <w:rPr>
                <w:rFonts w:ascii="Times New Roman" w:hAnsi="Times New Roman" w:cs="Times New Roman"/>
                <w:b/>
                <w:color w:val="333333"/>
                <w:kern w:val="0"/>
                <w:sz w:val="24"/>
                <w:szCs w:val="24"/>
              </w:rPr>
              <w:t>交易日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香港耶稣受难节、复活节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3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29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日、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4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香港佛诞日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15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香港特别行政区成立纪念日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中秋节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18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香港重阳节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10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11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  <w:tr w:rsidR="005E3BE7" w:rsidRPr="000272C0" w:rsidTr="005E3BE7">
        <w:trPr>
          <w:trHeight w:val="40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香港圣诞节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272C0" w:rsidRPr="000272C0" w:rsidRDefault="000272C0" w:rsidP="005E3BE7">
            <w:pPr>
              <w:widowControl/>
              <w:spacing w:line="33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24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日、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25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日、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月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26</w:t>
            </w:r>
            <w:r w:rsidRPr="000272C0">
              <w:rPr>
                <w:rFonts w:ascii="Times New Roman" w:hAnsi="Times New Roman" w:cs="Times New Roman" w:hint="eastAsia"/>
                <w:color w:val="333333"/>
                <w:kern w:val="0"/>
                <w:szCs w:val="21"/>
              </w:rPr>
              <w:t>日</w:t>
            </w:r>
          </w:p>
        </w:tc>
      </w:tr>
    </w:tbl>
    <w:p w:rsidR="00D06FD4" w:rsidRPr="00EC6148" w:rsidRDefault="00614CA4" w:rsidP="00D06FD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注：</w:t>
      </w:r>
    </w:p>
    <w:p w:rsidR="00614CA4" w:rsidRPr="00EC6148" w:rsidRDefault="00614CA4" w:rsidP="00D06FD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、上述非港股通交易日已剔除和上海证券交易所、深圳证券交易所休市日重合的日期。</w:t>
      </w:r>
    </w:p>
    <w:p w:rsidR="00614CA4" w:rsidRPr="00EC6148" w:rsidRDefault="00614CA4" w:rsidP="00F503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、如本基金因其他原因暂停申购、赎回、转换和定投等业务的，具体业务办理以相关公告为准。</w:t>
      </w:r>
    </w:p>
    <w:p w:rsidR="00614CA4" w:rsidRPr="00EC6148" w:rsidRDefault="00614CA4" w:rsidP="008F771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3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2024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 12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 30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日（星期一）至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 12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 31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日（星期二）是否提供港股通服务，将待中国证监会关于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 xml:space="preserve"> 2025 </w:t>
      </w:r>
      <w:r w:rsidR="003613F1" w:rsidRPr="00EC6148">
        <w:rPr>
          <w:rFonts w:ascii="Times New Roman" w:eastAsia="宋体" w:hAnsi="Times New Roman" w:cs="Times New Roman"/>
          <w:kern w:val="0"/>
          <w:sz w:val="24"/>
          <w:szCs w:val="24"/>
        </w:rPr>
        <w:t>年节假日放假和休市安排确定后由本公司另行公告</w:t>
      </w: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14CA4" w:rsidRPr="00EC6148" w:rsidRDefault="00614CA4" w:rsidP="00F503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若港股通交易日安排发生变化，本基金管理人将进行相应调整并公告。若境外主要市场状况发生变化，或将来根据法律法规和基金合同的约定需要调整上述安排的，本基金管理人将另行调整并公告。</w:t>
      </w:r>
    </w:p>
    <w:p w:rsidR="00614CA4" w:rsidRDefault="00614CA4" w:rsidP="00F503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投资者可访问</w:t>
      </w:r>
      <w:r w:rsidR="00D64284" w:rsidRPr="00EC6148">
        <w:rPr>
          <w:rFonts w:ascii="Times New Roman" w:eastAsia="宋体" w:hAnsi="Times New Roman" w:cs="Times New Roman"/>
          <w:kern w:val="0"/>
          <w:sz w:val="24"/>
          <w:szCs w:val="24"/>
        </w:rPr>
        <w:t>宝盈基金管理有限公司</w:t>
      </w: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网站</w:t>
      </w:r>
      <w:r w:rsidR="00AD51CE" w:rsidRPr="00EC6148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AD51CE" w:rsidRPr="00EC6148">
        <w:rPr>
          <w:rFonts w:ascii="Times New Roman" w:eastAsia="宋体" w:hAnsi="Times New Roman" w:cs="Times New Roman"/>
          <w:kern w:val="0"/>
          <w:sz w:val="24"/>
          <w:szCs w:val="24"/>
        </w:rPr>
        <w:t>www.byfunds.com</w:t>
      </w:r>
      <w:r w:rsidR="00AD51CE" w:rsidRPr="00EC6148">
        <w:rPr>
          <w:rFonts w:ascii="Times New Roman" w:eastAsia="宋体" w:hAnsi="Times New Roman" w:cs="Times New Roman"/>
          <w:kern w:val="0"/>
          <w:sz w:val="24"/>
          <w:szCs w:val="24"/>
        </w:rPr>
        <w:t>）或拨打全国免长途话费的客户服务电话（</w:t>
      </w:r>
      <w:r w:rsidR="00AD51CE" w:rsidRPr="00EC6148">
        <w:rPr>
          <w:rFonts w:ascii="Times New Roman" w:eastAsia="宋体" w:hAnsi="Times New Roman" w:cs="Times New Roman"/>
          <w:kern w:val="0"/>
          <w:sz w:val="24"/>
          <w:szCs w:val="24"/>
        </w:rPr>
        <w:t>400-8888-300</w:t>
      </w:r>
      <w:r w:rsidR="00AD51CE" w:rsidRPr="00EC6148">
        <w:rPr>
          <w:rFonts w:ascii="Times New Roman" w:eastAsia="宋体" w:hAnsi="Times New Roman" w:cs="Times New Roman"/>
          <w:kern w:val="0"/>
          <w:sz w:val="24"/>
          <w:szCs w:val="24"/>
        </w:rPr>
        <w:t>）咨询相关情况</w:t>
      </w: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。敬请投资者及早做好交易安排，避免因假期原因带来不便。</w:t>
      </w:r>
    </w:p>
    <w:p w:rsidR="005E3BE7" w:rsidRPr="00EC6148" w:rsidRDefault="005E3BE7" w:rsidP="00F503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14CA4" w:rsidRPr="00EC6148" w:rsidRDefault="00D64284" w:rsidP="00E937AD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6148">
        <w:rPr>
          <w:rFonts w:ascii="Times New Roman" w:eastAsia="宋体" w:hAnsi="Times New Roman" w:cs="Times New Roman"/>
          <w:kern w:val="0"/>
          <w:sz w:val="24"/>
          <w:szCs w:val="24"/>
        </w:rPr>
        <w:t>宝盈基金管理有限公司</w:t>
      </w:r>
    </w:p>
    <w:p w:rsidR="00B95C34" w:rsidRPr="00EC6148" w:rsidRDefault="00253154" w:rsidP="00E937AD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5E3BE7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 w:rsidR="003613F1" w:rsidRPr="005E3BE7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="00614CA4" w:rsidRPr="005E3BE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1D4172" w:rsidRPr="005E3BE7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614CA4" w:rsidRPr="005E3BE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5E3BE7" w:rsidRPr="005E3BE7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="00614CA4" w:rsidRPr="005E3BE7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B95C34" w:rsidRPr="00EC6148" w:rsidSect="00A4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F4" w:rsidRDefault="00AC2AF4" w:rsidP="00DB0FFD">
      <w:r>
        <w:separator/>
      </w:r>
    </w:p>
  </w:endnote>
  <w:endnote w:type="continuationSeparator" w:id="0">
    <w:p w:rsidR="00AC2AF4" w:rsidRDefault="00AC2AF4" w:rsidP="00DB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F4" w:rsidRDefault="00AC2AF4" w:rsidP="00DB0FFD">
      <w:r>
        <w:separator/>
      </w:r>
    </w:p>
  </w:footnote>
  <w:footnote w:type="continuationSeparator" w:id="0">
    <w:p w:rsidR="00AC2AF4" w:rsidRDefault="00AC2AF4" w:rsidP="00DB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8E"/>
    <w:rsid w:val="000272C0"/>
    <w:rsid w:val="001D4172"/>
    <w:rsid w:val="00253154"/>
    <w:rsid w:val="00296A6A"/>
    <w:rsid w:val="003613F1"/>
    <w:rsid w:val="00425F48"/>
    <w:rsid w:val="00507B04"/>
    <w:rsid w:val="005D3E40"/>
    <w:rsid w:val="005E3BE7"/>
    <w:rsid w:val="00600E0A"/>
    <w:rsid w:val="00614CA4"/>
    <w:rsid w:val="00657A3B"/>
    <w:rsid w:val="00666672"/>
    <w:rsid w:val="007B6E44"/>
    <w:rsid w:val="008F7718"/>
    <w:rsid w:val="009702BF"/>
    <w:rsid w:val="00990B05"/>
    <w:rsid w:val="009C0C20"/>
    <w:rsid w:val="009F5CE9"/>
    <w:rsid w:val="00A4087D"/>
    <w:rsid w:val="00A97B27"/>
    <w:rsid w:val="00AB4F8E"/>
    <w:rsid w:val="00AC2AF4"/>
    <w:rsid w:val="00AD51CE"/>
    <w:rsid w:val="00B45E32"/>
    <w:rsid w:val="00C14AB5"/>
    <w:rsid w:val="00D06FD4"/>
    <w:rsid w:val="00D64284"/>
    <w:rsid w:val="00DB0FFD"/>
    <w:rsid w:val="00E937AD"/>
    <w:rsid w:val="00EC6148"/>
    <w:rsid w:val="00ED68F8"/>
    <w:rsid w:val="00F1261A"/>
    <w:rsid w:val="00F5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F756-DD48-4ECD-9324-69B82E87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4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余曼曼</dc:creator>
  <cp:keywords/>
  <dc:description/>
  <cp:lastModifiedBy>ZHONGM</cp:lastModifiedBy>
  <cp:revision>2</cp:revision>
  <dcterms:created xsi:type="dcterms:W3CDTF">2024-01-14T16:00:00Z</dcterms:created>
  <dcterms:modified xsi:type="dcterms:W3CDTF">2024-01-14T16:00:00Z</dcterms:modified>
</cp:coreProperties>
</file>