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97D5F" w:rsidRDefault="00297D5F" w:rsidP="009F71BD">
      <w:pPr>
        <w:pStyle w:val="XBRL2"/>
        <w:spacing w:before="156"/>
        <w:rPr>
          <w:lang w:eastAsia="zh-CN"/>
        </w:rPr>
      </w:pPr>
      <w:bookmarkStart w:id="0" w:name="_Toc510201001"/>
      <w:bookmarkEnd w:id="0"/>
      <w:r>
        <w:rPr>
          <w:lang w:eastAsia="zh-CN"/>
        </w:rPr>
        <w:t xml:space="preserve">　</w:t>
      </w:r>
      <w:r>
        <w:rPr>
          <w:lang w:eastAsia="zh-CN"/>
        </w:rPr>
        <w:t xml:space="preserve"> </w:t>
      </w:r>
    </w:p>
    <w:p w:rsidR="00297D5F" w:rsidRDefault="00297D5F">
      <w:pPr>
        <w:jc w:val="center"/>
      </w:pPr>
      <w:r>
        <w:rPr>
          <w:rFonts w:cs="Times New Roman" w:hint="eastAsia"/>
          <w:b/>
          <w:sz w:val="48"/>
          <w:szCs w:val="48"/>
        </w:rPr>
        <w:t>中银证券瑞益灵活配置混合型证券投资基金暂停申购、转换转入、定期定额投资公告</w:t>
      </w:r>
    </w:p>
    <w:p w:rsidR="00297D5F" w:rsidRDefault="00297D5F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297D5F" w:rsidRDefault="00297D5F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297D5F" w:rsidRDefault="00297D5F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297D5F" w:rsidRDefault="00297D5F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297D5F" w:rsidRDefault="00297D5F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297D5F" w:rsidRDefault="00297D5F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297D5F" w:rsidRDefault="00297D5F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297D5F" w:rsidRDefault="00297D5F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297D5F" w:rsidRDefault="00297D5F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297D5F" w:rsidRDefault="00297D5F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297D5F" w:rsidRDefault="00297D5F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297D5F" w:rsidRDefault="00297D5F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297D5F" w:rsidRDefault="00297D5F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297D5F" w:rsidRDefault="00297D5F">
      <w:pPr>
        <w:spacing w:line="360" w:lineRule="auto"/>
        <w:jc w:val="center"/>
        <w:rPr>
          <w:rFonts w:hint="eastAsia"/>
        </w:rPr>
      </w:pPr>
      <w:r>
        <w:rPr>
          <w:rFonts w:hint="eastAsia"/>
          <w:b/>
          <w:bCs/>
          <w:sz w:val="24"/>
          <w:szCs w:val="30"/>
        </w:rPr>
        <w:t>公告送出日期：2024年1月12日</w:t>
      </w:r>
    </w:p>
    <w:p w:rsidR="00297D5F" w:rsidRDefault="00297D5F" w:rsidP="009F71BD">
      <w:pPr>
        <w:pStyle w:val="XBRLTitle1"/>
        <w:spacing w:before="156"/>
        <w:jc w:val="left"/>
        <w:rPr>
          <w:rFonts w:hint="eastAsia"/>
        </w:rPr>
      </w:pPr>
      <w:r>
        <w:rPr>
          <w:rFonts w:hint="eastAsia"/>
          <w:b w:val="0"/>
          <w:bCs w:val="0"/>
          <w:color w:val="404040"/>
          <w:kern w:val="0"/>
        </w:rPr>
        <w:br w:type="page"/>
      </w:r>
      <w:bookmarkStart w:id="1" w:name="_Toc34322059"/>
      <w:bookmarkStart w:id="2" w:name="_Toc513295892"/>
      <w:bookmarkStart w:id="3" w:name="_Toc513295846"/>
      <w:bookmarkStart w:id="4" w:name="_Toc490050000"/>
      <w:bookmarkStart w:id="5" w:name="_Toc438646451"/>
      <w:bookmarkStart w:id="6" w:name="_Toc481075046"/>
      <w:bookmarkStart w:id="7" w:name="_Toc512519480"/>
      <w:bookmarkStart w:id="8" w:name="_Toc17897936"/>
      <w:bookmarkStart w:id="9" w:name="_Toc17898178"/>
      <w:bookmarkStart w:id="10" w:name="_Toc194311890"/>
      <w:bookmarkStart w:id="11" w:name="m01_01"/>
      <w:bookmarkStart w:id="12" w:name="m101"/>
      <w:r>
        <w:rPr>
          <w:rFonts w:hint="eastAsia"/>
          <w:szCs w:val="24"/>
        </w:rPr>
        <w:t>公告基本信息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hint="eastAsia"/>
          <w:szCs w:val="24"/>
        </w:rPr>
        <w:t xml:space="preserve"> </w:t>
      </w:r>
      <w:bookmarkEnd w:id="10"/>
      <w:bookmarkEnd w:id="11"/>
      <w:bookmarkEnd w:id="12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34"/>
        <w:gridCol w:w="1269"/>
        <w:gridCol w:w="3179"/>
        <w:gridCol w:w="3179"/>
      </w:tblGrid>
      <w:tr w:rsidR="00297D5F">
        <w:trPr>
          <w:divId w:val="459958644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7D5F" w:rsidRDefault="00297D5F">
            <w:r>
              <w:rPr>
                <w:rFonts w:ascii="Calibri" w:hAnsi="Calibri" w:hint="eastAsia"/>
              </w:rPr>
              <w:t>基金名称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7D5F" w:rsidRDefault="00297D5F">
            <w:r>
              <w:rPr>
                <w:rFonts w:hint="eastAsia"/>
              </w:rPr>
              <w:t>中银证券瑞益灵活配置混合型证券投资基金</w:t>
            </w:r>
          </w:p>
        </w:tc>
      </w:tr>
      <w:tr w:rsidR="00297D5F">
        <w:trPr>
          <w:divId w:val="459958644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7D5F" w:rsidRDefault="00297D5F">
            <w:r>
              <w:rPr>
                <w:rFonts w:hint="eastAsia"/>
              </w:rPr>
              <w:t xml:space="preserve">基金简称 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7D5F" w:rsidRDefault="00297D5F">
            <w:r>
              <w:rPr>
                <w:rFonts w:hint="eastAsia"/>
              </w:rPr>
              <w:t>中银证券瑞益混合</w:t>
            </w:r>
          </w:p>
        </w:tc>
      </w:tr>
      <w:tr w:rsidR="00297D5F">
        <w:trPr>
          <w:divId w:val="459958644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7D5F" w:rsidRDefault="00297D5F">
            <w:r>
              <w:rPr>
                <w:rFonts w:hint="eastAsia"/>
              </w:rPr>
              <w:t xml:space="preserve">基金主代码 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7D5F" w:rsidRDefault="00297D5F">
            <w:r>
              <w:rPr>
                <w:rFonts w:hint="eastAsia"/>
              </w:rPr>
              <w:t>003980</w:t>
            </w:r>
          </w:p>
        </w:tc>
      </w:tr>
      <w:tr w:rsidR="00297D5F">
        <w:trPr>
          <w:divId w:val="459958644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7D5F" w:rsidRDefault="00297D5F">
            <w:r>
              <w:rPr>
                <w:rFonts w:ascii="Calibri" w:hAnsi="Calibri" w:hint="eastAsia"/>
              </w:rPr>
              <w:t>基金管理人名称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7D5F" w:rsidRDefault="00297D5F">
            <w:r>
              <w:rPr>
                <w:rFonts w:hint="eastAsia"/>
              </w:rPr>
              <w:t>中银国际证券股份有限公司</w:t>
            </w:r>
          </w:p>
        </w:tc>
      </w:tr>
      <w:tr w:rsidR="00297D5F">
        <w:trPr>
          <w:divId w:val="459958644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7D5F" w:rsidRDefault="00297D5F">
            <w:r>
              <w:rPr>
                <w:rFonts w:ascii="Calibri" w:hAnsi="Calibri" w:hint="eastAsia"/>
              </w:rPr>
              <w:t>公告依据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7D5F" w:rsidRDefault="00297D5F">
            <w:r>
              <w:rPr>
                <w:rFonts w:hint="eastAsia"/>
              </w:rPr>
              <w:t>《公开募集证券投资基金信息披露管理办法》、《公开募集证券投资基金运作管理办法》以及《中银证券瑞益灵活配置混合型证券投资基金基金合同》（以下简称“基金合同”）、《中银证券瑞益灵活配置混合型证券投资基金招募说明书》（以下简称“招募说明书”）等</w:t>
            </w:r>
          </w:p>
        </w:tc>
      </w:tr>
      <w:tr w:rsidR="00297D5F">
        <w:trPr>
          <w:divId w:val="459958644"/>
        </w:trPr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7D5F" w:rsidRDefault="00297D5F">
            <w:r>
              <w:rPr>
                <w:rFonts w:ascii="Calibri" w:hAnsi="Calibri" w:hint="eastAsia"/>
              </w:rPr>
              <w:t>暂停相关业务的起始日、金额及原因说明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7D5F" w:rsidRDefault="00297D5F">
            <w:r>
              <w:rPr>
                <w:rFonts w:ascii="Calibri" w:hAnsi="Calibri" w:hint="eastAsia"/>
              </w:rPr>
              <w:t>暂停申购起始日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7D5F" w:rsidRDefault="00297D5F">
            <w:r>
              <w:rPr>
                <w:rFonts w:hint="eastAsia"/>
              </w:rPr>
              <w:t>2024年1月12日</w:t>
            </w:r>
          </w:p>
        </w:tc>
      </w:tr>
      <w:tr w:rsidR="00297D5F">
        <w:trPr>
          <w:divId w:val="459958644"/>
        </w:trPr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D5F" w:rsidRDefault="00297D5F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7D5F" w:rsidRDefault="00297D5F">
            <w:r>
              <w:rPr>
                <w:rFonts w:ascii="Calibri" w:hAnsi="Calibri" w:hint="eastAsia"/>
              </w:rPr>
              <w:t>暂停转换转入起始日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7D5F" w:rsidRDefault="00297D5F">
            <w:r>
              <w:rPr>
                <w:rFonts w:hint="eastAsia"/>
              </w:rPr>
              <w:t>2024年1月12日</w:t>
            </w:r>
          </w:p>
        </w:tc>
      </w:tr>
      <w:tr w:rsidR="00297D5F">
        <w:trPr>
          <w:divId w:val="459958644"/>
        </w:trPr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D5F" w:rsidRDefault="00297D5F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7D5F" w:rsidRDefault="00297D5F">
            <w:r>
              <w:rPr>
                <w:rFonts w:ascii="Calibri" w:hAnsi="Calibri" w:hint="eastAsia"/>
              </w:rPr>
              <w:t>暂停定期定额投资起始日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7D5F" w:rsidRDefault="00297D5F">
            <w:r>
              <w:rPr>
                <w:rFonts w:hint="eastAsia"/>
              </w:rPr>
              <w:t>2024年1月12日</w:t>
            </w:r>
          </w:p>
        </w:tc>
      </w:tr>
      <w:tr w:rsidR="00297D5F">
        <w:trPr>
          <w:divId w:val="459958644"/>
        </w:trPr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D5F" w:rsidRDefault="00297D5F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7D5F" w:rsidRDefault="00297D5F">
            <w:r>
              <w:rPr>
                <w:rFonts w:ascii="Calibri" w:hAnsi="Calibri" w:hint="eastAsia"/>
              </w:rPr>
              <w:t>暂停申购、转换转入、定期定额投资的原因说明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outset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7D5F" w:rsidRDefault="00297D5F">
            <w:r>
              <w:rPr>
                <w:rFonts w:hint="eastAsia"/>
              </w:rPr>
              <w:t>为保护基金份额持有人利益</w:t>
            </w:r>
          </w:p>
        </w:tc>
      </w:tr>
      <w:tr w:rsidR="00297D5F">
        <w:trPr>
          <w:divId w:val="459958644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7D5F" w:rsidRDefault="00297D5F">
            <w:r>
              <w:rPr>
                <w:rFonts w:ascii="Calibri" w:hAnsi="Calibri" w:hint="eastAsia"/>
              </w:rPr>
              <w:t>下属分级基金的基金简称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297D5F" w:rsidRDefault="00297D5F">
            <w:r>
              <w:rPr>
                <w:rFonts w:hint="eastAsia"/>
              </w:rPr>
              <w:t>中银证券瑞益混合A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297D5F" w:rsidRDefault="00297D5F">
            <w:r>
              <w:rPr>
                <w:rFonts w:hint="eastAsia"/>
              </w:rPr>
              <w:t>中银证券瑞益混合C</w:t>
            </w:r>
          </w:p>
        </w:tc>
      </w:tr>
      <w:tr w:rsidR="00297D5F">
        <w:trPr>
          <w:divId w:val="459958644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7D5F" w:rsidRDefault="00297D5F">
            <w:r>
              <w:rPr>
                <w:rFonts w:ascii="Calibri" w:hAnsi="Calibri" w:hint="eastAsia"/>
              </w:rPr>
              <w:t>下属分级基金的交易代码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297D5F" w:rsidRDefault="00297D5F">
            <w:r>
              <w:rPr>
                <w:rFonts w:hint="eastAsia"/>
              </w:rPr>
              <w:t>003980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297D5F" w:rsidRDefault="00297D5F">
            <w:r>
              <w:rPr>
                <w:rFonts w:hint="eastAsia"/>
              </w:rPr>
              <w:t>003981</w:t>
            </w:r>
          </w:p>
        </w:tc>
      </w:tr>
      <w:tr w:rsidR="00297D5F">
        <w:trPr>
          <w:divId w:val="459958644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7D5F" w:rsidRDefault="00297D5F">
            <w:r>
              <w:rPr>
                <w:rFonts w:ascii="Calibri" w:hAnsi="Calibri" w:hint="eastAsia"/>
              </w:rPr>
              <w:t>该分级基金是否暂停申购、转换转入、定期定额投资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297D5F" w:rsidRDefault="00297D5F">
            <w:r>
              <w:rPr>
                <w:rFonts w:hint="eastAsia"/>
              </w:rPr>
              <w:t>是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297D5F" w:rsidRDefault="00297D5F">
            <w:r>
              <w:rPr>
                <w:rFonts w:hint="eastAsia"/>
              </w:rPr>
              <w:t>是</w:t>
            </w:r>
          </w:p>
        </w:tc>
      </w:tr>
    </w:tbl>
    <w:p w:rsidR="00297D5F" w:rsidRDefault="00297D5F" w:rsidP="009F71BD">
      <w:pPr>
        <w:pStyle w:val="XBRLTitle1"/>
        <w:spacing w:before="156" w:line="360" w:lineRule="auto"/>
        <w:jc w:val="left"/>
        <w:rPr>
          <w:rFonts w:hint="eastAsia"/>
        </w:rPr>
      </w:pPr>
      <w:bookmarkStart w:id="13" w:name="_Toc34322063"/>
      <w:bookmarkStart w:id="14" w:name="_Toc513295941"/>
      <w:bookmarkStart w:id="15" w:name="_Toc513295878"/>
      <w:bookmarkStart w:id="16" w:name="_Toc438646481"/>
      <w:bookmarkStart w:id="17" w:name="_Toc481075097"/>
      <w:bookmarkStart w:id="18" w:name="_Toc490050049"/>
      <w:bookmarkStart w:id="19" w:name="_Toc512519529"/>
      <w:bookmarkStart w:id="20" w:name="_Toc17897969"/>
      <w:bookmarkStart w:id="21" w:name="_Toc17898228"/>
      <w:bookmarkStart w:id="22" w:name="m201_01"/>
      <w:r>
        <w:rPr>
          <w:rFonts w:hAnsi="宋体" w:hint="eastAsia"/>
          <w:szCs w:val="24"/>
        </w:rPr>
        <w:t>其他需要提示的事项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rFonts w:hAnsi="宋体" w:hint="eastAsia"/>
          <w:szCs w:val="24"/>
        </w:rPr>
        <w:t xml:space="preserve"> </w:t>
      </w:r>
    </w:p>
    <w:p w:rsidR="00297D5F" w:rsidRDefault="00297D5F">
      <w:pPr>
        <w:spacing w:line="360" w:lineRule="auto"/>
        <w:ind w:firstLineChars="200" w:firstLine="420"/>
        <w:jc w:val="left"/>
        <w:rPr>
          <w:rFonts w:hint="eastAsia"/>
        </w:rPr>
      </w:pPr>
      <w:r>
        <w:rPr>
          <w:rFonts w:hint="eastAsia"/>
          <w:szCs w:val="21"/>
        </w:rPr>
        <w:t>（1）上述业务调整适用于代销机构和基金管理人直销平台。</w:t>
      </w:r>
      <w:r>
        <w:rPr>
          <w:rFonts w:hint="eastAsia"/>
          <w:szCs w:val="21"/>
        </w:rPr>
        <w:br/>
        <w:t xml:space="preserve">　　（2）自2024年1月12日起，本基金A类和C类份额暂停申购、转换转入及定期定额投资业务。在上述业务暂停期间，本基金的其他业务仍照常办理。</w:t>
      </w:r>
      <w:r>
        <w:rPr>
          <w:rFonts w:hint="eastAsia"/>
          <w:szCs w:val="21"/>
        </w:rPr>
        <w:br/>
        <w:t xml:space="preserve">　　（3）投资者可以登录本公司基金网站（www.bocifunds.com）或拨打客户服务热线956026 /400-620-8888（免长途通话费）选择6公募基金业务进行相关咨询。</w:t>
      </w:r>
      <w:r>
        <w:rPr>
          <w:rFonts w:hint="eastAsia"/>
          <w:szCs w:val="21"/>
        </w:rPr>
        <w:br/>
        <w:t xml:space="preserve">　　（4）风险提示：基金管理人承诺以诚实信用、勤勉尽责的原则管理和运用基金资产，但不保证基金一定盈利，也不保证最低收益。敬请投资者留意投资风险。投资者投资于本基金前应认真阅读本基金的基金合同和招募说明书。</w:t>
      </w:r>
    </w:p>
    <w:p w:rsidR="00297D5F" w:rsidRDefault="00297D5F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297D5F" w:rsidRDefault="00297D5F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297D5F" w:rsidRDefault="00297D5F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中银国际证券股份有限公司</w:t>
      </w:r>
    </w:p>
    <w:p w:rsidR="00297D5F" w:rsidRDefault="00297D5F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2024年1月12日</w:t>
      </w:r>
      <w:bookmarkEnd w:id="22"/>
      <w:r>
        <w:rPr>
          <w:rFonts w:hint="eastAsia"/>
          <w:b/>
          <w:bCs/>
          <w:sz w:val="24"/>
          <w:szCs w:val="24"/>
        </w:rPr>
        <w:t xml:space="preserve"> </w:t>
      </w:r>
    </w:p>
    <w:sectPr w:rsidR="00297D5F">
      <w:headerReference w:type="default" r:id="rId8"/>
      <w:footerReference w:type="default" r:id="rId9"/>
      <w:headerReference w:type="first" r:id="rId10"/>
      <w:footerReference w:type="first" r:id="rId11"/>
      <w:pgSz w:w="11907" w:h="16839"/>
      <w:pgMar w:top="1440" w:right="1531" w:bottom="1134" w:left="153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D5F" w:rsidRDefault="00297D5F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/>
          <w:szCs w:val="21"/>
        </w:rPr>
        <w:t xml:space="preserve"> </w:t>
      </w:r>
    </w:p>
  </w:endnote>
  <w:endnote w:type="continuationSeparator" w:id="0">
    <w:p w:rsidR="00297D5F" w:rsidRDefault="00297D5F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/>
          <w:szCs w:val="21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YaHei UI"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D5F" w:rsidRDefault="00297D5F">
    <w:pPr>
      <w:jc w:val="center"/>
      <w:rPr>
        <w:rFonts w:hint="eastAsia"/>
      </w:rPr>
    </w:pPr>
    <w:r>
      <w:rPr>
        <w:rFonts w:hint="eastAsia"/>
        <w:sz w:val="18"/>
        <w:szCs w:val="18"/>
      </w:rPr>
      <w:t>第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rFonts w:hint="eastAsia"/>
        <w:noProof/>
        <w:sz w:val="18"/>
        <w:szCs w:val="18"/>
      </w:rPr>
      <w:t>2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  <w:lang w:val="zh-CN"/>
      </w:rPr>
      <w:t>页 共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>
      <w:rPr>
        <w:rFonts w:hint="eastAsia"/>
        <w:noProof/>
        <w:sz w:val="18"/>
        <w:szCs w:val="18"/>
      </w:rPr>
      <w:t>2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</w:rPr>
      <w:t>页</w:t>
    </w:r>
    <w:r>
      <w:rPr>
        <w:rFonts w:hint="eastAsia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D5F" w:rsidRDefault="00297D5F">
    <w:pPr>
      <w:pStyle w:val="a8"/>
      <w:rPr>
        <w:rFonts w:hint="eastAsia"/>
      </w:rPr>
    </w:pPr>
  </w:p>
  <w:p w:rsidR="00297D5F" w:rsidRDefault="00297D5F">
    <w:pPr>
      <w:jc w:val="center"/>
      <w:rPr>
        <w:rFonts w:hint="eastAsia"/>
      </w:rPr>
    </w:pPr>
    <w:r>
      <w:rPr>
        <w:rFonts w:hint="eastAsia"/>
        <w:sz w:val="18"/>
        <w:szCs w:val="18"/>
      </w:rPr>
      <w:t>第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9F71BD">
      <w:rPr>
        <w:noProof/>
        <w:sz w:val="18"/>
        <w:szCs w:val="18"/>
      </w:rPr>
      <w:t>1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  <w:lang w:val="zh-CN"/>
      </w:rPr>
      <w:t>页 共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 w:rsidR="009F71BD">
      <w:rPr>
        <w:noProof/>
        <w:sz w:val="18"/>
        <w:szCs w:val="18"/>
      </w:rPr>
      <w:t>1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</w:rPr>
      <w:t>页</w:t>
    </w:r>
    <w:r>
      <w:rPr>
        <w:rFonts w:hint="eastAsia"/>
      </w:rPr>
      <w:t xml:space="preserve"> </w:t>
    </w:r>
  </w:p>
  <w:p w:rsidR="00297D5F" w:rsidRDefault="00297D5F">
    <w:pPr>
      <w:pStyle w:val="a8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D5F" w:rsidRDefault="00297D5F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/>
          <w:szCs w:val="21"/>
        </w:rPr>
        <w:t xml:space="preserve"> </w:t>
      </w:r>
    </w:p>
  </w:footnote>
  <w:footnote w:type="continuationSeparator" w:id="0">
    <w:p w:rsidR="00297D5F" w:rsidRDefault="00297D5F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/>
          <w:szCs w:val="21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D5F" w:rsidRDefault="00297D5F">
    <w:pPr>
      <w:pStyle w:val="a7"/>
      <w:jc w:val="right"/>
    </w:pPr>
    <w:r>
      <w:rPr>
        <w:rFonts w:hint="eastAsia"/>
      </w:rPr>
      <w:t>中银证券瑞益灵活配置混合型证券投资基金暂停申购、转换转入、定期定额投资公告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D5F" w:rsidRDefault="00297D5F">
    <w:pPr>
      <w:pStyle w:val="a7"/>
      <w:jc w:val="right"/>
      <w:rPr>
        <w:rFonts w:hint="eastAsia"/>
      </w:rPr>
    </w:pPr>
    <w:r>
      <w:rPr>
        <w:rFonts w:hint="eastAsia"/>
      </w:rPr>
      <w:t>中银证券瑞益灵活配置混合型证券投资基金暂停申购、转换转入、定期定额投资公告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73EE"/>
    <w:multiLevelType w:val="multilevel"/>
    <w:tmpl w:val="804A17E2"/>
    <w:lvl w:ilvl="0">
      <w:start w:val="1"/>
      <w:numFmt w:val="decimal"/>
      <w:pStyle w:val="XBRLTitle1"/>
      <w:lvlText w:val="%1."/>
      <w:lvlJc w:val="left"/>
      <w:pPr>
        <w:ind w:left="425" w:hanging="425"/>
      </w:pPr>
      <w:rPr>
        <w:sz w:val="24"/>
        <w:szCs w:val="24"/>
      </w:rPr>
    </w:lvl>
    <w:lvl w:ilvl="1">
      <w:start w:val="1"/>
      <w:numFmt w:val="decimal"/>
      <w:pStyle w:val="XBRLTitle2"/>
      <w:suff w:val="space"/>
      <w:lvlText w:val="%1.%2"/>
      <w:lvlJc w:val="left"/>
      <w:pPr>
        <w:ind w:left="3148" w:hanging="454"/>
      </w:pPr>
    </w:lvl>
    <w:lvl w:ilvl="2">
      <w:start w:val="1"/>
      <w:numFmt w:val="decimal"/>
      <w:pStyle w:val="XBRLTitle3"/>
      <w:suff w:val="space"/>
      <w:lvlText w:val="%1.%2.%3"/>
      <w:lvlJc w:val="left"/>
      <w:pPr>
        <w:ind w:left="1050" w:hanging="624"/>
      </w:pPr>
      <w:rPr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794" w:hanging="794"/>
      </w:pPr>
    </w:lvl>
    <w:lvl w:ilvl="4">
      <w:start w:val="1"/>
      <w:numFmt w:val="decimal"/>
      <w:suff w:val="space"/>
      <w:lvlText w:val="%1.%2.%3.%4.%5"/>
      <w:lvlJc w:val="left"/>
      <w:pPr>
        <w:ind w:left="1021" w:hanging="1021"/>
      </w:pPr>
    </w:lvl>
    <w:lvl w:ilvl="5">
      <w:start w:val="1"/>
      <w:numFmt w:val="decimal"/>
      <w:suff w:val="space"/>
      <w:lvlText w:val="%1.%2.%3.%4.%5.%6"/>
      <w:lvlJc w:val="left"/>
      <w:pPr>
        <w:ind w:left="1021" w:hanging="1021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mirrorMargins/>
  <w:bordersDoNotSurroundHeader/>
  <w:bordersDoNotSurroundFooter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662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1BD"/>
    <w:rsid w:val="00297D5F"/>
    <w:rsid w:val="00950B4F"/>
    <w:rsid w:val="009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semiHidden="0" w:uiPriority="0" w:unhideWhenUsed="0"/>
    <w:lsdException w:name="page number" w:semiHidden="0" w:unhideWhenUsed="0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0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Normal (Web)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</w:rPr>
  </w:style>
  <w:style w:type="paragraph" w:styleId="1">
    <w:name w:val="heading 1"/>
    <w:basedOn w:val="a"/>
    <w:next w:val="a"/>
    <w:link w:val="1Char1"/>
    <w:uiPriority w:val="9"/>
    <w:qFormat/>
    <w:pPr>
      <w:keepNext/>
      <w:keepLines/>
      <w:spacing w:before="340" w:after="330" w:line="576" w:lineRule="auto"/>
      <w:outlineLvl w:val="0"/>
    </w:pPr>
    <w:rPr>
      <w:rFonts w:cs="Times New Roman"/>
      <w:b/>
      <w:bCs/>
      <w:kern w:val="44"/>
      <w:sz w:val="44"/>
      <w:szCs w:val="44"/>
      <w:lang/>
    </w:rPr>
  </w:style>
  <w:style w:type="paragraph" w:styleId="2">
    <w:name w:val="heading 2"/>
    <w:basedOn w:val="a"/>
    <w:next w:val="a"/>
    <w:link w:val="2Char1"/>
    <w:uiPriority w:val="9"/>
    <w:qFormat/>
    <w:pPr>
      <w:keepNext/>
      <w:keepLines/>
      <w:spacing w:before="260" w:after="260" w:line="408" w:lineRule="auto"/>
      <w:outlineLvl w:val="1"/>
    </w:pPr>
    <w:rPr>
      <w:rFonts w:ascii="Cambria" w:hAnsi="Cambria" w:cs="Times New Roman"/>
      <w:b/>
      <w:bCs/>
      <w:kern w:val="0"/>
      <w:sz w:val="32"/>
      <w:szCs w:val="32"/>
      <w:lang/>
    </w:rPr>
  </w:style>
  <w:style w:type="paragraph" w:styleId="3">
    <w:name w:val="heading 3"/>
    <w:basedOn w:val="a"/>
    <w:next w:val="a"/>
    <w:link w:val="3Char1"/>
    <w:uiPriority w:val="9"/>
    <w:qFormat/>
    <w:pPr>
      <w:keepNext/>
      <w:keepLines/>
      <w:spacing w:before="260" w:after="260" w:line="408" w:lineRule="auto"/>
      <w:outlineLvl w:val="2"/>
    </w:pPr>
    <w:rPr>
      <w:rFonts w:cs="Times New Roman"/>
      <w:b/>
      <w:bCs/>
      <w:kern w:val="0"/>
      <w:sz w:val="32"/>
      <w:szCs w:val="32"/>
      <w:lang/>
    </w:rPr>
  </w:style>
  <w:style w:type="paragraph" w:styleId="4">
    <w:name w:val="heading 4"/>
    <w:basedOn w:val="a"/>
    <w:next w:val="a"/>
    <w:link w:val="4Char1"/>
    <w:qFormat/>
    <w:pPr>
      <w:keepNext/>
      <w:keepLines/>
      <w:spacing w:before="240" w:after="290" w:line="372" w:lineRule="auto"/>
      <w:outlineLvl w:val="3"/>
    </w:pPr>
    <w:rPr>
      <w:rFonts w:ascii="Cambria" w:hAnsi="Cambria" w:cs="Times New Roman"/>
      <w:b/>
      <w:bCs/>
      <w:kern w:val="0"/>
      <w:sz w:val="24"/>
      <w:szCs w:val="24"/>
      <w:lang/>
    </w:rPr>
  </w:style>
  <w:style w:type="paragraph" w:styleId="5">
    <w:name w:val="heading 5"/>
    <w:basedOn w:val="a"/>
    <w:next w:val="a"/>
    <w:link w:val="5Char1"/>
    <w:uiPriority w:val="9"/>
    <w:semiHidden/>
    <w:unhideWhenUsed/>
    <w:qFormat/>
    <w:pPr>
      <w:keepNext/>
      <w:keepLines/>
      <w:spacing w:before="240" w:after="290" w:line="372" w:lineRule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Char1"/>
    <w:uiPriority w:val="9"/>
    <w:semiHidden/>
    <w:unhideWhenUsed/>
    <w:qFormat/>
    <w:pPr>
      <w:keepNext/>
      <w:keepLines/>
      <w:spacing w:before="240" w:after="64" w:line="312" w:lineRule="auto"/>
      <w:outlineLvl w:val="5"/>
    </w:pPr>
    <w:rPr>
      <w:rFonts w:ascii="Cambria" w:hAnsi="Cambria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Char">
    <w:name w:val="标题 1 Char"/>
    <w:basedOn w:val="a0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locked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">
    <w:name w:val="标题 6 Char"/>
    <w:basedOn w:val="a0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10">
    <w:name w:val="toc 1"/>
    <w:basedOn w:val="a"/>
    <w:next w:val="a"/>
    <w:autoRedefine/>
    <w:uiPriority w:val="39"/>
    <w:semiHidden/>
    <w:unhideWhenUsed/>
    <w:pPr>
      <w:tabs>
        <w:tab w:val="right" w:leader="dot" w:pos="8835"/>
      </w:tabs>
    </w:pPr>
    <w:rPr>
      <w:noProof/>
    </w:rPr>
  </w:style>
  <w:style w:type="paragraph" w:styleId="20">
    <w:name w:val="toc 2"/>
    <w:basedOn w:val="a"/>
    <w:next w:val="a"/>
    <w:autoRedefine/>
    <w:uiPriority w:val="39"/>
    <w:semiHidden/>
    <w:unhideWhenUsed/>
    <w:pPr>
      <w:ind w:leftChars="200" w:left="420"/>
    </w:pPr>
  </w:style>
  <w:style w:type="paragraph" w:styleId="30">
    <w:name w:val="toc 3"/>
    <w:basedOn w:val="a"/>
    <w:next w:val="a"/>
    <w:autoRedefine/>
    <w:uiPriority w:val="39"/>
    <w:semiHidden/>
    <w:unhideWhenUsed/>
  </w:style>
  <w:style w:type="paragraph" w:styleId="a6">
    <w:name w:val="footnote text"/>
    <w:basedOn w:val="a"/>
    <w:link w:val="Char1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6"/>
    <w:locked/>
    <w:rPr>
      <w:kern w:val="2"/>
      <w:sz w:val="18"/>
      <w:szCs w:val="18"/>
    </w:rPr>
  </w:style>
  <w:style w:type="paragraph" w:styleId="a7">
    <w:name w:val="header"/>
    <w:basedOn w:val="a"/>
    <w:link w:val="Char1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locked/>
    <w:rPr>
      <w:kern w:val="2"/>
      <w:sz w:val="18"/>
      <w:szCs w:val="18"/>
    </w:rPr>
  </w:style>
  <w:style w:type="paragraph" w:styleId="a8">
    <w:name w:val="footer"/>
    <w:basedOn w:val="a"/>
    <w:link w:val="Char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locked/>
    <w:rPr>
      <w:kern w:val="2"/>
      <w:sz w:val="18"/>
      <w:szCs w:val="18"/>
    </w:rPr>
  </w:style>
  <w:style w:type="paragraph" w:styleId="a9">
    <w:name w:val="Title"/>
    <w:basedOn w:val="1"/>
    <w:next w:val="2"/>
    <w:link w:val="Char12"/>
    <w:uiPriority w:val="10"/>
    <w:qFormat/>
    <w:pPr>
      <w:keepNext w:val="0"/>
      <w:keepLines w:val="0"/>
      <w:spacing w:before="240" w:after="60" w:line="240" w:lineRule="auto"/>
      <w:jc w:val="center"/>
    </w:pPr>
    <w:rPr>
      <w:rFonts w:ascii="Cambria" w:hAnsi="Cambria"/>
      <w:kern w:val="0"/>
      <w:sz w:val="32"/>
      <w:szCs w:val="32"/>
    </w:rPr>
  </w:style>
  <w:style w:type="character" w:customStyle="1" w:styleId="Char3">
    <w:name w:val="标题 Char"/>
    <w:basedOn w:val="a0"/>
    <w:link w:val="a9"/>
    <w:uiPriority w:val="10"/>
    <w:locked/>
    <w:rPr>
      <w:rFonts w:ascii="Cambria" w:hAnsi="Cambria" w:cs="Times New Roman" w:hint="default"/>
      <w:b/>
      <w:bCs/>
      <w:kern w:val="2"/>
      <w:sz w:val="32"/>
      <w:szCs w:val="32"/>
    </w:rPr>
  </w:style>
  <w:style w:type="paragraph" w:styleId="aa">
    <w:name w:val="Subtitle"/>
    <w:basedOn w:val="2"/>
    <w:next w:val="3"/>
    <w:link w:val="Char13"/>
    <w:qFormat/>
    <w:pPr>
      <w:spacing w:before="240" w:after="60" w:line="312" w:lineRule="auto"/>
      <w:jc w:val="left"/>
    </w:pPr>
    <w:rPr>
      <w:bCs w:val="0"/>
      <w:kern w:val="24"/>
      <w:sz w:val="24"/>
    </w:rPr>
  </w:style>
  <w:style w:type="character" w:customStyle="1" w:styleId="Char4">
    <w:name w:val="副标题 Char"/>
    <w:basedOn w:val="a0"/>
    <w:link w:val="aa"/>
    <w:locked/>
    <w:rPr>
      <w:rFonts w:ascii="Cambria" w:hAnsi="Cambria" w:cs="Times New Roman" w:hint="default"/>
      <w:b/>
      <w:bCs/>
      <w:kern w:val="24"/>
      <w:sz w:val="32"/>
      <w:szCs w:val="32"/>
    </w:rPr>
  </w:style>
  <w:style w:type="paragraph" w:styleId="ab">
    <w:name w:val="Date"/>
    <w:basedOn w:val="a"/>
    <w:next w:val="a"/>
    <w:link w:val="Char14"/>
    <w:rPr>
      <w:rFonts w:cs="Times New Roman" w:hint="eastAsia"/>
      <w:sz w:val="32"/>
      <w:lang/>
    </w:rPr>
  </w:style>
  <w:style w:type="character" w:customStyle="1" w:styleId="Char5">
    <w:name w:val="日期 Char"/>
    <w:basedOn w:val="a0"/>
    <w:link w:val="ab"/>
    <w:locked/>
    <w:rPr>
      <w:kern w:val="2"/>
      <w:sz w:val="21"/>
    </w:rPr>
  </w:style>
  <w:style w:type="paragraph" w:styleId="ac">
    <w:name w:val="Document Map"/>
    <w:basedOn w:val="a"/>
    <w:link w:val="Char15"/>
    <w:pPr>
      <w:shd w:val="clear" w:color="auto" w:fill="000080"/>
    </w:pPr>
  </w:style>
  <w:style w:type="character" w:customStyle="1" w:styleId="Char6">
    <w:name w:val="文档结构图 Char"/>
    <w:basedOn w:val="a0"/>
    <w:link w:val="ac"/>
    <w:locked/>
    <w:rPr>
      <w:rFonts w:ascii="宋体" w:eastAsia="宋体" w:hAnsi="宋体" w:hint="eastAsia"/>
      <w:kern w:val="2"/>
      <w:sz w:val="18"/>
      <w:szCs w:val="18"/>
    </w:rPr>
  </w:style>
  <w:style w:type="paragraph" w:styleId="ad">
    <w:name w:val="Balloon Text"/>
    <w:basedOn w:val="a"/>
    <w:link w:val="Char16"/>
    <w:uiPriority w:val="99"/>
    <w:semiHidden/>
    <w:unhideWhenUsed/>
    <w:rPr>
      <w:sz w:val="18"/>
      <w:szCs w:val="18"/>
    </w:rPr>
  </w:style>
  <w:style w:type="character" w:customStyle="1" w:styleId="Char7">
    <w:name w:val="批注框文本 Char"/>
    <w:basedOn w:val="a0"/>
    <w:link w:val="ad"/>
    <w:uiPriority w:val="99"/>
    <w:semiHidden/>
    <w:locked/>
    <w:rPr>
      <w:kern w:val="2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4"/>
      <w:szCs w:val="24"/>
      <w:lang w:val="en-US" w:eastAsia="zh-CN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BRLTitle6">
    <w:name w:val="XBRLTitle6"/>
    <w:basedOn w:val="aa"/>
    <w:next w:val="4"/>
    <w:qFormat/>
    <w:pPr>
      <w:numPr>
        <w:ilvl w:val="5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ae">
    <w:name w:val="次标题"/>
    <w:basedOn w:val="3"/>
    <w:next w:val="a"/>
    <w:pPr>
      <w:spacing w:before="120" w:after="120"/>
      <w:jc w:val="left"/>
    </w:pPr>
    <w:rPr>
      <w:sz w:val="21"/>
    </w:rPr>
  </w:style>
  <w:style w:type="paragraph" w:customStyle="1" w:styleId="XBRL6">
    <w:name w:val="XBRL标题6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2">
    <w:name w:val="XBRL标题2"/>
    <w:basedOn w:val="aa"/>
    <w:next w:val="4"/>
    <w:qFormat/>
    <w:pPr>
      <w:spacing w:beforeLines="50" w:after="0" w:line="240" w:lineRule="auto"/>
    </w:pPr>
    <w:rPr>
      <w:bCs/>
    </w:rPr>
  </w:style>
  <w:style w:type="paragraph" w:customStyle="1" w:styleId="XBRL3">
    <w:name w:val="XBRL标题3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1">
    <w:name w:val="XBRLTitle1"/>
    <w:basedOn w:val="1"/>
    <w:next w:val="2"/>
    <w:qFormat/>
    <w:pPr>
      <w:keepNext w:val="0"/>
      <w:keepLines w:val="0"/>
      <w:numPr>
        <w:numId w:val="2"/>
      </w:numPr>
      <w:spacing w:beforeLines="50" w:after="0" w:line="240" w:lineRule="auto"/>
      <w:jc w:val="center"/>
    </w:pPr>
    <w:rPr>
      <w:rFonts w:hAnsi="Cambria"/>
      <w:sz w:val="24"/>
    </w:rPr>
  </w:style>
  <w:style w:type="paragraph" w:customStyle="1" w:styleId="XBRLTitle2">
    <w:name w:val="XBRLTitle2"/>
    <w:basedOn w:val="aa"/>
    <w:next w:val="4"/>
    <w:qFormat/>
    <w:pPr>
      <w:keepNext w:val="0"/>
      <w:keepLines w:val="0"/>
      <w:numPr>
        <w:ilvl w:val="1"/>
        <w:numId w:val="2"/>
      </w:numPr>
      <w:spacing w:beforeLines="50" w:after="0" w:line="240" w:lineRule="auto"/>
      <w:ind w:left="454"/>
    </w:pPr>
    <w:rPr>
      <w:rFonts w:ascii="宋体"/>
      <w:bCs/>
    </w:rPr>
  </w:style>
  <w:style w:type="paragraph" w:customStyle="1" w:styleId="XBRLTitle5">
    <w:name w:val="XBRLTitle5"/>
    <w:basedOn w:val="aa"/>
    <w:next w:val="4"/>
    <w:qFormat/>
    <w:pPr>
      <w:numPr>
        <w:ilvl w:val="4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Char8">
    <w:name w:val="Char"/>
    <w:basedOn w:val="a"/>
  </w:style>
  <w:style w:type="paragraph" w:customStyle="1" w:styleId="CharCharCharCharCharChar1CharCharChar">
    <w:name w:val="Char Char Char Char Char Char1 Char Char Char"/>
    <w:basedOn w:val="a"/>
    <w:pPr>
      <w:autoSpaceDE w:val="0"/>
      <w:autoSpaceDN w:val="0"/>
      <w:adjustRightInd w:val="0"/>
      <w:jc w:val="left"/>
    </w:pPr>
  </w:style>
  <w:style w:type="paragraph" w:customStyle="1" w:styleId="XBRL1">
    <w:name w:val="XBRL标题1"/>
    <w:basedOn w:val="1"/>
    <w:next w:val="2"/>
    <w:qFormat/>
    <w:pPr>
      <w:spacing w:beforeLines="50" w:after="0" w:line="240" w:lineRule="auto"/>
      <w:jc w:val="center"/>
    </w:pPr>
    <w:rPr>
      <w:rFonts w:ascii="Cambria" w:hAnsi="Cambria"/>
      <w:sz w:val="24"/>
    </w:rPr>
  </w:style>
  <w:style w:type="paragraph" w:customStyle="1" w:styleId="XBRL5">
    <w:name w:val="XBRL标题5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4">
    <w:name w:val="XBRL标题4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4">
    <w:name w:val="XBRLTitle4"/>
    <w:basedOn w:val="aa"/>
    <w:next w:val="4"/>
    <w:qFormat/>
    <w:pPr>
      <w:numPr>
        <w:ilvl w:val="3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XBRLTitle3">
    <w:name w:val="XBRLTitle3"/>
    <w:basedOn w:val="aa"/>
    <w:next w:val="4"/>
    <w:autoRedefine/>
    <w:qFormat/>
    <w:pPr>
      <w:keepNext w:val="0"/>
      <w:keepLines w:val="0"/>
      <w:numPr>
        <w:ilvl w:val="2"/>
        <w:numId w:val="2"/>
      </w:numPr>
      <w:spacing w:beforeLines="50" w:after="0" w:line="360" w:lineRule="auto"/>
      <w:ind w:left="0" w:firstLine="0"/>
      <w:outlineLvl w:val="9"/>
    </w:pPr>
    <w:rPr>
      <w:rFonts w:ascii="宋体"/>
      <w:bCs/>
    </w:rPr>
  </w:style>
  <w:style w:type="paragraph" w:customStyle="1" w:styleId="Default">
    <w:name w:val="Default"/>
    <w:basedOn w:val="a"/>
    <w:pPr>
      <w:autoSpaceDE w:val="0"/>
      <w:autoSpaceDN w:val="0"/>
      <w:adjustRightInd w:val="0"/>
      <w:jc w:val="left"/>
    </w:pPr>
    <w:rPr>
      <w:rFonts w:ascii="仿宋" w:eastAsia="仿宋" w:hAnsi="仿宋"/>
      <w:color w:val="000000"/>
      <w:kern w:val="0"/>
      <w:sz w:val="24"/>
      <w:szCs w:val="24"/>
    </w:rPr>
  </w:style>
  <w:style w:type="character" w:styleId="af">
    <w:name w:val="footnote reference"/>
    <w:rPr>
      <w:vertAlign w:val="superscript"/>
    </w:rPr>
  </w:style>
  <w:style w:type="character" w:customStyle="1" w:styleId="11">
    <w:name w:val="标题 1 字符"/>
    <w:basedOn w:val="a0"/>
    <w:link w:val="1"/>
    <w:uiPriority w:val="9"/>
    <w:locked/>
    <w:rPr>
      <w:b/>
      <w:bCs/>
      <w:kern w:val="44"/>
      <w:sz w:val="44"/>
      <w:szCs w:val="44"/>
    </w:rPr>
  </w:style>
  <w:style w:type="character" w:customStyle="1" w:styleId="21">
    <w:name w:val="标题 2 字符"/>
    <w:basedOn w:val="a0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1">
    <w:name w:val="标题 3 字符"/>
    <w:basedOn w:val="a0"/>
    <w:link w:val="3"/>
    <w:uiPriority w:val="9"/>
    <w:locked/>
    <w:rPr>
      <w:b/>
      <w:bCs/>
      <w:kern w:val="2"/>
      <w:sz w:val="32"/>
      <w:szCs w:val="32"/>
    </w:rPr>
  </w:style>
  <w:style w:type="character" w:customStyle="1" w:styleId="40">
    <w:name w:val="标题 4 字符"/>
    <w:basedOn w:val="a0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af0">
    <w:name w:val="脚注文本 字符"/>
    <w:basedOn w:val="a0"/>
    <w:link w:val="a6"/>
    <w:locked/>
    <w:rPr>
      <w:kern w:val="2"/>
      <w:sz w:val="18"/>
      <w:szCs w:val="18"/>
    </w:rPr>
  </w:style>
  <w:style w:type="character" w:customStyle="1" w:styleId="af1">
    <w:name w:val="页眉 字符"/>
    <w:basedOn w:val="a0"/>
    <w:link w:val="a7"/>
    <w:locked/>
    <w:rPr>
      <w:kern w:val="2"/>
      <w:sz w:val="18"/>
      <w:szCs w:val="18"/>
    </w:rPr>
  </w:style>
  <w:style w:type="character" w:customStyle="1" w:styleId="af2">
    <w:name w:val="页脚 字符"/>
    <w:basedOn w:val="a0"/>
    <w:link w:val="a8"/>
    <w:uiPriority w:val="99"/>
    <w:locked/>
    <w:rPr>
      <w:kern w:val="2"/>
      <w:sz w:val="18"/>
      <w:szCs w:val="18"/>
    </w:rPr>
  </w:style>
  <w:style w:type="character" w:customStyle="1" w:styleId="af3">
    <w:name w:val="标题 字符"/>
    <w:basedOn w:val="a0"/>
    <w:link w:val="a9"/>
    <w:uiPriority w:val="10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af4">
    <w:name w:val="副标题 字符"/>
    <w:basedOn w:val="a0"/>
    <w:link w:val="aa"/>
    <w:locked/>
    <w:rPr>
      <w:rFonts w:ascii="Calibri" w:eastAsia="宋体" w:hAnsi="Calibri" w:cs="Times New Roman" w:hint="default"/>
      <w:b/>
      <w:bCs/>
      <w:kern w:val="24"/>
      <w:sz w:val="32"/>
      <w:szCs w:val="32"/>
    </w:rPr>
  </w:style>
  <w:style w:type="character" w:customStyle="1" w:styleId="af5">
    <w:name w:val="日期 字符"/>
    <w:basedOn w:val="a0"/>
    <w:link w:val="ab"/>
    <w:locked/>
    <w:rPr>
      <w:kern w:val="2"/>
      <w:sz w:val="21"/>
    </w:rPr>
  </w:style>
  <w:style w:type="character" w:customStyle="1" w:styleId="af6">
    <w:name w:val="文档结构图 字符"/>
    <w:basedOn w:val="a0"/>
    <w:link w:val="ac"/>
    <w:locked/>
    <w:rPr>
      <w:rFonts w:ascii="Microsoft YaHei UI" w:eastAsia="Microsoft YaHei UI" w:hAnsi="Microsoft YaHei UI" w:hint="eastAsia"/>
      <w:kern w:val="2"/>
      <w:sz w:val="18"/>
      <w:szCs w:val="18"/>
    </w:rPr>
  </w:style>
  <w:style w:type="character" w:customStyle="1" w:styleId="af7">
    <w:name w:val="批注框文本 字符"/>
    <w:basedOn w:val="a0"/>
    <w:link w:val="ad"/>
    <w:uiPriority w:val="99"/>
    <w:semiHidden/>
    <w:locked/>
    <w:rPr>
      <w:kern w:val="2"/>
      <w:sz w:val="18"/>
      <w:szCs w:val="18"/>
    </w:rPr>
  </w:style>
  <w:style w:type="character" w:customStyle="1" w:styleId="1Char1">
    <w:name w:val="标题 1 Char1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1">
    <w:name w:val="标题 2 Char1"/>
    <w:link w:val="2"/>
    <w:uiPriority w:val="9"/>
    <w:locked/>
    <w:rPr>
      <w:rFonts w:ascii="Cambria" w:eastAsia="宋体" w:hAnsi="Cambria" w:cs="宋体" w:hint="default"/>
      <w:b/>
      <w:bCs/>
      <w:sz w:val="32"/>
      <w:szCs w:val="32"/>
    </w:rPr>
  </w:style>
  <w:style w:type="character" w:customStyle="1" w:styleId="3Char1">
    <w:name w:val="标题 3 Char1"/>
    <w:link w:val="3"/>
    <w:uiPriority w:val="9"/>
    <w:locked/>
    <w:rPr>
      <w:b/>
      <w:bCs/>
      <w:sz w:val="32"/>
      <w:szCs w:val="32"/>
    </w:rPr>
  </w:style>
  <w:style w:type="character" w:customStyle="1" w:styleId="4Char1">
    <w:name w:val="标题 4 Char1"/>
    <w:link w:val="4"/>
    <w:semiHidden/>
    <w:locked/>
    <w:rPr>
      <w:rFonts w:ascii="Cambria" w:eastAsia="宋体" w:hAnsi="Cambria" w:cs="宋体" w:hint="default"/>
      <w:b/>
      <w:bCs/>
      <w:sz w:val="24"/>
      <w:szCs w:val="24"/>
    </w:rPr>
  </w:style>
  <w:style w:type="character" w:customStyle="1" w:styleId="Char1">
    <w:name w:val="脚注文本 Char1"/>
    <w:basedOn w:val="a0"/>
    <w:link w:val="a6"/>
    <w:locked/>
    <w:rPr>
      <w:kern w:val="2"/>
      <w:sz w:val="18"/>
      <w:szCs w:val="18"/>
    </w:rPr>
  </w:style>
  <w:style w:type="character" w:customStyle="1" w:styleId="Char10">
    <w:name w:val="页眉 Char1"/>
    <w:basedOn w:val="a0"/>
    <w:link w:val="a7"/>
    <w:locked/>
    <w:rPr>
      <w:kern w:val="2"/>
      <w:sz w:val="18"/>
      <w:szCs w:val="18"/>
    </w:rPr>
  </w:style>
  <w:style w:type="character" w:customStyle="1" w:styleId="Char11">
    <w:name w:val="页脚 Char1"/>
    <w:basedOn w:val="a0"/>
    <w:link w:val="a8"/>
    <w:uiPriority w:val="99"/>
    <w:locked/>
    <w:rPr>
      <w:kern w:val="2"/>
      <w:sz w:val="18"/>
      <w:szCs w:val="18"/>
    </w:rPr>
  </w:style>
  <w:style w:type="character" w:customStyle="1" w:styleId="Char12">
    <w:name w:val="标题 Char1"/>
    <w:link w:val="a9"/>
    <w:uiPriority w:val="10"/>
    <w:locked/>
    <w:rPr>
      <w:rFonts w:ascii="Cambria" w:hAnsi="Cambria" w:cs="宋体" w:hint="default"/>
      <w:b/>
      <w:bCs/>
      <w:sz w:val="32"/>
      <w:szCs w:val="32"/>
    </w:rPr>
  </w:style>
  <w:style w:type="character" w:customStyle="1" w:styleId="Char13">
    <w:name w:val="副标题 Char1"/>
    <w:link w:val="aa"/>
    <w:locked/>
    <w:rPr>
      <w:rFonts w:ascii="Cambria" w:eastAsia="宋体" w:hAnsi="Cambria" w:cs="宋体" w:hint="default"/>
      <w:b/>
      <w:bCs w:val="0"/>
      <w:kern w:val="24"/>
      <w:sz w:val="24"/>
      <w:szCs w:val="32"/>
    </w:rPr>
  </w:style>
  <w:style w:type="character" w:customStyle="1" w:styleId="Char14">
    <w:name w:val="日期 Char1"/>
    <w:link w:val="ab"/>
    <w:locked/>
    <w:rPr>
      <w:rFonts w:ascii="宋体" w:eastAsia="宋体" w:hAnsi="宋体" w:hint="eastAsia"/>
      <w:kern w:val="2"/>
      <w:sz w:val="32"/>
    </w:rPr>
  </w:style>
  <w:style w:type="character" w:customStyle="1" w:styleId="Char15">
    <w:name w:val="文档结构图 Char1"/>
    <w:basedOn w:val="a0"/>
    <w:link w:val="ac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Char16">
    <w:name w:val="批注框文本 Char1"/>
    <w:basedOn w:val="a0"/>
    <w:link w:val="ad"/>
    <w:uiPriority w:val="99"/>
    <w:semiHidden/>
    <w:locked/>
    <w:rPr>
      <w:kern w:val="2"/>
      <w:sz w:val="18"/>
      <w:szCs w:val="18"/>
    </w:rPr>
  </w:style>
  <w:style w:type="character" w:customStyle="1" w:styleId="5Char1">
    <w:name w:val="标题 5 Char1"/>
    <w:basedOn w:val="a0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1">
    <w:name w:val="标题 6 Char1"/>
    <w:basedOn w:val="a0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12">
    <w:name w:val="页眉 字符1"/>
    <w:basedOn w:val="a0"/>
    <w:locked/>
    <w:rPr>
      <w:kern w:val="2"/>
      <w:sz w:val="18"/>
      <w:szCs w:val="18"/>
    </w:rPr>
  </w:style>
  <w:style w:type="table" w:styleId="af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ovednode">
    <w:name w:val="removednode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95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14DE5-5006-4846-907C-5B02E247C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4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yss</dc:creator>
  <cp:keywords/>
  <dc:description/>
  <cp:lastModifiedBy>ZHONGM</cp:lastModifiedBy>
  <cp:revision>2</cp:revision>
  <dcterms:created xsi:type="dcterms:W3CDTF">2024-01-11T16:02:00Z</dcterms:created>
  <dcterms:modified xsi:type="dcterms:W3CDTF">2024-01-11T16:02:00Z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