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FC2A28" w:rsidRDefault="00FC2A28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于</w:t>
      </w:r>
      <w:r w:rsidR="00C02CDB" w:rsidRPr="00C02CDB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永赢中证全指医疗器械交易型开放式指数证券投资基金</w:t>
      </w:r>
      <w:r w:rsidR="00792A96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FC2A28" w:rsidRPr="00FC2A28" w:rsidRDefault="00FC2A28" w:rsidP="008532F9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8532F9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为促进</w:t>
      </w:r>
      <w:r w:rsidR="00C02CDB" w:rsidRPr="00C02CDB">
        <w:rPr>
          <w:rFonts w:ascii="Times New Roman" w:eastAsia="宋体" w:hAnsi="Times New Roman" w:cs="Times New Roman" w:hint="eastAsia"/>
          <w:szCs w:val="20"/>
        </w:rPr>
        <w:t>永赢中证全指医疗器械交易型开放式指数证券投资基金</w:t>
      </w:r>
      <w:r w:rsidRPr="00FC2A28">
        <w:rPr>
          <w:rFonts w:ascii="Times New Roman" w:eastAsia="宋体" w:hAnsi="Times New Roman" w:cs="Times New Roman" w:hint="eastAsia"/>
          <w:szCs w:val="20"/>
        </w:rPr>
        <w:t>（以下简称“</w:t>
      </w:r>
      <w:r w:rsidR="00C02CDB">
        <w:rPr>
          <w:rFonts w:ascii="Times New Roman" w:eastAsia="宋体" w:hAnsi="Times New Roman" w:cs="Times New Roman" w:hint="eastAsia"/>
          <w:szCs w:val="20"/>
        </w:rPr>
        <w:t>医疗器械</w:t>
      </w:r>
      <w:r w:rsidR="00ED73F9">
        <w:rPr>
          <w:rFonts w:ascii="Times New Roman" w:eastAsia="宋体" w:hAnsi="Times New Roman" w:cs="Times New Roman" w:hint="eastAsia"/>
          <w:szCs w:val="20"/>
        </w:rPr>
        <w:t>E</w:t>
      </w:r>
      <w:r w:rsidR="00ED73F9">
        <w:rPr>
          <w:rFonts w:ascii="Times New Roman" w:eastAsia="宋体" w:hAnsi="Times New Roman" w:cs="Times New Roman"/>
          <w:szCs w:val="20"/>
        </w:rPr>
        <w:t>TF</w:t>
      </w:r>
      <w:r w:rsidRPr="00FC2A28">
        <w:rPr>
          <w:rFonts w:ascii="Times New Roman" w:eastAsia="宋体" w:hAnsi="Times New Roman" w:cs="Times New Roman" w:hint="eastAsia"/>
          <w:szCs w:val="20"/>
        </w:rPr>
        <w:t>”）的市场流动性和平稳运行，根据《</w:t>
      </w:r>
      <w:r w:rsidR="00092C75" w:rsidRPr="00092C75">
        <w:rPr>
          <w:rFonts w:ascii="Times New Roman" w:eastAsia="宋体" w:hAnsi="Times New Roman" w:cs="Times New Roman" w:hint="eastAsia"/>
          <w:szCs w:val="20"/>
        </w:rPr>
        <w:t>深圳证券交易所证券投资基金业务指引第</w:t>
      </w:r>
      <w:r w:rsidR="00092C75" w:rsidRPr="00092C75">
        <w:rPr>
          <w:rFonts w:ascii="Times New Roman" w:eastAsia="宋体" w:hAnsi="Times New Roman" w:cs="Times New Roman"/>
          <w:szCs w:val="20"/>
        </w:rPr>
        <w:t>2</w:t>
      </w:r>
      <w:r w:rsidR="00092C75" w:rsidRPr="00092C75">
        <w:rPr>
          <w:rFonts w:ascii="Times New Roman" w:eastAsia="宋体" w:hAnsi="Times New Roman" w:cs="Times New Roman"/>
          <w:szCs w:val="20"/>
        </w:rPr>
        <w:t>号</w:t>
      </w:r>
      <w:r w:rsidR="00092C75" w:rsidRPr="00092C75">
        <w:rPr>
          <w:rFonts w:ascii="Times New Roman" w:eastAsia="宋体" w:hAnsi="Times New Roman" w:cs="Times New Roman"/>
          <w:szCs w:val="20"/>
        </w:rPr>
        <w:t>——</w:t>
      </w:r>
      <w:r w:rsidR="00092C75" w:rsidRPr="00092C75">
        <w:rPr>
          <w:rFonts w:ascii="Times New Roman" w:eastAsia="宋体" w:hAnsi="Times New Roman" w:cs="Times New Roman"/>
          <w:szCs w:val="20"/>
        </w:rPr>
        <w:t>流动性服务</w:t>
      </w:r>
      <w:r w:rsidRPr="00FC2A28">
        <w:rPr>
          <w:rFonts w:ascii="Times New Roman" w:eastAsia="宋体" w:hAnsi="Times New Roman" w:cs="Times New Roman" w:hint="eastAsia"/>
          <w:szCs w:val="20"/>
        </w:rPr>
        <w:t>》</w:t>
      </w:r>
      <w:r w:rsidR="00F8460C">
        <w:rPr>
          <w:rFonts w:ascii="Times New Roman" w:eastAsia="宋体" w:hAnsi="Times New Roman" w:cs="Times New Roman" w:hint="eastAsia"/>
          <w:szCs w:val="20"/>
        </w:rPr>
        <w:t>等</w:t>
      </w:r>
      <w:r w:rsidRPr="00FC2A28">
        <w:rPr>
          <w:rFonts w:ascii="Times New Roman" w:eastAsia="宋体" w:hAnsi="Times New Roman" w:cs="Times New Roman" w:hint="eastAsia"/>
          <w:szCs w:val="20"/>
        </w:rPr>
        <w:t>有关规定，自</w:t>
      </w:r>
      <w:r w:rsidR="003C0D54">
        <w:rPr>
          <w:rFonts w:ascii="Times New Roman" w:eastAsia="宋体" w:hAnsi="Times New Roman" w:cs="Times New Roman"/>
          <w:szCs w:val="20"/>
        </w:rPr>
        <w:t>2024</w:t>
      </w:r>
      <w:r w:rsidRPr="00FC2A28">
        <w:rPr>
          <w:rFonts w:ascii="Times New Roman" w:eastAsia="宋体" w:hAnsi="Times New Roman" w:cs="Times New Roman" w:hint="eastAsia"/>
          <w:szCs w:val="20"/>
        </w:rPr>
        <w:t>年</w:t>
      </w:r>
      <w:r w:rsidR="003C0D54">
        <w:rPr>
          <w:rFonts w:ascii="Times New Roman" w:eastAsia="宋体" w:hAnsi="Times New Roman" w:cs="Times New Roman" w:hint="eastAsia"/>
          <w:szCs w:val="20"/>
        </w:rPr>
        <w:t>1</w:t>
      </w:r>
      <w:r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5A2A38">
        <w:rPr>
          <w:rFonts w:ascii="Times New Roman" w:eastAsia="宋体" w:hAnsi="Times New Roman" w:cs="Times New Roman"/>
          <w:szCs w:val="20"/>
        </w:rPr>
        <w:t>11</w:t>
      </w:r>
      <w:r w:rsidRPr="00FC2A28">
        <w:rPr>
          <w:rFonts w:ascii="Times New Roman" w:eastAsia="宋体" w:hAnsi="Times New Roman" w:cs="Times New Roman" w:hint="eastAsia"/>
          <w:szCs w:val="20"/>
        </w:rPr>
        <w:t>日起，</w:t>
      </w:r>
      <w:r w:rsidR="00F8460C">
        <w:rPr>
          <w:rFonts w:ascii="Times New Roman" w:eastAsia="宋体" w:hAnsi="Times New Roman" w:cs="Times New Roman" w:hint="eastAsia"/>
          <w:szCs w:val="20"/>
        </w:rPr>
        <w:t>本公司新增</w:t>
      </w:r>
      <w:r w:rsidR="00951F71">
        <w:rPr>
          <w:rFonts w:ascii="Times New Roman" w:eastAsia="宋体" w:hAnsi="Times New Roman" w:cs="Times New Roman" w:hint="eastAsia"/>
          <w:szCs w:val="20"/>
        </w:rPr>
        <w:t>华泰</w:t>
      </w:r>
      <w:r w:rsidR="009F1FA1">
        <w:rPr>
          <w:rFonts w:ascii="Times New Roman" w:eastAsia="宋体" w:hAnsi="Times New Roman" w:cs="Times New Roman" w:hint="eastAsia"/>
          <w:szCs w:val="20"/>
        </w:rPr>
        <w:t>证券</w:t>
      </w:r>
      <w:r w:rsidR="001A38B2">
        <w:rPr>
          <w:rFonts w:ascii="Times New Roman" w:eastAsia="宋体" w:hAnsi="Times New Roman" w:cs="Times New Roman" w:hint="eastAsia"/>
          <w:szCs w:val="20"/>
        </w:rPr>
        <w:t>股份</w:t>
      </w:r>
      <w:r w:rsidR="00C02CDB" w:rsidRPr="00C02CDB">
        <w:rPr>
          <w:rFonts w:ascii="Times New Roman" w:eastAsia="宋体" w:hAnsi="Times New Roman" w:cs="Times New Roman" w:hint="eastAsia"/>
          <w:szCs w:val="20"/>
        </w:rPr>
        <w:t>有限公司为医疗器械</w:t>
      </w:r>
      <w:r w:rsidR="00ED73F9">
        <w:rPr>
          <w:rFonts w:ascii="Times New Roman" w:eastAsia="宋体" w:hAnsi="Times New Roman" w:cs="Times New Roman" w:hint="eastAsia"/>
          <w:szCs w:val="20"/>
        </w:rPr>
        <w:t>E</w:t>
      </w:r>
      <w:r w:rsidR="00ED73F9">
        <w:rPr>
          <w:rFonts w:ascii="Times New Roman" w:eastAsia="宋体" w:hAnsi="Times New Roman" w:cs="Times New Roman"/>
          <w:szCs w:val="20"/>
        </w:rPr>
        <w:t>TF</w:t>
      </w:r>
      <w:r w:rsidR="00C02CDB" w:rsidRPr="00C02CDB">
        <w:rPr>
          <w:rFonts w:ascii="Times New Roman" w:eastAsia="宋体" w:hAnsi="Times New Roman" w:cs="Times New Roman" w:hint="eastAsia"/>
          <w:szCs w:val="20"/>
        </w:rPr>
        <w:t>（</w:t>
      </w:r>
      <w:r w:rsidR="00C02CDB" w:rsidRPr="00C02CDB">
        <w:rPr>
          <w:rFonts w:ascii="Times New Roman" w:eastAsia="宋体" w:hAnsi="Times New Roman" w:cs="Times New Roman"/>
          <w:szCs w:val="20"/>
        </w:rPr>
        <w:t>159883</w:t>
      </w:r>
      <w:r w:rsidR="00C02CDB" w:rsidRPr="00C02CDB">
        <w:rPr>
          <w:rFonts w:ascii="Times New Roman" w:eastAsia="宋体" w:hAnsi="Times New Roman" w:cs="Times New Roman"/>
          <w:szCs w:val="20"/>
        </w:rPr>
        <w:t>）</w:t>
      </w:r>
      <w:r w:rsidR="00792A96">
        <w:rPr>
          <w:rFonts w:ascii="Times New Roman" w:eastAsia="宋体" w:hAnsi="Times New Roman" w:cs="Times New Roman" w:hint="eastAsia"/>
          <w:szCs w:val="20"/>
        </w:rPr>
        <w:t>的</w:t>
      </w:r>
      <w:r w:rsidRPr="00FC2A28">
        <w:rPr>
          <w:rFonts w:ascii="Times New Roman" w:eastAsia="宋体" w:hAnsi="Times New Roman" w:cs="Times New Roman" w:hint="eastAsia"/>
          <w:szCs w:val="20"/>
        </w:rPr>
        <w:t>流动性服务商。</w:t>
      </w:r>
    </w:p>
    <w:p w:rsidR="00FC2A28" w:rsidRPr="00FC2A28" w:rsidRDefault="00FC2A28" w:rsidP="008532F9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8532F9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8532F9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FC2A28" w:rsidRPr="00FC2A28" w:rsidRDefault="00FC2A28" w:rsidP="008532F9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C02CDB" w:rsidP="008532F9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 w:rsidRPr="00C02CDB">
        <w:rPr>
          <w:rFonts w:ascii="Times New Roman" w:eastAsia="宋体" w:hAnsi="Times New Roman" w:cs="Times New Roman" w:hint="eastAsia"/>
          <w:szCs w:val="20"/>
        </w:rPr>
        <w:t>永赢基金管理有限公司</w:t>
      </w:r>
    </w:p>
    <w:p w:rsidR="00FC2A28" w:rsidRPr="00FC2A28" w:rsidRDefault="003C0D54" w:rsidP="008532F9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1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5A2A38">
        <w:rPr>
          <w:rFonts w:ascii="Times New Roman" w:eastAsia="宋体" w:hAnsi="Times New Roman" w:cs="Times New Roman"/>
          <w:szCs w:val="20"/>
        </w:rPr>
        <w:t>11</w:t>
      </w:r>
      <w:bookmarkStart w:id="0" w:name="_GoBack"/>
      <w:bookmarkEnd w:id="0"/>
      <w:r w:rsidR="00FC2A28" w:rsidRPr="00FC2A28">
        <w:rPr>
          <w:rFonts w:ascii="Times New Roman" w:eastAsia="宋体" w:hAnsi="Times New Roman" w:cs="Times New Roman" w:hint="eastAsia"/>
          <w:szCs w:val="20"/>
        </w:rPr>
        <w:t>日</w:t>
      </w:r>
    </w:p>
    <w:sectPr w:rsidR="00FC2A28" w:rsidRPr="00FC2A28" w:rsidSect="0033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7D" w:rsidRDefault="00712E7D" w:rsidP="00092C75">
      <w:r>
        <w:separator/>
      </w:r>
    </w:p>
  </w:endnote>
  <w:endnote w:type="continuationSeparator" w:id="0">
    <w:p w:rsidR="00712E7D" w:rsidRDefault="00712E7D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7D" w:rsidRDefault="00712E7D" w:rsidP="00092C75">
      <w:r>
        <w:separator/>
      </w:r>
    </w:p>
  </w:footnote>
  <w:footnote w:type="continuationSeparator" w:id="0">
    <w:p w:rsidR="00712E7D" w:rsidRDefault="00712E7D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92C75"/>
    <w:rsid w:val="000C09AE"/>
    <w:rsid w:val="001149D4"/>
    <w:rsid w:val="0014534B"/>
    <w:rsid w:val="00186B81"/>
    <w:rsid w:val="001A38B2"/>
    <w:rsid w:val="001D2F96"/>
    <w:rsid w:val="00330B13"/>
    <w:rsid w:val="003C0D54"/>
    <w:rsid w:val="00426700"/>
    <w:rsid w:val="004860E4"/>
    <w:rsid w:val="005109D7"/>
    <w:rsid w:val="00534C44"/>
    <w:rsid w:val="00566B12"/>
    <w:rsid w:val="005A2A38"/>
    <w:rsid w:val="005C6C5C"/>
    <w:rsid w:val="006219FE"/>
    <w:rsid w:val="006A6913"/>
    <w:rsid w:val="006F3D94"/>
    <w:rsid w:val="0070670B"/>
    <w:rsid w:val="00712E7D"/>
    <w:rsid w:val="00792A96"/>
    <w:rsid w:val="007B2188"/>
    <w:rsid w:val="008532F9"/>
    <w:rsid w:val="008D0F9B"/>
    <w:rsid w:val="00926C3C"/>
    <w:rsid w:val="00951F71"/>
    <w:rsid w:val="009755A4"/>
    <w:rsid w:val="009D1DE7"/>
    <w:rsid w:val="009F1FA1"/>
    <w:rsid w:val="00B21D5D"/>
    <w:rsid w:val="00B50B2B"/>
    <w:rsid w:val="00C02CDB"/>
    <w:rsid w:val="00C50CF3"/>
    <w:rsid w:val="00DA7B2E"/>
    <w:rsid w:val="00E13483"/>
    <w:rsid w:val="00E5493F"/>
    <w:rsid w:val="00ED73F9"/>
    <w:rsid w:val="00F339D4"/>
    <w:rsid w:val="00F8460C"/>
    <w:rsid w:val="00FB06A4"/>
    <w:rsid w:val="00FB4AD7"/>
    <w:rsid w:val="00FC2A28"/>
    <w:rsid w:val="00FC6A24"/>
    <w:rsid w:val="00FE0443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C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CD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C09A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0C09A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0C09A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C09A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0C0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2024-01-10T16:01:00Z</dcterms:created>
  <dcterms:modified xsi:type="dcterms:W3CDTF">2024-01-10T16:01:00Z</dcterms:modified>
</cp:coreProperties>
</file>