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45" w:rsidRDefault="004E3171" w:rsidP="004E3171">
      <w:pPr>
        <w:jc w:val="center"/>
        <w:rPr>
          <w:rFonts w:ascii="宋体" w:eastAsia="楷体_GB2312" w:hAnsi="宋体" w:cs="楷体_GB2312"/>
          <w:color w:val="000000"/>
          <w:sz w:val="24"/>
          <w:lang/>
        </w:rPr>
      </w:pPr>
      <w:r w:rsidRPr="004E3171">
        <w:rPr>
          <w:rFonts w:asciiTheme="majorEastAsia" w:eastAsiaTheme="majorEastAsia" w:hAnsiTheme="majorEastAsia" w:cstheme="majorEastAsia" w:hint="eastAsia"/>
          <w:b/>
          <w:bCs/>
          <w:kern w:val="0"/>
          <w:sz w:val="30"/>
          <w:szCs w:val="32"/>
        </w:rPr>
        <w:t>汇添富基金管理股份有限公司关于</w:t>
      </w:r>
      <w:r w:rsidR="00DB0BCF">
        <w:rPr>
          <w:rFonts w:asciiTheme="majorEastAsia" w:eastAsiaTheme="majorEastAsia" w:hAnsiTheme="majorEastAsia" w:cstheme="majorEastAsia" w:hint="eastAsia"/>
          <w:b/>
          <w:bCs/>
          <w:kern w:val="0"/>
          <w:sz w:val="30"/>
          <w:szCs w:val="32"/>
        </w:rPr>
        <w:t>指定</w:t>
      </w:r>
      <w:r w:rsidRPr="004E3171">
        <w:rPr>
          <w:rFonts w:asciiTheme="majorEastAsia" w:eastAsiaTheme="majorEastAsia" w:hAnsiTheme="majorEastAsia" w:cstheme="majorEastAsia" w:hint="eastAsia"/>
          <w:b/>
          <w:bCs/>
          <w:kern w:val="0"/>
          <w:sz w:val="30"/>
          <w:szCs w:val="32"/>
        </w:rPr>
        <w:t>证券投资基金主流动性服务商的公告</w:t>
      </w:r>
    </w:p>
    <w:p w:rsidR="001E0445" w:rsidRDefault="00C903B7">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A95A4B">
        <w:rPr>
          <w:rFonts w:ascii="宋体" w:hAnsi="宋体"/>
          <w:szCs w:val="21"/>
        </w:rPr>
        <w:t>2024</w:t>
      </w:r>
      <w:r w:rsidR="00A95A4B">
        <w:rPr>
          <w:rFonts w:ascii="宋体" w:hAnsi="宋体" w:hint="eastAsia"/>
          <w:szCs w:val="21"/>
        </w:rPr>
        <w:t>年</w:t>
      </w:r>
      <w:r w:rsidR="00A95A4B">
        <w:rPr>
          <w:rFonts w:ascii="宋体" w:hAnsi="宋体"/>
          <w:szCs w:val="21"/>
        </w:rPr>
        <w:t>1</w:t>
      </w:r>
      <w:r w:rsidR="00A95A4B">
        <w:rPr>
          <w:rFonts w:ascii="宋体" w:hAnsi="宋体" w:hint="eastAsia"/>
          <w:szCs w:val="21"/>
        </w:rPr>
        <w:t>月</w:t>
      </w:r>
      <w:r w:rsidR="00A95A4B">
        <w:rPr>
          <w:rFonts w:ascii="宋体" w:hAnsi="宋体"/>
          <w:szCs w:val="21"/>
        </w:rPr>
        <w:t>10</w:t>
      </w:r>
      <w:r>
        <w:rPr>
          <w:rFonts w:ascii="宋体" w:hAnsi="宋体" w:hint="eastAsia"/>
          <w:szCs w:val="21"/>
        </w:rPr>
        <w:t>日起，本公司指定下列流动性服务商为相关证券投资基金的主流动性服务商：</w:t>
      </w:r>
      <w:bookmarkStart w:id="0" w:name="_GoBack"/>
      <w:bookmarkEnd w:id="0"/>
    </w:p>
    <w:p w:rsidR="00A95A4B" w:rsidRDefault="00A95A4B" w:rsidP="00A95A4B">
      <w:pPr>
        <w:spacing w:line="440" w:lineRule="exact"/>
        <w:ind w:firstLineChars="200" w:firstLine="420"/>
        <w:rPr>
          <w:rFonts w:ascii="宋体" w:hAnsi="宋体"/>
          <w:szCs w:val="21"/>
        </w:rPr>
      </w:pPr>
      <w:r>
        <w:rPr>
          <w:rFonts w:ascii="宋体" w:hAnsi="宋体" w:hint="eastAsia"/>
          <w:szCs w:val="21"/>
        </w:rPr>
        <w:t>1、</w:t>
      </w:r>
      <w:r w:rsidRPr="0009410A">
        <w:rPr>
          <w:rFonts w:ascii="宋体" w:hAnsi="宋体" w:hint="eastAsia"/>
          <w:szCs w:val="21"/>
        </w:rPr>
        <w:t>汇添富中证沪港深科技龙头交易型开放式指数证券投资基金</w:t>
      </w:r>
      <w:r>
        <w:rPr>
          <w:rFonts w:ascii="宋体" w:hAnsi="宋体" w:hint="eastAsia"/>
          <w:szCs w:val="21"/>
        </w:rPr>
        <w:t>（</w:t>
      </w:r>
      <w:r w:rsidRPr="00094536">
        <w:rPr>
          <w:rFonts w:ascii="宋体" w:hAnsi="宋体"/>
          <w:szCs w:val="21"/>
        </w:rPr>
        <w:t>159</w:t>
      </w:r>
      <w:r>
        <w:rPr>
          <w:rFonts w:ascii="宋体" w:hAnsi="宋体"/>
          <w:szCs w:val="21"/>
        </w:rPr>
        <w:t>723</w:t>
      </w:r>
      <w:r>
        <w:rPr>
          <w:rFonts w:ascii="宋体" w:hAnsi="宋体" w:hint="eastAsia"/>
          <w:szCs w:val="21"/>
        </w:rPr>
        <w:t>）：</w:t>
      </w:r>
    </w:p>
    <w:p w:rsidR="00A95A4B" w:rsidRDefault="00A95A4B" w:rsidP="00A95A4B">
      <w:pPr>
        <w:spacing w:line="440" w:lineRule="exact"/>
        <w:rPr>
          <w:rFonts w:ascii="宋体" w:hAnsi="宋体"/>
          <w:szCs w:val="21"/>
        </w:rPr>
      </w:pPr>
      <w:r>
        <w:rPr>
          <w:rFonts w:ascii="宋体" w:hAnsi="宋体" w:hint="eastAsia"/>
          <w:szCs w:val="21"/>
        </w:rPr>
        <w:t xml:space="preserve">      中信</w:t>
      </w:r>
      <w:r w:rsidRPr="00094536">
        <w:rPr>
          <w:rFonts w:ascii="宋体" w:hAnsi="宋体" w:hint="eastAsia"/>
          <w:szCs w:val="21"/>
        </w:rPr>
        <w:t>证券股份有限公司</w:t>
      </w:r>
    </w:p>
    <w:p w:rsidR="00A95A4B" w:rsidRDefault="00A95A4B" w:rsidP="00A95A4B">
      <w:pPr>
        <w:spacing w:line="440" w:lineRule="exact"/>
        <w:rPr>
          <w:rFonts w:ascii="宋体" w:hAnsi="宋体"/>
          <w:szCs w:val="21"/>
        </w:rPr>
      </w:pPr>
    </w:p>
    <w:p w:rsidR="00A95A4B" w:rsidRDefault="00A95A4B" w:rsidP="00A95A4B">
      <w:pPr>
        <w:spacing w:line="440" w:lineRule="exact"/>
        <w:ind w:firstLineChars="200" w:firstLine="420"/>
        <w:rPr>
          <w:rFonts w:ascii="宋体" w:hAnsi="宋体"/>
          <w:szCs w:val="21"/>
        </w:rPr>
      </w:pPr>
      <w:r>
        <w:rPr>
          <w:rFonts w:ascii="宋体" w:hAnsi="宋体" w:hint="eastAsia"/>
          <w:szCs w:val="21"/>
        </w:rPr>
        <w:t>2、</w:t>
      </w:r>
      <w:r w:rsidRPr="0009410A">
        <w:rPr>
          <w:rFonts w:ascii="宋体" w:hAnsi="宋体" w:hint="eastAsia"/>
          <w:szCs w:val="21"/>
        </w:rPr>
        <w:t>汇添富中证沪港深互联网交易型开放式指数证券投资基金</w:t>
      </w:r>
      <w:r>
        <w:rPr>
          <w:rFonts w:ascii="宋体" w:hAnsi="宋体" w:hint="eastAsia"/>
          <w:szCs w:val="21"/>
        </w:rPr>
        <w:t>（</w:t>
      </w:r>
      <w:r w:rsidRPr="002466D7">
        <w:rPr>
          <w:rFonts w:ascii="宋体" w:hAnsi="宋体"/>
          <w:szCs w:val="21"/>
        </w:rPr>
        <w:t>159</w:t>
      </w:r>
      <w:r>
        <w:rPr>
          <w:rFonts w:ascii="宋体" w:hAnsi="宋体"/>
          <w:szCs w:val="21"/>
        </w:rPr>
        <w:t>729</w:t>
      </w:r>
      <w:r>
        <w:rPr>
          <w:rFonts w:ascii="宋体" w:hAnsi="宋体" w:hint="eastAsia"/>
          <w:szCs w:val="21"/>
        </w:rPr>
        <w:t>）：</w:t>
      </w:r>
    </w:p>
    <w:p w:rsidR="00A95A4B" w:rsidRDefault="00A95A4B" w:rsidP="00A95A4B">
      <w:pPr>
        <w:spacing w:line="440" w:lineRule="exact"/>
        <w:rPr>
          <w:rFonts w:ascii="宋体" w:hAnsi="宋体"/>
          <w:szCs w:val="21"/>
        </w:rPr>
      </w:pPr>
      <w:r>
        <w:rPr>
          <w:rFonts w:ascii="宋体" w:hAnsi="宋体" w:hint="eastAsia"/>
          <w:szCs w:val="21"/>
        </w:rPr>
        <w:t xml:space="preserve">      华泰</w:t>
      </w:r>
      <w:r w:rsidRPr="00094536">
        <w:rPr>
          <w:rFonts w:ascii="宋体" w:hAnsi="宋体" w:hint="eastAsia"/>
          <w:szCs w:val="21"/>
        </w:rPr>
        <w:t>证券股份有限公司</w:t>
      </w:r>
    </w:p>
    <w:p w:rsidR="00A95A4B" w:rsidRDefault="00A95A4B" w:rsidP="00A95A4B">
      <w:pPr>
        <w:spacing w:line="440" w:lineRule="exact"/>
        <w:rPr>
          <w:rFonts w:ascii="宋体" w:hAnsi="宋体"/>
          <w:szCs w:val="21"/>
        </w:rPr>
      </w:pPr>
      <w:r>
        <w:rPr>
          <w:rFonts w:ascii="宋体" w:hAnsi="宋体" w:hint="eastAsia"/>
          <w:szCs w:val="21"/>
        </w:rPr>
        <w:t xml:space="preserve">     </w:t>
      </w:r>
    </w:p>
    <w:p w:rsidR="00A95A4B" w:rsidRDefault="00A95A4B" w:rsidP="00A95A4B">
      <w:pPr>
        <w:spacing w:line="440" w:lineRule="exact"/>
        <w:ind w:firstLineChars="200" w:firstLine="420"/>
        <w:rPr>
          <w:rFonts w:ascii="宋体" w:hAnsi="宋体"/>
          <w:szCs w:val="21"/>
        </w:rPr>
      </w:pPr>
      <w:r>
        <w:rPr>
          <w:rFonts w:ascii="宋体" w:hAnsi="宋体" w:hint="eastAsia"/>
          <w:szCs w:val="21"/>
        </w:rPr>
        <w:t>3、</w:t>
      </w:r>
      <w:r w:rsidRPr="0009410A">
        <w:rPr>
          <w:rFonts w:ascii="宋体" w:hAnsi="宋体" w:hint="eastAsia"/>
          <w:szCs w:val="21"/>
        </w:rPr>
        <w:t>汇添富中证全指医疗器械交易型开放式指数证券投资基金</w:t>
      </w:r>
      <w:r>
        <w:rPr>
          <w:rFonts w:ascii="宋体" w:hAnsi="宋体" w:hint="eastAsia"/>
          <w:szCs w:val="21"/>
        </w:rPr>
        <w:t>（</w:t>
      </w:r>
      <w:r w:rsidRPr="002466D7">
        <w:rPr>
          <w:rFonts w:ascii="宋体" w:hAnsi="宋体"/>
          <w:szCs w:val="21"/>
        </w:rPr>
        <w:t>159</w:t>
      </w:r>
      <w:r>
        <w:rPr>
          <w:rFonts w:ascii="宋体" w:hAnsi="宋体"/>
          <w:szCs w:val="21"/>
        </w:rPr>
        <w:t>797</w:t>
      </w:r>
      <w:r>
        <w:rPr>
          <w:rFonts w:ascii="宋体" w:hAnsi="宋体" w:hint="eastAsia"/>
          <w:szCs w:val="21"/>
        </w:rPr>
        <w:t>）：</w:t>
      </w:r>
    </w:p>
    <w:p w:rsidR="00A95A4B" w:rsidRDefault="00A95A4B" w:rsidP="00A95A4B">
      <w:pPr>
        <w:spacing w:line="440" w:lineRule="exact"/>
        <w:ind w:firstLineChars="200" w:firstLine="420"/>
        <w:rPr>
          <w:rFonts w:ascii="宋体" w:hAnsi="宋体"/>
          <w:szCs w:val="21"/>
        </w:rPr>
      </w:pPr>
      <w:r>
        <w:rPr>
          <w:rFonts w:ascii="宋体" w:hAnsi="宋体" w:hint="eastAsia"/>
          <w:szCs w:val="21"/>
        </w:rPr>
        <w:t xml:space="preserve">  </w:t>
      </w:r>
      <w:r w:rsidRPr="0009410A">
        <w:rPr>
          <w:rFonts w:ascii="宋体" w:hAnsi="宋体" w:hint="eastAsia"/>
          <w:szCs w:val="21"/>
        </w:rPr>
        <w:t>中信建投证券股份有限公司</w:t>
      </w:r>
    </w:p>
    <w:p w:rsidR="00A95A4B" w:rsidRPr="002466D7" w:rsidRDefault="00A95A4B" w:rsidP="00A95A4B">
      <w:pPr>
        <w:spacing w:line="440" w:lineRule="exact"/>
        <w:ind w:firstLineChars="200" w:firstLine="420"/>
        <w:rPr>
          <w:rFonts w:ascii="宋体" w:hAnsi="宋体"/>
          <w:szCs w:val="21"/>
        </w:rPr>
      </w:pPr>
    </w:p>
    <w:p w:rsidR="00A95A4B" w:rsidRDefault="00A95A4B" w:rsidP="00A95A4B">
      <w:pPr>
        <w:spacing w:line="440" w:lineRule="exact"/>
        <w:ind w:firstLineChars="200" w:firstLine="420"/>
        <w:rPr>
          <w:rFonts w:ascii="宋体" w:hAnsi="宋体"/>
          <w:szCs w:val="21"/>
        </w:rPr>
      </w:pPr>
      <w:r>
        <w:rPr>
          <w:rFonts w:ascii="宋体" w:hAnsi="宋体" w:hint="eastAsia"/>
          <w:szCs w:val="21"/>
        </w:rPr>
        <w:t>4、</w:t>
      </w:r>
      <w:r w:rsidRPr="0009410A">
        <w:rPr>
          <w:rFonts w:ascii="宋体" w:hAnsi="宋体" w:hint="eastAsia"/>
          <w:szCs w:val="21"/>
        </w:rPr>
        <w:t>深证300交易型开放式指数证券投资基金</w:t>
      </w:r>
      <w:r>
        <w:rPr>
          <w:rFonts w:ascii="宋体" w:hAnsi="宋体" w:hint="eastAsia"/>
          <w:szCs w:val="21"/>
        </w:rPr>
        <w:t>（</w:t>
      </w:r>
      <w:r w:rsidRPr="002466D7">
        <w:rPr>
          <w:rFonts w:ascii="宋体" w:hAnsi="宋体"/>
          <w:szCs w:val="21"/>
        </w:rPr>
        <w:t>159</w:t>
      </w:r>
      <w:r>
        <w:rPr>
          <w:rFonts w:ascii="宋体" w:hAnsi="宋体"/>
          <w:szCs w:val="21"/>
        </w:rPr>
        <w:t>912</w:t>
      </w:r>
      <w:r>
        <w:rPr>
          <w:rFonts w:ascii="宋体" w:hAnsi="宋体" w:hint="eastAsia"/>
          <w:szCs w:val="21"/>
        </w:rPr>
        <w:t>）：</w:t>
      </w:r>
    </w:p>
    <w:p w:rsidR="00A95A4B" w:rsidRDefault="00A95A4B" w:rsidP="00A95A4B">
      <w:pPr>
        <w:spacing w:line="440" w:lineRule="exact"/>
        <w:ind w:firstLineChars="300" w:firstLine="630"/>
        <w:rPr>
          <w:rFonts w:ascii="宋体" w:hAnsi="宋体"/>
          <w:szCs w:val="21"/>
        </w:rPr>
      </w:pPr>
      <w:r>
        <w:rPr>
          <w:rFonts w:ascii="宋体" w:hAnsi="宋体" w:hint="eastAsia"/>
          <w:szCs w:val="21"/>
        </w:rPr>
        <w:t>中信</w:t>
      </w:r>
      <w:r w:rsidRPr="002466D7">
        <w:rPr>
          <w:rFonts w:ascii="宋体" w:hAnsi="宋体" w:hint="eastAsia"/>
          <w:szCs w:val="21"/>
        </w:rPr>
        <w:t>证券股份有限公司</w:t>
      </w:r>
    </w:p>
    <w:p w:rsidR="00A95A4B" w:rsidRPr="002466D7" w:rsidRDefault="00A95A4B" w:rsidP="00A95A4B">
      <w:pPr>
        <w:spacing w:line="440" w:lineRule="exact"/>
        <w:ind w:firstLineChars="300" w:firstLine="630"/>
        <w:rPr>
          <w:rFonts w:ascii="宋体" w:hAnsi="宋体"/>
          <w:szCs w:val="21"/>
        </w:rPr>
      </w:pPr>
    </w:p>
    <w:p w:rsidR="00A95A4B" w:rsidRDefault="00A95A4B" w:rsidP="00A95A4B">
      <w:pPr>
        <w:spacing w:line="440" w:lineRule="exact"/>
        <w:ind w:firstLine="420"/>
        <w:rPr>
          <w:rFonts w:ascii="宋体" w:hAnsi="宋体"/>
          <w:szCs w:val="21"/>
        </w:rPr>
      </w:pPr>
      <w:r>
        <w:rPr>
          <w:rFonts w:ascii="宋体" w:hAnsi="宋体" w:hint="eastAsia"/>
          <w:szCs w:val="21"/>
        </w:rPr>
        <w:t>5、</w:t>
      </w:r>
      <w:r w:rsidRPr="00F04AD9">
        <w:rPr>
          <w:rFonts w:ascii="宋体" w:hAnsi="宋体" w:hint="eastAsia"/>
          <w:szCs w:val="21"/>
        </w:rPr>
        <w:t>中证主要消费交易型开放式指数证券投资基金</w:t>
      </w:r>
      <w:r>
        <w:rPr>
          <w:rFonts w:ascii="宋体" w:hAnsi="宋体" w:hint="eastAsia"/>
          <w:szCs w:val="21"/>
        </w:rPr>
        <w:t>（</w:t>
      </w:r>
      <w:r w:rsidRPr="00F04AD9">
        <w:rPr>
          <w:rFonts w:ascii="宋体" w:hAnsi="宋体"/>
          <w:szCs w:val="21"/>
        </w:rPr>
        <w:t>159928</w:t>
      </w:r>
      <w:r>
        <w:rPr>
          <w:rFonts w:ascii="宋体" w:hAnsi="宋体" w:hint="eastAsia"/>
          <w:szCs w:val="21"/>
        </w:rPr>
        <w:t>）：</w:t>
      </w:r>
    </w:p>
    <w:p w:rsidR="00A95A4B" w:rsidRDefault="00A95A4B" w:rsidP="00A95A4B">
      <w:pPr>
        <w:spacing w:line="440" w:lineRule="exact"/>
        <w:ind w:firstLine="420"/>
        <w:rPr>
          <w:rFonts w:ascii="宋体" w:hAnsi="宋体"/>
          <w:szCs w:val="21"/>
        </w:rPr>
      </w:pPr>
      <w:r>
        <w:rPr>
          <w:rFonts w:ascii="宋体" w:hAnsi="宋体" w:hint="eastAsia"/>
          <w:szCs w:val="21"/>
        </w:rPr>
        <w:t xml:space="preserve">  华泰</w:t>
      </w:r>
      <w:r w:rsidRPr="002466D7">
        <w:rPr>
          <w:rFonts w:ascii="宋体" w:hAnsi="宋体" w:hint="eastAsia"/>
          <w:szCs w:val="21"/>
        </w:rPr>
        <w:t>证券股份有限公司</w:t>
      </w:r>
    </w:p>
    <w:p w:rsidR="00A95A4B" w:rsidRPr="00F04AD9" w:rsidRDefault="00A95A4B" w:rsidP="00A95A4B">
      <w:pPr>
        <w:spacing w:line="440" w:lineRule="exact"/>
        <w:ind w:firstLine="420"/>
        <w:rPr>
          <w:rFonts w:ascii="宋体" w:hAnsi="宋体"/>
          <w:szCs w:val="21"/>
        </w:rPr>
      </w:pPr>
      <w:r>
        <w:rPr>
          <w:rFonts w:ascii="宋体" w:hAnsi="宋体"/>
          <w:szCs w:val="21"/>
        </w:rPr>
        <w:t xml:space="preserve">  </w:t>
      </w:r>
      <w:r>
        <w:rPr>
          <w:rFonts w:ascii="宋体" w:hAnsi="宋体" w:hint="eastAsia"/>
          <w:szCs w:val="21"/>
        </w:rPr>
        <w:t>中信</w:t>
      </w:r>
      <w:r w:rsidRPr="002466D7">
        <w:rPr>
          <w:rFonts w:ascii="宋体" w:hAnsi="宋体" w:hint="eastAsia"/>
          <w:szCs w:val="21"/>
        </w:rPr>
        <w:t>证券股份有限公司</w:t>
      </w:r>
    </w:p>
    <w:p w:rsidR="00A95A4B" w:rsidRDefault="00A95A4B" w:rsidP="00A95A4B">
      <w:pPr>
        <w:spacing w:line="440" w:lineRule="exact"/>
        <w:ind w:firstLine="420"/>
        <w:rPr>
          <w:rFonts w:ascii="宋体" w:hAnsi="宋体"/>
          <w:szCs w:val="21"/>
        </w:rPr>
      </w:pPr>
    </w:p>
    <w:p w:rsidR="00A95A4B" w:rsidRDefault="00A95A4B" w:rsidP="00A95A4B">
      <w:pPr>
        <w:spacing w:line="440" w:lineRule="exact"/>
        <w:ind w:firstLine="420"/>
        <w:rPr>
          <w:rFonts w:ascii="宋体" w:hAnsi="宋体"/>
          <w:szCs w:val="21"/>
        </w:rPr>
      </w:pPr>
      <w:r>
        <w:rPr>
          <w:rFonts w:ascii="宋体" w:hAnsi="宋体" w:hint="eastAsia"/>
          <w:szCs w:val="21"/>
        </w:rPr>
        <w:t>6、</w:t>
      </w:r>
      <w:r w:rsidRPr="008B6B82">
        <w:rPr>
          <w:rFonts w:ascii="宋体" w:hAnsi="宋体" w:hint="eastAsia"/>
          <w:szCs w:val="21"/>
        </w:rPr>
        <w:t>中证能源交易型开放式指数证券投资基金</w:t>
      </w:r>
      <w:r>
        <w:rPr>
          <w:rFonts w:ascii="宋体" w:hAnsi="宋体" w:hint="eastAsia"/>
          <w:szCs w:val="21"/>
        </w:rPr>
        <w:t>（</w:t>
      </w:r>
      <w:r w:rsidRPr="00F04AD9">
        <w:rPr>
          <w:rFonts w:ascii="宋体" w:hAnsi="宋体"/>
          <w:szCs w:val="21"/>
        </w:rPr>
        <w:t>159</w:t>
      </w:r>
      <w:r>
        <w:rPr>
          <w:rFonts w:ascii="宋体" w:hAnsi="宋体"/>
          <w:szCs w:val="21"/>
        </w:rPr>
        <w:t>930</w:t>
      </w:r>
      <w:r>
        <w:rPr>
          <w:rFonts w:ascii="宋体" w:hAnsi="宋体" w:hint="eastAsia"/>
          <w:szCs w:val="21"/>
        </w:rPr>
        <w:t>）：</w:t>
      </w:r>
    </w:p>
    <w:p w:rsidR="00A95A4B" w:rsidRDefault="00A95A4B" w:rsidP="00A95A4B">
      <w:pPr>
        <w:spacing w:line="440" w:lineRule="exact"/>
        <w:ind w:firstLineChars="300" w:firstLine="630"/>
        <w:rPr>
          <w:rFonts w:ascii="宋体" w:hAnsi="宋体"/>
          <w:szCs w:val="21"/>
        </w:rPr>
      </w:pPr>
      <w:r w:rsidRPr="008B6B82">
        <w:rPr>
          <w:rFonts w:ascii="宋体" w:hAnsi="宋体" w:hint="eastAsia"/>
          <w:szCs w:val="21"/>
        </w:rPr>
        <w:t>招商证券股份有限公司</w:t>
      </w:r>
    </w:p>
    <w:p w:rsidR="00A95A4B" w:rsidRDefault="00A95A4B" w:rsidP="00A95A4B">
      <w:pPr>
        <w:spacing w:line="440" w:lineRule="exact"/>
        <w:ind w:firstLineChars="300" w:firstLine="630"/>
        <w:rPr>
          <w:rFonts w:ascii="宋体" w:hAnsi="宋体"/>
          <w:szCs w:val="21"/>
        </w:rPr>
      </w:pPr>
    </w:p>
    <w:p w:rsidR="00A95A4B" w:rsidRDefault="00A95A4B" w:rsidP="00A95A4B">
      <w:pPr>
        <w:spacing w:line="440" w:lineRule="exact"/>
        <w:ind w:firstLine="420"/>
        <w:rPr>
          <w:rFonts w:ascii="宋体" w:hAnsi="宋体"/>
          <w:szCs w:val="21"/>
        </w:rPr>
      </w:pPr>
      <w:r>
        <w:rPr>
          <w:rFonts w:ascii="宋体" w:hAnsi="宋体"/>
          <w:szCs w:val="21"/>
        </w:rPr>
        <w:t>7</w:t>
      </w:r>
      <w:r>
        <w:rPr>
          <w:rFonts w:ascii="宋体" w:hAnsi="宋体" w:hint="eastAsia"/>
          <w:szCs w:val="21"/>
        </w:rPr>
        <w:t>、</w:t>
      </w:r>
      <w:r w:rsidRPr="008B6B82">
        <w:rPr>
          <w:rFonts w:ascii="宋体" w:hAnsi="宋体" w:hint="eastAsia"/>
          <w:szCs w:val="21"/>
        </w:rPr>
        <w:t>中证金融地产交易型开放式指数证券投资基金</w:t>
      </w:r>
      <w:r>
        <w:rPr>
          <w:rFonts w:ascii="宋体" w:hAnsi="宋体" w:hint="eastAsia"/>
          <w:szCs w:val="21"/>
        </w:rPr>
        <w:t>（</w:t>
      </w:r>
      <w:r w:rsidRPr="00F04AD9">
        <w:rPr>
          <w:rFonts w:ascii="宋体" w:hAnsi="宋体"/>
          <w:szCs w:val="21"/>
        </w:rPr>
        <w:t>1599</w:t>
      </w:r>
      <w:r>
        <w:rPr>
          <w:rFonts w:ascii="宋体" w:hAnsi="宋体"/>
          <w:szCs w:val="21"/>
        </w:rPr>
        <w:t>31</w:t>
      </w:r>
      <w:r>
        <w:rPr>
          <w:rFonts w:ascii="宋体" w:hAnsi="宋体" w:hint="eastAsia"/>
          <w:szCs w:val="21"/>
        </w:rPr>
        <w:t>）：</w:t>
      </w:r>
    </w:p>
    <w:p w:rsidR="00A95A4B" w:rsidRDefault="00A95A4B" w:rsidP="00A95A4B">
      <w:pPr>
        <w:spacing w:line="440" w:lineRule="exact"/>
        <w:ind w:firstLine="420"/>
        <w:rPr>
          <w:rFonts w:ascii="宋体" w:hAnsi="宋体"/>
          <w:szCs w:val="21"/>
        </w:rPr>
      </w:pPr>
      <w:r>
        <w:rPr>
          <w:rFonts w:ascii="宋体" w:hAnsi="宋体" w:hint="eastAsia"/>
          <w:szCs w:val="21"/>
        </w:rPr>
        <w:t xml:space="preserve">  中信</w:t>
      </w:r>
      <w:r w:rsidRPr="002466D7">
        <w:rPr>
          <w:rFonts w:ascii="宋体" w:hAnsi="宋体" w:hint="eastAsia"/>
          <w:szCs w:val="21"/>
        </w:rPr>
        <w:t>证券股份有限公司</w:t>
      </w:r>
    </w:p>
    <w:p w:rsidR="00A95A4B" w:rsidRPr="00F04AD9" w:rsidRDefault="00A95A4B" w:rsidP="00A95A4B">
      <w:pPr>
        <w:spacing w:line="440" w:lineRule="exact"/>
        <w:ind w:firstLine="420"/>
        <w:rPr>
          <w:rFonts w:ascii="宋体" w:hAnsi="宋体"/>
          <w:szCs w:val="21"/>
        </w:rPr>
      </w:pPr>
    </w:p>
    <w:p w:rsidR="00A95A4B" w:rsidRDefault="00A95A4B" w:rsidP="00A95A4B">
      <w:pPr>
        <w:spacing w:line="440" w:lineRule="exact"/>
        <w:ind w:firstLine="420"/>
        <w:rPr>
          <w:rFonts w:ascii="宋体" w:hAnsi="宋体"/>
          <w:szCs w:val="21"/>
        </w:rPr>
      </w:pPr>
      <w:r>
        <w:rPr>
          <w:rFonts w:ascii="宋体" w:hAnsi="宋体"/>
          <w:szCs w:val="21"/>
        </w:rPr>
        <w:t>8</w:t>
      </w:r>
      <w:r w:rsidRPr="00A95A4B">
        <w:rPr>
          <w:rFonts w:ascii="宋体" w:hAnsi="宋体" w:hint="eastAsia"/>
          <w:szCs w:val="21"/>
        </w:rPr>
        <w:t>、汇添富收益快钱货币市场基金（159005）：</w:t>
      </w:r>
    </w:p>
    <w:p w:rsidR="00A95A4B" w:rsidRDefault="00A95A4B" w:rsidP="00A95A4B">
      <w:pPr>
        <w:spacing w:line="440" w:lineRule="exact"/>
        <w:ind w:firstLineChars="300" w:firstLine="630"/>
        <w:rPr>
          <w:rFonts w:ascii="宋体" w:hAnsi="宋体"/>
          <w:szCs w:val="21"/>
        </w:rPr>
      </w:pPr>
      <w:r w:rsidRPr="00A95A4B">
        <w:rPr>
          <w:rFonts w:ascii="宋体" w:hAnsi="宋体" w:hint="eastAsia"/>
          <w:szCs w:val="21"/>
        </w:rPr>
        <w:t>中信证券股份有限公司</w:t>
      </w:r>
    </w:p>
    <w:p w:rsidR="00A95A4B" w:rsidRDefault="00A95A4B" w:rsidP="00A95A4B">
      <w:pPr>
        <w:spacing w:line="440" w:lineRule="exact"/>
        <w:rPr>
          <w:rFonts w:ascii="宋体" w:hAnsi="宋体"/>
          <w:szCs w:val="21"/>
        </w:rPr>
      </w:pPr>
    </w:p>
    <w:p w:rsidR="002466D7" w:rsidRDefault="002466D7" w:rsidP="00A95A4B">
      <w:pPr>
        <w:spacing w:line="440" w:lineRule="exact"/>
        <w:rPr>
          <w:rFonts w:ascii="宋体" w:hAnsi="宋体"/>
          <w:szCs w:val="21"/>
        </w:rPr>
      </w:pPr>
    </w:p>
    <w:p w:rsidR="001E0445" w:rsidRDefault="00C903B7">
      <w:pPr>
        <w:spacing w:line="440" w:lineRule="exact"/>
        <w:ind w:firstLine="420"/>
        <w:jc w:val="left"/>
        <w:rPr>
          <w:rFonts w:ascii="宋体" w:hAnsi="宋体"/>
          <w:szCs w:val="21"/>
        </w:rPr>
      </w:pPr>
      <w:r>
        <w:rPr>
          <w:rFonts w:ascii="宋体" w:hAnsi="宋体" w:hint="eastAsia"/>
          <w:szCs w:val="21"/>
        </w:rPr>
        <w:lastRenderedPageBreak/>
        <w:t>特此</w:t>
      </w:r>
      <w:r w:rsidR="00336B1B">
        <w:rPr>
          <w:rFonts w:ascii="宋体" w:hAnsi="宋体" w:hint="eastAsia"/>
          <w:szCs w:val="21"/>
        </w:rPr>
        <w:t>公告</w:t>
      </w:r>
      <w:r>
        <w:rPr>
          <w:rFonts w:ascii="宋体" w:hAnsi="宋体" w:hint="eastAsia"/>
          <w:szCs w:val="21"/>
        </w:rPr>
        <w:t>。</w:t>
      </w:r>
    </w:p>
    <w:p w:rsidR="001E0445" w:rsidRDefault="00C903B7">
      <w:pPr>
        <w:spacing w:line="440" w:lineRule="exact"/>
        <w:ind w:firstLine="420"/>
        <w:jc w:val="right"/>
        <w:rPr>
          <w:rFonts w:ascii="宋体" w:hAnsi="宋体"/>
          <w:szCs w:val="21"/>
        </w:rPr>
      </w:pPr>
      <w:r>
        <w:rPr>
          <w:rFonts w:ascii="宋体" w:hAnsi="宋体" w:hint="eastAsia"/>
          <w:szCs w:val="21"/>
        </w:rPr>
        <w:t xml:space="preserve"> </w:t>
      </w:r>
    </w:p>
    <w:p w:rsidR="00441898" w:rsidRDefault="00441898">
      <w:pPr>
        <w:spacing w:line="440" w:lineRule="exact"/>
        <w:ind w:firstLine="420"/>
        <w:jc w:val="right"/>
        <w:rPr>
          <w:rFonts w:ascii="宋体" w:hAnsi="宋体"/>
          <w:szCs w:val="21"/>
        </w:rPr>
      </w:pPr>
      <w:r w:rsidRPr="00441898">
        <w:rPr>
          <w:rFonts w:ascii="宋体" w:hAnsi="宋体" w:hint="eastAsia"/>
          <w:szCs w:val="21"/>
        </w:rPr>
        <w:t>汇添富基金管理股份有限公司</w:t>
      </w:r>
    </w:p>
    <w:p w:rsidR="001E0445" w:rsidRDefault="00A95A4B">
      <w:pPr>
        <w:spacing w:line="440" w:lineRule="exact"/>
        <w:ind w:firstLine="420"/>
        <w:jc w:val="right"/>
        <w:rPr>
          <w:rFonts w:ascii="宋体" w:hAnsi="宋体"/>
          <w:szCs w:val="21"/>
        </w:rPr>
      </w:pPr>
      <w:r>
        <w:rPr>
          <w:rFonts w:ascii="宋体" w:hAnsi="宋体"/>
          <w:szCs w:val="21"/>
        </w:rPr>
        <w:t>2024</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10</w:t>
      </w:r>
      <w:r w:rsidR="00C903B7">
        <w:rPr>
          <w:rFonts w:ascii="宋体" w:hAnsi="宋体" w:hint="eastAsia"/>
          <w:szCs w:val="21"/>
        </w:rPr>
        <w:t>日</w:t>
      </w:r>
    </w:p>
    <w:p w:rsidR="001E0445" w:rsidRDefault="001E0445">
      <w:pPr>
        <w:spacing w:line="440" w:lineRule="exact"/>
        <w:rPr>
          <w:rFonts w:ascii="宋体" w:hAnsi="宋体"/>
          <w:szCs w:val="21"/>
        </w:rPr>
      </w:pPr>
    </w:p>
    <w:p w:rsidR="001E0445" w:rsidRDefault="001E0445">
      <w:pPr>
        <w:ind w:firstLine="420"/>
        <w:jc w:val="left"/>
        <w:rPr>
          <w:rFonts w:ascii="宋体" w:eastAsia="楷体_GB2312" w:hAnsi="宋体" w:cs="楷体_GB2312"/>
          <w:color w:val="000000"/>
          <w:sz w:val="24"/>
          <w:lang/>
        </w:rPr>
      </w:pPr>
    </w:p>
    <w:p w:rsidR="001E0445" w:rsidRDefault="001E0445"/>
    <w:sectPr w:rsidR="001E0445" w:rsidSect="003B0CF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A6" w:rsidRDefault="00095DA6">
      <w:r>
        <w:separator/>
      </w:r>
    </w:p>
  </w:endnote>
  <w:endnote w:type="continuationSeparator" w:id="0">
    <w:p w:rsidR="00095DA6" w:rsidRDefault="00095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646986"/>
      <w:showingPlcHdr/>
    </w:sdtPr>
    <w:sdtContent>
      <w:p w:rsidR="00F04AD9" w:rsidRDefault="00C821EB">
        <w:pPr>
          <w:pStyle w:val="a3"/>
          <w:jc w:val="right"/>
        </w:pPr>
        <w:r>
          <w:t xml:space="preserve">     </w:t>
        </w:r>
      </w:p>
    </w:sdtContent>
  </w:sdt>
  <w:p w:rsidR="00F04AD9" w:rsidRDefault="00F04A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A6" w:rsidRDefault="00095DA6">
      <w:r>
        <w:separator/>
      </w:r>
    </w:p>
  </w:footnote>
  <w:footnote w:type="continuationSeparator" w:id="0">
    <w:p w:rsidR="00095DA6" w:rsidRDefault="00095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445"/>
    <w:rsid w:val="00045E90"/>
    <w:rsid w:val="00055D46"/>
    <w:rsid w:val="00094536"/>
    <w:rsid w:val="00095DA6"/>
    <w:rsid w:val="000A4EA9"/>
    <w:rsid w:val="001E0445"/>
    <w:rsid w:val="002271BC"/>
    <w:rsid w:val="002466D7"/>
    <w:rsid w:val="002E161C"/>
    <w:rsid w:val="00336B1B"/>
    <w:rsid w:val="003B0CFC"/>
    <w:rsid w:val="00441898"/>
    <w:rsid w:val="004E3171"/>
    <w:rsid w:val="00643A48"/>
    <w:rsid w:val="006D106E"/>
    <w:rsid w:val="00804B85"/>
    <w:rsid w:val="00A95A4B"/>
    <w:rsid w:val="00C821EB"/>
    <w:rsid w:val="00C903B7"/>
    <w:rsid w:val="00DB0BCF"/>
    <w:rsid w:val="00DB1DFC"/>
    <w:rsid w:val="00E72893"/>
    <w:rsid w:val="00E74B67"/>
    <w:rsid w:val="00E90F6E"/>
    <w:rsid w:val="00F04AD9"/>
    <w:rsid w:val="016E2F6B"/>
    <w:rsid w:val="16BE465E"/>
    <w:rsid w:val="3EB34A07"/>
    <w:rsid w:val="4D022171"/>
    <w:rsid w:val="64B36465"/>
    <w:rsid w:val="686D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CFC"/>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3B0CFC"/>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B0CFC"/>
    <w:pPr>
      <w:tabs>
        <w:tab w:val="center" w:pos="4153"/>
        <w:tab w:val="right" w:pos="8306"/>
      </w:tabs>
      <w:snapToGrid w:val="0"/>
      <w:jc w:val="left"/>
    </w:pPr>
    <w:rPr>
      <w:sz w:val="18"/>
      <w:szCs w:val="18"/>
    </w:rPr>
  </w:style>
  <w:style w:type="paragraph" w:customStyle="1" w:styleId="1">
    <w:name w:val="样式1"/>
    <w:basedOn w:val="4"/>
    <w:next w:val="a"/>
    <w:qFormat/>
    <w:rsid w:val="003B0CFC"/>
    <w:pPr>
      <w:numPr>
        <w:numId w:val="1"/>
      </w:numPr>
    </w:pPr>
    <w:rPr>
      <w:rFonts w:asciiTheme="minorHAnsi" w:hAnsiTheme="minorHAnsi"/>
      <w:sz w:val="24"/>
    </w:rPr>
  </w:style>
  <w:style w:type="paragraph" w:styleId="a4">
    <w:name w:val="header"/>
    <w:basedOn w:val="a"/>
    <w:link w:val="Char"/>
    <w:rsid w:val="00094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94536"/>
    <w:rPr>
      <w:rFonts w:ascii="Times New Roman" w:eastAsia="宋体" w:hAnsi="Times New Roman" w:cs="Times New Roman"/>
      <w:kern w:val="2"/>
      <w:sz w:val="18"/>
      <w:szCs w:val="18"/>
    </w:rPr>
  </w:style>
  <w:style w:type="paragraph" w:styleId="a5">
    <w:name w:val="Balloon Text"/>
    <w:basedOn w:val="a"/>
    <w:link w:val="Char0"/>
    <w:rsid w:val="00804B85"/>
    <w:rPr>
      <w:sz w:val="18"/>
      <w:szCs w:val="18"/>
    </w:rPr>
  </w:style>
  <w:style w:type="character" w:customStyle="1" w:styleId="Char0">
    <w:name w:val="批注框文本 Char"/>
    <w:basedOn w:val="a0"/>
    <w:link w:val="a5"/>
    <w:rsid w:val="00804B8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30F3-0C6D-4D6A-9DD0-2921E240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468</Characters>
  <Application>Microsoft Office Word</Application>
  <DocSecurity>4</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2024-01-09T16:01:00Z</dcterms:created>
  <dcterms:modified xsi:type="dcterms:W3CDTF">2024-01-09T16:01:00Z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EC9E47BA1D374456BFA95E6D35A111C8</vt:lpwstr>
  </property>
</Properties>
</file>